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F1B" w:rsidRPr="00F66A45" w:rsidRDefault="00812F1B" w:rsidP="00812F1B">
      <w:pPr>
        <w:rPr>
          <w:b/>
        </w:rPr>
      </w:pPr>
      <w:bookmarkStart w:id="0" w:name="_GoBack"/>
      <w:bookmarkEnd w:id="0"/>
      <w:r w:rsidRPr="00F66A45">
        <w:rPr>
          <w:b/>
        </w:rPr>
        <w:t>Depreciation for Commercial Properties</w:t>
      </w:r>
    </w:p>
    <w:p w:rsidR="00812F1B" w:rsidRDefault="00812F1B" w:rsidP="00812F1B">
      <w:r>
        <w:t>Property depreciation refers to the ability for taxpayers to claim a deduction for the decline in value (e.g. due to wear and tear) of the cost of capital assets used in gaining assessable income.</w:t>
      </w:r>
      <w:r>
        <w:rPr>
          <w:rStyle w:val="FootnoteReference"/>
        </w:rPr>
        <w:footnoteReference w:id="1"/>
      </w:r>
    </w:p>
    <w:p w:rsidR="00812F1B" w:rsidRDefault="00812F1B" w:rsidP="00812F1B">
      <w:r>
        <w:t xml:space="preserve">There are two types of depreciation a property owner can claim: </w:t>
      </w:r>
    </w:p>
    <w:p w:rsidR="00812F1B" w:rsidRDefault="00812F1B" w:rsidP="00812F1B">
      <w:pPr>
        <w:pStyle w:val="ListParagraph"/>
        <w:numPr>
          <w:ilvl w:val="0"/>
          <w:numId w:val="11"/>
        </w:numPr>
      </w:pPr>
      <w:r>
        <w:t>Capital works allowance; and</w:t>
      </w:r>
    </w:p>
    <w:p w:rsidR="00812F1B" w:rsidRPr="00812F1B" w:rsidRDefault="00812F1B" w:rsidP="00812F1B">
      <w:pPr>
        <w:pStyle w:val="ListParagraph"/>
        <w:numPr>
          <w:ilvl w:val="0"/>
          <w:numId w:val="11"/>
        </w:numPr>
      </w:pPr>
      <w:r>
        <w:t>Plant and equipment.</w:t>
      </w:r>
    </w:p>
    <w:p w:rsidR="00812F1B" w:rsidRPr="00812F1B" w:rsidRDefault="00812F1B" w:rsidP="00812F1B"/>
    <w:p w:rsidR="00812F1B" w:rsidRPr="00F66A45" w:rsidRDefault="00812F1B" w:rsidP="00812F1B">
      <w:pPr>
        <w:rPr>
          <w:b/>
        </w:rPr>
      </w:pPr>
      <w:r w:rsidRPr="00F66A45">
        <w:rPr>
          <w:b/>
        </w:rPr>
        <w:t xml:space="preserve">Capital works allowance </w:t>
      </w:r>
    </w:p>
    <w:p w:rsidR="00812F1B" w:rsidRDefault="00812F1B" w:rsidP="00812F1B">
      <w:r>
        <w:t xml:space="preserve">Capital works allowance are income tax deductions a person may claim for building and construction costs, the costs associated with any alterations or capital improvements to the surrounding property. </w:t>
      </w:r>
    </w:p>
    <w:p w:rsidR="00812F1B" w:rsidRDefault="00812F1B" w:rsidP="00812F1B">
      <w:r>
        <w:t xml:space="preserve">An owner of a commercial property (i.e. a building intended to be used for non-residential purposes) may claim capital works deduction if the construction for the building commenced after 19 July 1982. </w:t>
      </w:r>
    </w:p>
    <w:p w:rsidR="00812F1B" w:rsidRDefault="00812F1B" w:rsidP="00812F1B">
      <w:r>
        <w:t xml:space="preserve">The rate of depreciation also depends on when construction commenced: </w:t>
      </w:r>
    </w:p>
    <w:p w:rsidR="00812F1B" w:rsidRDefault="00812F1B" w:rsidP="00812F1B">
      <w:pPr>
        <w:pStyle w:val="ListParagraph"/>
        <w:numPr>
          <w:ilvl w:val="0"/>
          <w:numId w:val="5"/>
        </w:numPr>
      </w:pPr>
      <w:r>
        <w:t xml:space="preserve">If construction commenced between </w:t>
      </w:r>
      <w:r w:rsidRPr="00127199">
        <w:rPr>
          <w:b/>
        </w:rPr>
        <w:t>19 July 1982</w:t>
      </w:r>
      <w:r>
        <w:t xml:space="preserve"> and </w:t>
      </w:r>
      <w:r w:rsidRPr="00127199">
        <w:rPr>
          <w:b/>
        </w:rPr>
        <w:t>21 August 1984</w:t>
      </w:r>
      <w:r>
        <w:t xml:space="preserve">, depreciation may be claimed at 2.5% per year over a 40 year period. </w:t>
      </w:r>
    </w:p>
    <w:p w:rsidR="00812F1B" w:rsidRDefault="00812F1B" w:rsidP="00812F1B">
      <w:pPr>
        <w:pStyle w:val="ListParagraph"/>
        <w:numPr>
          <w:ilvl w:val="0"/>
          <w:numId w:val="5"/>
        </w:numPr>
      </w:pPr>
      <w:r>
        <w:t xml:space="preserve">Between </w:t>
      </w:r>
      <w:r w:rsidRPr="00127199">
        <w:rPr>
          <w:b/>
        </w:rPr>
        <w:t>22 August 1984</w:t>
      </w:r>
      <w:r>
        <w:t xml:space="preserve"> and </w:t>
      </w:r>
      <w:r w:rsidRPr="00127199">
        <w:rPr>
          <w:b/>
        </w:rPr>
        <w:t>15 September 1987</w:t>
      </w:r>
      <w:r>
        <w:t xml:space="preserve">, depreciation can be claimed at 4% across a 25 year period. </w:t>
      </w:r>
    </w:p>
    <w:p w:rsidR="00812F1B" w:rsidRDefault="00812F1B" w:rsidP="00812F1B">
      <w:pPr>
        <w:pStyle w:val="ListParagraph"/>
        <w:numPr>
          <w:ilvl w:val="0"/>
          <w:numId w:val="5"/>
        </w:numPr>
      </w:pPr>
      <w:r>
        <w:t xml:space="preserve">After </w:t>
      </w:r>
      <w:r w:rsidRPr="00127199">
        <w:rPr>
          <w:b/>
        </w:rPr>
        <w:t>15 September 1987</w:t>
      </w:r>
      <w:r>
        <w:t xml:space="preserve">, the rate of reduction is again 2.5% over a 40 year period. </w:t>
      </w:r>
    </w:p>
    <w:p w:rsidR="00F66A45" w:rsidRDefault="00F66A45" w:rsidP="00F66A45">
      <w:r>
        <w:t xml:space="preserve">Capital works allowance a commercial property owner may be entitled to claim include brickwork, gyprock, tiling, floors, carpentry, handrails, waterproofing, doors, windows, painting, excavation and rendering. </w:t>
      </w:r>
    </w:p>
    <w:p w:rsidR="00F66A45" w:rsidRDefault="00F66A45" w:rsidP="00812F1B"/>
    <w:p w:rsidR="00812F1B" w:rsidRPr="00F66A45" w:rsidRDefault="00812F1B" w:rsidP="00812F1B">
      <w:pPr>
        <w:rPr>
          <w:b/>
        </w:rPr>
      </w:pPr>
      <w:r w:rsidRPr="00F66A45">
        <w:rPr>
          <w:b/>
        </w:rPr>
        <w:t xml:space="preserve">Plant and equipment </w:t>
      </w:r>
    </w:p>
    <w:p w:rsidR="00812F1B" w:rsidRDefault="00812F1B" w:rsidP="00812F1B">
      <w:r>
        <w:t xml:space="preserve">As the name suggests, plant and equipment deductions </w:t>
      </w:r>
      <w:r w:rsidR="004C4A63">
        <w:t xml:space="preserve">relate to </w:t>
      </w:r>
      <w:r>
        <w:t xml:space="preserve">the depreciation of </w:t>
      </w:r>
      <w:r w:rsidR="004C4A63">
        <w:t xml:space="preserve">‘plant and equipment’, i.e. removable fixtures and fittings. Each type of plant and equipment has an “effective life”, i.e. the length of time the plant or equipment can be used for taxation purposes. The effective life of plant and equipment and the deductions available on that item across its effective life are set by the </w:t>
      </w:r>
      <w:r w:rsidR="008D598D">
        <w:t>Australian Tax Office (</w:t>
      </w:r>
      <w:r w:rsidR="004C4A63">
        <w:t>ATO</w:t>
      </w:r>
      <w:r w:rsidR="008D598D">
        <w:t>)</w:t>
      </w:r>
      <w:r w:rsidR="004C4A63">
        <w:t xml:space="preserve">. </w:t>
      </w:r>
    </w:p>
    <w:p w:rsidR="00F66A45" w:rsidRPr="00812F1B" w:rsidRDefault="00F66A45" w:rsidP="00F66A45">
      <w:r>
        <w:t xml:space="preserve">Things that a commercial property owner may be able to claim for plant and equipment include air conditioning units, lifts, security systems, carpets, CCTV equipment, smoke detectors, any </w:t>
      </w:r>
      <w:r>
        <w:lastRenderedPageBreak/>
        <w:t>freestanding furniture supplied, hot water systems, any kitchen equipment supplied in the premises, including dishwasher, microwave ovens, television sets, exhaust fans, blinds and curtains.</w:t>
      </w:r>
    </w:p>
    <w:p w:rsidR="004C4A63" w:rsidRDefault="004C4A63" w:rsidP="00812F1B"/>
    <w:p w:rsidR="004C4A63" w:rsidRPr="00F66A45" w:rsidRDefault="004C4A63" w:rsidP="00812F1B">
      <w:pPr>
        <w:rPr>
          <w:b/>
        </w:rPr>
      </w:pPr>
      <w:r w:rsidRPr="00F66A45">
        <w:rPr>
          <w:b/>
        </w:rPr>
        <w:t>How to work out depreciation</w:t>
      </w:r>
    </w:p>
    <w:p w:rsidR="004C4A63" w:rsidRDefault="004C4A63" w:rsidP="00812F1B">
      <w:r>
        <w:t xml:space="preserve">Depreciation can be worked out using two methods: </w:t>
      </w:r>
    </w:p>
    <w:p w:rsidR="004C4A63" w:rsidRDefault="004C4A63" w:rsidP="004C4A63">
      <w:pPr>
        <w:pStyle w:val="ListParagraph"/>
        <w:numPr>
          <w:ilvl w:val="0"/>
          <w:numId w:val="12"/>
        </w:numPr>
      </w:pPr>
      <w:r>
        <w:t>Prime cost method;</w:t>
      </w:r>
    </w:p>
    <w:p w:rsidR="004C4A63" w:rsidRDefault="004C4A63" w:rsidP="004C4A63">
      <w:pPr>
        <w:pStyle w:val="ListParagraph"/>
        <w:numPr>
          <w:ilvl w:val="0"/>
          <w:numId w:val="12"/>
        </w:numPr>
      </w:pPr>
      <w:r>
        <w:t>Diminishing value method.</w:t>
      </w:r>
    </w:p>
    <w:p w:rsidR="004C4A63" w:rsidRDefault="004C4A63" w:rsidP="004C4A63">
      <w:r>
        <w:t xml:space="preserve">The diminishing value method assumes that the decline in value is a constant percentage of the base value of the property, and produces a large amount of depreciation in the earlier years, and progressively smaller amount of depreciation towards the latter part of the property’s effective life. </w:t>
      </w:r>
    </w:p>
    <w:p w:rsidR="004C4A63" w:rsidRDefault="004C4A63" w:rsidP="004C4A63">
      <w:r>
        <w:t xml:space="preserve">The prime cost method assumes that the depreciating asset decreases its value by a constant amount over its effective life, and produces consistent depreciation across the life of the property. </w:t>
      </w:r>
    </w:p>
    <w:p w:rsidR="004C4A63" w:rsidRDefault="004C4A63" w:rsidP="004C4A63">
      <w:r>
        <w:t xml:space="preserve">To work out which method to use, and how to calculate depreciation in accordance with either method, please consult your quantity surveyor and accountant. </w:t>
      </w:r>
    </w:p>
    <w:p w:rsidR="00F66A45" w:rsidRDefault="00F66A45" w:rsidP="004C4A63"/>
    <w:p w:rsidR="00F66A45" w:rsidRPr="00F66A45" w:rsidRDefault="00F66A45" w:rsidP="004C4A63">
      <w:pPr>
        <w:rPr>
          <w:b/>
        </w:rPr>
      </w:pPr>
      <w:r w:rsidRPr="00F66A45">
        <w:rPr>
          <w:b/>
        </w:rPr>
        <w:t xml:space="preserve">Major differences between commercial and residential property depreciation </w:t>
      </w:r>
    </w:p>
    <w:p w:rsidR="008D3F2C" w:rsidRPr="0083580B" w:rsidRDefault="008D3F2C" w:rsidP="00F66A45">
      <w:pPr>
        <w:pStyle w:val="ListParagraph"/>
        <w:numPr>
          <w:ilvl w:val="0"/>
          <w:numId w:val="13"/>
        </w:numPr>
        <w:rPr>
          <w:b/>
        </w:rPr>
      </w:pPr>
      <w:r w:rsidRPr="0083580B">
        <w:rPr>
          <w:b/>
        </w:rPr>
        <w:t xml:space="preserve">You </w:t>
      </w:r>
      <w:r w:rsidR="00F66A45" w:rsidRPr="0083580B">
        <w:rPr>
          <w:b/>
        </w:rPr>
        <w:t xml:space="preserve">may </w:t>
      </w:r>
      <w:r w:rsidRPr="0083580B">
        <w:rPr>
          <w:b/>
        </w:rPr>
        <w:t xml:space="preserve">claim depreciation </w:t>
      </w:r>
      <w:r w:rsidR="00F66A45" w:rsidRPr="0083580B">
        <w:rPr>
          <w:b/>
        </w:rPr>
        <w:t xml:space="preserve">even if you </w:t>
      </w:r>
      <w:r w:rsidR="008D598D" w:rsidRPr="0083580B">
        <w:rPr>
          <w:b/>
        </w:rPr>
        <w:t xml:space="preserve">occupy </w:t>
      </w:r>
      <w:r w:rsidR="00F66A45" w:rsidRPr="0083580B">
        <w:rPr>
          <w:b/>
        </w:rPr>
        <w:t xml:space="preserve">your </w:t>
      </w:r>
      <w:r w:rsidR="008D598D" w:rsidRPr="0083580B">
        <w:rPr>
          <w:b/>
        </w:rPr>
        <w:t xml:space="preserve">own </w:t>
      </w:r>
      <w:r w:rsidRPr="0083580B">
        <w:rPr>
          <w:b/>
        </w:rPr>
        <w:t>commercial property</w:t>
      </w:r>
    </w:p>
    <w:p w:rsidR="0083580B" w:rsidRDefault="00F66A45" w:rsidP="008D3F2C">
      <w:r>
        <w:t xml:space="preserve">If you are using a commercial property you own for your business, you </w:t>
      </w:r>
      <w:r w:rsidR="0083580B">
        <w:t xml:space="preserve">may be able to </w:t>
      </w:r>
      <w:r>
        <w:t xml:space="preserve">claim deductions on the depreciation as it is not regarded as your principal place of residence. </w:t>
      </w:r>
    </w:p>
    <w:p w:rsidR="00F66A45" w:rsidRDefault="0083580B" w:rsidP="008D3F2C">
      <w:r>
        <w:t xml:space="preserve">A typical arrangement is to purchase the commercial property through a superannuation fund, company or trust and lease it to the owner in a different capacity. In that case, the owner may be able to occupy the premises and claim property depreciation at the same time. However, it is important to note that ownership structure and leasing arrangements will have an impact on the marginal tax rate that is applied, so it is important to consult your accountant or advisor before making a decision. </w:t>
      </w:r>
    </w:p>
    <w:p w:rsidR="00F66A45" w:rsidRDefault="00F66A45" w:rsidP="008D3F2C"/>
    <w:p w:rsidR="00F66A45" w:rsidRPr="0083580B" w:rsidRDefault="00F66A45" w:rsidP="00F66A45">
      <w:pPr>
        <w:pStyle w:val="ListParagraph"/>
        <w:numPr>
          <w:ilvl w:val="0"/>
          <w:numId w:val="13"/>
        </w:numPr>
        <w:rPr>
          <w:b/>
        </w:rPr>
      </w:pPr>
      <w:r w:rsidRPr="0083580B">
        <w:rPr>
          <w:b/>
        </w:rPr>
        <w:t>Effective life may differ for non-residential properties</w:t>
      </w:r>
    </w:p>
    <w:p w:rsidR="008D598D" w:rsidRDefault="00F66A45" w:rsidP="00F66A45">
      <w:r>
        <w:t xml:space="preserve">The ATO publishes </w:t>
      </w:r>
      <w:r w:rsidR="008D598D">
        <w:t>an annual tax ruling on the effective life of depreciating assets.</w:t>
      </w:r>
      <w:r w:rsidR="008D598D">
        <w:rPr>
          <w:rStyle w:val="FootnoteReference"/>
        </w:rPr>
        <w:footnoteReference w:id="2"/>
      </w:r>
      <w:r w:rsidR="008D598D">
        <w:t xml:space="preserve"> It is important to note that in some cases, the effective life of an item differs depending on the industry. For example, carpets have an effective life of 10 years in a residential property, however in a non-residential property, they have an effective life of 8 years, taking into account the fact that flooring in commercial properties may be subject to more wear and tear and should therefore be depreciated at a higher rate. </w:t>
      </w:r>
    </w:p>
    <w:p w:rsidR="008D598D" w:rsidRDefault="008D598D" w:rsidP="008D3F2C"/>
    <w:p w:rsidR="008D598D" w:rsidRPr="0083580B" w:rsidRDefault="008D598D" w:rsidP="008D598D">
      <w:pPr>
        <w:pStyle w:val="ListParagraph"/>
        <w:numPr>
          <w:ilvl w:val="0"/>
          <w:numId w:val="13"/>
        </w:numPr>
        <w:rPr>
          <w:b/>
        </w:rPr>
      </w:pPr>
      <w:r w:rsidRPr="0083580B">
        <w:rPr>
          <w:b/>
        </w:rPr>
        <w:t xml:space="preserve">Commercial tenants may also claim depreciation </w:t>
      </w:r>
    </w:p>
    <w:p w:rsidR="008D598D" w:rsidRDefault="008D598D" w:rsidP="008D3F2C">
      <w:r>
        <w:t xml:space="preserve">The ATO allows for tenants to claim some depreciation for any fit-out they made to the premises from the commencement of their lease. This may include things like desks, shelving, carpets, firefighting equipment or extra security systems. </w:t>
      </w:r>
    </w:p>
    <w:p w:rsidR="008D598D" w:rsidRDefault="008D598D" w:rsidP="008D3F2C">
      <w:r>
        <w:t xml:space="preserve">If these fit-out items are removed at the end of the lease, the tenants may be eligible to claim the remaining depreciation value of the assets (sometimes referred to as ‘scrapping’). </w:t>
      </w:r>
    </w:p>
    <w:p w:rsidR="0083580B" w:rsidRDefault="0083580B" w:rsidP="008D3F2C"/>
    <w:p w:rsidR="008D3F2C" w:rsidRPr="0083580B" w:rsidRDefault="008D598D" w:rsidP="008D3F2C">
      <w:pPr>
        <w:rPr>
          <w:b/>
        </w:rPr>
      </w:pPr>
      <w:r w:rsidRPr="0083580B">
        <w:rPr>
          <w:b/>
        </w:rPr>
        <w:t xml:space="preserve">Record-keeping </w:t>
      </w:r>
    </w:p>
    <w:p w:rsidR="00717984" w:rsidRPr="008D3F2C" w:rsidRDefault="00267395" w:rsidP="008D3F2C">
      <w:r>
        <w:t xml:space="preserve">In claiming depreciation as a tax payer, you must keep certain records relating to the depreciating assets, including the cost of the asset, the adjustable value at the beginning and end of every income year, the date you start holding the asset, the date you dispose of the asset, as well as details of how you worked out the value of the asset. This information may be in the form of receipts and a report from a quantity surveyor. </w:t>
      </w:r>
      <w:r w:rsidR="008D598D">
        <w:t xml:space="preserve">Failure to keep proper records </w:t>
      </w:r>
      <w:r>
        <w:t>may attract penalties from the ATO.</w:t>
      </w:r>
    </w:p>
    <w:sectPr w:rsidR="00717984" w:rsidRPr="008D3F2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1768" w:rsidRDefault="006D1768" w:rsidP="00812F1B">
      <w:pPr>
        <w:spacing w:after="0" w:line="240" w:lineRule="auto"/>
      </w:pPr>
      <w:r>
        <w:separator/>
      </w:r>
    </w:p>
  </w:endnote>
  <w:endnote w:type="continuationSeparator" w:id="0">
    <w:p w:rsidR="006D1768" w:rsidRDefault="006D1768" w:rsidP="00812F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1768" w:rsidRDefault="006D1768" w:rsidP="00812F1B">
      <w:pPr>
        <w:spacing w:after="0" w:line="240" w:lineRule="auto"/>
      </w:pPr>
      <w:r>
        <w:separator/>
      </w:r>
    </w:p>
  </w:footnote>
  <w:footnote w:type="continuationSeparator" w:id="0">
    <w:p w:rsidR="006D1768" w:rsidRDefault="006D1768" w:rsidP="00812F1B">
      <w:pPr>
        <w:spacing w:after="0" w:line="240" w:lineRule="auto"/>
      </w:pPr>
      <w:r>
        <w:continuationSeparator/>
      </w:r>
    </w:p>
  </w:footnote>
  <w:footnote w:id="1">
    <w:p w:rsidR="00812F1B" w:rsidRDefault="00812F1B">
      <w:pPr>
        <w:pStyle w:val="FootnoteText"/>
      </w:pPr>
      <w:r>
        <w:rPr>
          <w:rStyle w:val="FootnoteReference"/>
        </w:rPr>
        <w:footnoteRef/>
      </w:r>
      <w:r>
        <w:t xml:space="preserve"> See “Guide to Depreciating Assets 2016”, published by the Australian Tax Office.</w:t>
      </w:r>
    </w:p>
  </w:footnote>
  <w:footnote w:id="2">
    <w:p w:rsidR="008D598D" w:rsidRDefault="008D598D">
      <w:pPr>
        <w:pStyle w:val="FootnoteText"/>
      </w:pPr>
      <w:r>
        <w:rPr>
          <w:rStyle w:val="FootnoteReference"/>
        </w:rPr>
        <w:footnoteRef/>
      </w:r>
      <w:r>
        <w:t xml:space="preserve"> See the latest version at TR 2016/1 – Income Tax: effective life of depreciating assets.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A2145"/>
    <w:multiLevelType w:val="multilevel"/>
    <w:tmpl w:val="1340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FA747C"/>
    <w:multiLevelType w:val="hybridMultilevel"/>
    <w:tmpl w:val="381A849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3C17AC2"/>
    <w:multiLevelType w:val="multilevel"/>
    <w:tmpl w:val="79C62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5237FE"/>
    <w:multiLevelType w:val="hybridMultilevel"/>
    <w:tmpl w:val="836EBBB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AA01D02"/>
    <w:multiLevelType w:val="multilevel"/>
    <w:tmpl w:val="3940B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432010"/>
    <w:multiLevelType w:val="multilevel"/>
    <w:tmpl w:val="8202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31104B"/>
    <w:multiLevelType w:val="hybridMultilevel"/>
    <w:tmpl w:val="A3C4357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D361F1D"/>
    <w:multiLevelType w:val="multilevel"/>
    <w:tmpl w:val="9A1A6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5B03BF"/>
    <w:multiLevelType w:val="multilevel"/>
    <w:tmpl w:val="BB1C9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213C09"/>
    <w:multiLevelType w:val="hybridMultilevel"/>
    <w:tmpl w:val="10FAB9F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12F0392"/>
    <w:multiLevelType w:val="hybridMultilevel"/>
    <w:tmpl w:val="4DFE8E2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574E07F8"/>
    <w:multiLevelType w:val="multilevel"/>
    <w:tmpl w:val="C60A0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8006879"/>
    <w:multiLevelType w:val="multilevel"/>
    <w:tmpl w:val="8C88E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7"/>
  </w:num>
  <w:num w:numId="3">
    <w:abstractNumId w:val="5"/>
  </w:num>
  <w:num w:numId="4">
    <w:abstractNumId w:val="10"/>
  </w:num>
  <w:num w:numId="5">
    <w:abstractNumId w:val="6"/>
  </w:num>
  <w:num w:numId="6">
    <w:abstractNumId w:val="2"/>
  </w:num>
  <w:num w:numId="7">
    <w:abstractNumId w:val="0"/>
  </w:num>
  <w:num w:numId="8">
    <w:abstractNumId w:val="4"/>
  </w:num>
  <w:num w:numId="9">
    <w:abstractNumId w:val="8"/>
  </w:num>
  <w:num w:numId="10">
    <w:abstractNumId w:val="12"/>
  </w:num>
  <w:num w:numId="11">
    <w:abstractNumId w:val="3"/>
  </w:num>
  <w:num w:numId="12">
    <w:abstractNumId w:val="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577"/>
    <w:rsid w:val="00127199"/>
    <w:rsid w:val="00267395"/>
    <w:rsid w:val="0035689F"/>
    <w:rsid w:val="003A6283"/>
    <w:rsid w:val="00402728"/>
    <w:rsid w:val="004C4A63"/>
    <w:rsid w:val="005E6379"/>
    <w:rsid w:val="006D1768"/>
    <w:rsid w:val="00717984"/>
    <w:rsid w:val="00812F1B"/>
    <w:rsid w:val="0083580B"/>
    <w:rsid w:val="008D3F2C"/>
    <w:rsid w:val="008D598D"/>
    <w:rsid w:val="00AB7577"/>
    <w:rsid w:val="00F66A4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E2FC23-D033-4444-BF17-335BC244A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812F1B"/>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3">
    <w:name w:val="heading 3"/>
    <w:basedOn w:val="Normal"/>
    <w:link w:val="Heading3Char"/>
    <w:uiPriority w:val="9"/>
    <w:qFormat/>
    <w:rsid w:val="00812F1B"/>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paragraph" w:styleId="Heading4">
    <w:name w:val="heading 4"/>
    <w:basedOn w:val="Normal"/>
    <w:link w:val="Heading4Char"/>
    <w:uiPriority w:val="9"/>
    <w:qFormat/>
    <w:rsid w:val="00812F1B"/>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B757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AB7577"/>
    <w:rPr>
      <w:b/>
      <w:bCs/>
    </w:rPr>
  </w:style>
  <w:style w:type="character" w:customStyle="1" w:styleId="apple-converted-space">
    <w:name w:val="apple-converted-space"/>
    <w:basedOn w:val="DefaultParagraphFont"/>
    <w:rsid w:val="00AB7577"/>
  </w:style>
  <w:style w:type="paragraph" w:styleId="ListParagraph">
    <w:name w:val="List Paragraph"/>
    <w:basedOn w:val="Normal"/>
    <w:uiPriority w:val="34"/>
    <w:qFormat/>
    <w:rsid w:val="003A6283"/>
    <w:pPr>
      <w:ind w:left="720"/>
      <w:contextualSpacing/>
    </w:pPr>
  </w:style>
  <w:style w:type="character" w:styleId="Hyperlink">
    <w:name w:val="Hyperlink"/>
    <w:basedOn w:val="DefaultParagraphFont"/>
    <w:uiPriority w:val="99"/>
    <w:unhideWhenUsed/>
    <w:rsid w:val="00812F1B"/>
    <w:rPr>
      <w:color w:val="0000FF"/>
      <w:u w:val="single"/>
    </w:rPr>
  </w:style>
  <w:style w:type="character" w:customStyle="1" w:styleId="Heading2Char">
    <w:name w:val="Heading 2 Char"/>
    <w:basedOn w:val="DefaultParagraphFont"/>
    <w:link w:val="Heading2"/>
    <w:uiPriority w:val="9"/>
    <w:rsid w:val="00812F1B"/>
    <w:rPr>
      <w:rFonts w:ascii="Times New Roman" w:eastAsia="Times New Roman" w:hAnsi="Times New Roman" w:cs="Times New Roman"/>
      <w:b/>
      <w:bCs/>
      <w:sz w:val="36"/>
      <w:szCs w:val="36"/>
      <w:lang w:eastAsia="en-AU"/>
    </w:rPr>
  </w:style>
  <w:style w:type="character" w:customStyle="1" w:styleId="Heading3Char">
    <w:name w:val="Heading 3 Char"/>
    <w:basedOn w:val="DefaultParagraphFont"/>
    <w:link w:val="Heading3"/>
    <w:uiPriority w:val="9"/>
    <w:rsid w:val="00812F1B"/>
    <w:rPr>
      <w:rFonts w:ascii="Times New Roman" w:eastAsia="Times New Roman" w:hAnsi="Times New Roman" w:cs="Times New Roman"/>
      <w:b/>
      <w:bCs/>
      <w:sz w:val="27"/>
      <w:szCs w:val="27"/>
      <w:lang w:eastAsia="en-AU"/>
    </w:rPr>
  </w:style>
  <w:style w:type="character" w:customStyle="1" w:styleId="Heading4Char">
    <w:name w:val="Heading 4 Char"/>
    <w:basedOn w:val="DefaultParagraphFont"/>
    <w:link w:val="Heading4"/>
    <w:uiPriority w:val="9"/>
    <w:rsid w:val="00812F1B"/>
    <w:rPr>
      <w:rFonts w:ascii="Times New Roman" w:eastAsia="Times New Roman" w:hAnsi="Times New Roman" w:cs="Times New Roman"/>
      <w:b/>
      <w:bCs/>
      <w:sz w:val="24"/>
      <w:szCs w:val="24"/>
      <w:lang w:eastAsia="en-AU"/>
    </w:rPr>
  </w:style>
  <w:style w:type="character" w:styleId="Emphasis">
    <w:name w:val="Emphasis"/>
    <w:basedOn w:val="DefaultParagraphFont"/>
    <w:uiPriority w:val="20"/>
    <w:qFormat/>
    <w:rsid w:val="00812F1B"/>
    <w:rPr>
      <w:i/>
      <w:iCs/>
    </w:rPr>
  </w:style>
  <w:style w:type="paragraph" w:styleId="FootnoteText">
    <w:name w:val="footnote text"/>
    <w:basedOn w:val="Normal"/>
    <w:link w:val="FootnoteTextChar"/>
    <w:uiPriority w:val="99"/>
    <w:semiHidden/>
    <w:unhideWhenUsed/>
    <w:rsid w:val="00812F1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2F1B"/>
    <w:rPr>
      <w:sz w:val="20"/>
      <w:szCs w:val="20"/>
    </w:rPr>
  </w:style>
  <w:style w:type="character" w:styleId="FootnoteReference">
    <w:name w:val="footnote reference"/>
    <w:basedOn w:val="DefaultParagraphFont"/>
    <w:uiPriority w:val="99"/>
    <w:semiHidden/>
    <w:unhideWhenUsed/>
    <w:rsid w:val="00812F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15">
      <w:bodyDiv w:val="1"/>
      <w:marLeft w:val="0"/>
      <w:marRight w:val="0"/>
      <w:marTop w:val="0"/>
      <w:marBottom w:val="0"/>
      <w:divBdr>
        <w:top w:val="none" w:sz="0" w:space="0" w:color="auto"/>
        <w:left w:val="none" w:sz="0" w:space="0" w:color="auto"/>
        <w:bottom w:val="none" w:sz="0" w:space="0" w:color="auto"/>
        <w:right w:val="none" w:sz="0" w:space="0" w:color="auto"/>
      </w:divBdr>
    </w:div>
    <w:div w:id="123626276">
      <w:bodyDiv w:val="1"/>
      <w:marLeft w:val="0"/>
      <w:marRight w:val="0"/>
      <w:marTop w:val="0"/>
      <w:marBottom w:val="0"/>
      <w:divBdr>
        <w:top w:val="none" w:sz="0" w:space="0" w:color="auto"/>
        <w:left w:val="none" w:sz="0" w:space="0" w:color="auto"/>
        <w:bottom w:val="none" w:sz="0" w:space="0" w:color="auto"/>
        <w:right w:val="none" w:sz="0" w:space="0" w:color="auto"/>
      </w:divBdr>
    </w:div>
    <w:div w:id="265503399">
      <w:bodyDiv w:val="1"/>
      <w:marLeft w:val="0"/>
      <w:marRight w:val="0"/>
      <w:marTop w:val="0"/>
      <w:marBottom w:val="0"/>
      <w:divBdr>
        <w:top w:val="none" w:sz="0" w:space="0" w:color="auto"/>
        <w:left w:val="none" w:sz="0" w:space="0" w:color="auto"/>
        <w:bottom w:val="none" w:sz="0" w:space="0" w:color="auto"/>
        <w:right w:val="none" w:sz="0" w:space="0" w:color="auto"/>
      </w:divBdr>
    </w:div>
    <w:div w:id="1167676611">
      <w:bodyDiv w:val="1"/>
      <w:marLeft w:val="0"/>
      <w:marRight w:val="0"/>
      <w:marTop w:val="0"/>
      <w:marBottom w:val="0"/>
      <w:divBdr>
        <w:top w:val="none" w:sz="0" w:space="0" w:color="auto"/>
        <w:left w:val="none" w:sz="0" w:space="0" w:color="auto"/>
        <w:bottom w:val="none" w:sz="0" w:space="0" w:color="auto"/>
        <w:right w:val="none" w:sz="0" w:space="0" w:color="auto"/>
      </w:divBdr>
      <w:divsChild>
        <w:div w:id="4677782">
          <w:marLeft w:val="0"/>
          <w:marRight w:val="0"/>
          <w:marTop w:val="0"/>
          <w:marBottom w:val="0"/>
          <w:divBdr>
            <w:top w:val="none" w:sz="0" w:space="0" w:color="auto"/>
            <w:left w:val="none" w:sz="0" w:space="0" w:color="auto"/>
            <w:bottom w:val="none" w:sz="0" w:space="0" w:color="auto"/>
            <w:right w:val="none" w:sz="0" w:space="0" w:color="auto"/>
          </w:divBdr>
        </w:div>
        <w:div w:id="274561007">
          <w:marLeft w:val="0"/>
          <w:marRight w:val="0"/>
          <w:marTop w:val="0"/>
          <w:marBottom w:val="0"/>
          <w:divBdr>
            <w:top w:val="none" w:sz="0" w:space="0" w:color="auto"/>
            <w:left w:val="none" w:sz="0" w:space="0" w:color="auto"/>
            <w:bottom w:val="none" w:sz="0" w:space="0" w:color="auto"/>
            <w:right w:val="none" w:sz="0" w:space="0" w:color="auto"/>
          </w:divBdr>
        </w:div>
      </w:divsChild>
    </w:div>
    <w:div w:id="1416435268">
      <w:bodyDiv w:val="1"/>
      <w:marLeft w:val="0"/>
      <w:marRight w:val="0"/>
      <w:marTop w:val="0"/>
      <w:marBottom w:val="0"/>
      <w:divBdr>
        <w:top w:val="none" w:sz="0" w:space="0" w:color="auto"/>
        <w:left w:val="none" w:sz="0" w:space="0" w:color="auto"/>
        <w:bottom w:val="none" w:sz="0" w:space="0" w:color="auto"/>
        <w:right w:val="none" w:sz="0" w:space="0" w:color="auto"/>
      </w:divBdr>
    </w:div>
    <w:div w:id="1475292686">
      <w:bodyDiv w:val="1"/>
      <w:marLeft w:val="0"/>
      <w:marRight w:val="0"/>
      <w:marTop w:val="0"/>
      <w:marBottom w:val="0"/>
      <w:divBdr>
        <w:top w:val="none" w:sz="0" w:space="0" w:color="auto"/>
        <w:left w:val="none" w:sz="0" w:space="0" w:color="auto"/>
        <w:bottom w:val="none" w:sz="0" w:space="0" w:color="auto"/>
        <w:right w:val="none" w:sz="0" w:space="0" w:color="auto"/>
      </w:divBdr>
    </w:div>
    <w:div w:id="1540390353">
      <w:bodyDiv w:val="1"/>
      <w:marLeft w:val="0"/>
      <w:marRight w:val="0"/>
      <w:marTop w:val="0"/>
      <w:marBottom w:val="0"/>
      <w:divBdr>
        <w:top w:val="none" w:sz="0" w:space="0" w:color="auto"/>
        <w:left w:val="none" w:sz="0" w:space="0" w:color="auto"/>
        <w:bottom w:val="none" w:sz="0" w:space="0" w:color="auto"/>
        <w:right w:val="none" w:sz="0" w:space="0" w:color="auto"/>
      </w:divBdr>
      <w:divsChild>
        <w:div w:id="2107458561">
          <w:marLeft w:val="0"/>
          <w:marRight w:val="0"/>
          <w:marTop w:val="360"/>
          <w:marBottom w:val="360"/>
          <w:divBdr>
            <w:top w:val="none" w:sz="0" w:space="0" w:color="auto"/>
            <w:left w:val="none" w:sz="0" w:space="0" w:color="auto"/>
            <w:bottom w:val="none" w:sz="0" w:space="0" w:color="auto"/>
            <w:right w:val="none" w:sz="0" w:space="0" w:color="auto"/>
          </w:divBdr>
        </w:div>
        <w:div w:id="736244900">
          <w:marLeft w:val="0"/>
          <w:marRight w:val="0"/>
          <w:marTop w:val="360"/>
          <w:marBottom w:val="360"/>
          <w:divBdr>
            <w:top w:val="none" w:sz="0" w:space="0" w:color="auto"/>
            <w:left w:val="none" w:sz="0" w:space="0" w:color="auto"/>
            <w:bottom w:val="none" w:sz="0" w:space="0" w:color="auto"/>
            <w:right w:val="none" w:sz="0" w:space="0" w:color="auto"/>
          </w:divBdr>
        </w:div>
        <w:div w:id="336612428">
          <w:marLeft w:val="0"/>
          <w:marRight w:val="0"/>
          <w:marTop w:val="360"/>
          <w:marBottom w:val="360"/>
          <w:divBdr>
            <w:top w:val="none" w:sz="0" w:space="0" w:color="auto"/>
            <w:left w:val="none" w:sz="0" w:space="0" w:color="auto"/>
            <w:bottom w:val="none" w:sz="0" w:space="0" w:color="auto"/>
            <w:right w:val="none" w:sz="0" w:space="0" w:color="auto"/>
          </w:divBdr>
        </w:div>
        <w:div w:id="1341470409">
          <w:marLeft w:val="0"/>
          <w:marRight w:val="0"/>
          <w:marTop w:val="36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D4C2C9-4997-4F85-96E3-D27BFD777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806</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Tarrant</dc:creator>
  <cp:lastModifiedBy>Helen</cp:lastModifiedBy>
  <cp:revision>2</cp:revision>
  <dcterms:created xsi:type="dcterms:W3CDTF">2016-10-18T22:06:00Z</dcterms:created>
  <dcterms:modified xsi:type="dcterms:W3CDTF">2016-10-18T22:06:00Z</dcterms:modified>
</cp:coreProperties>
</file>