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DE7" w:rsidRPr="005B56F1" w:rsidRDefault="00277DE7" w:rsidP="005B56F1">
      <w:pPr>
        <w:pStyle w:val="ListParagraph"/>
        <w:numPr>
          <w:ilvl w:val="0"/>
          <w:numId w:val="10"/>
        </w:numPr>
        <w:rPr>
          <w:b/>
        </w:rPr>
      </w:pPr>
      <w:bookmarkStart w:id="0" w:name="_GoBack"/>
      <w:bookmarkEnd w:id="0"/>
      <w:r w:rsidRPr="005B56F1">
        <w:rPr>
          <w:b/>
        </w:rPr>
        <w:t xml:space="preserve">Lease Terminations </w:t>
      </w:r>
    </w:p>
    <w:p w:rsidR="00C20539" w:rsidRDefault="006F17A6" w:rsidP="00277DE7">
      <w:r>
        <w:t xml:space="preserve">A commercial lease is a binding legal contract between the landlord and the tenant, and may be governed by a number of different sources of law, including: </w:t>
      </w:r>
    </w:p>
    <w:p w:rsidR="006F17A6" w:rsidRDefault="006F17A6" w:rsidP="005B56F1">
      <w:pPr>
        <w:pStyle w:val="ListParagraph"/>
        <w:numPr>
          <w:ilvl w:val="0"/>
          <w:numId w:val="9"/>
        </w:numPr>
      </w:pPr>
      <w:r>
        <w:t>Contract law;</w:t>
      </w:r>
      <w:r>
        <w:rPr>
          <w:rStyle w:val="FootnoteReference"/>
        </w:rPr>
        <w:footnoteReference w:id="1"/>
      </w:r>
    </w:p>
    <w:p w:rsidR="006F17A6" w:rsidRDefault="006F17A6" w:rsidP="005B56F1">
      <w:pPr>
        <w:pStyle w:val="ListParagraph"/>
        <w:numPr>
          <w:ilvl w:val="0"/>
          <w:numId w:val="9"/>
        </w:numPr>
      </w:pPr>
      <w:r w:rsidRPr="006F17A6">
        <w:rPr>
          <w:i/>
        </w:rPr>
        <w:t>Conveyancing Act 1919</w:t>
      </w:r>
      <w:r>
        <w:t xml:space="preserve"> (NSW), which applies to general commercial leases; </w:t>
      </w:r>
    </w:p>
    <w:p w:rsidR="006F17A6" w:rsidRDefault="006F17A6" w:rsidP="005B56F1">
      <w:pPr>
        <w:pStyle w:val="ListParagraph"/>
        <w:numPr>
          <w:ilvl w:val="0"/>
          <w:numId w:val="9"/>
        </w:numPr>
      </w:pPr>
      <w:r>
        <w:rPr>
          <w:i/>
        </w:rPr>
        <w:t xml:space="preserve">Retail Leases Act </w:t>
      </w:r>
      <w:r w:rsidRPr="006F17A6">
        <w:rPr>
          <w:i/>
        </w:rPr>
        <w:t>1994</w:t>
      </w:r>
      <w:r>
        <w:t xml:space="preserve"> (NSW), which governs all leases that fall under the definition of a retail lease.</w:t>
      </w:r>
      <w:r>
        <w:rPr>
          <w:rStyle w:val="FootnoteReference"/>
        </w:rPr>
        <w:footnoteReference w:id="2"/>
      </w:r>
    </w:p>
    <w:p w:rsidR="006F17A6" w:rsidRDefault="006F17A6" w:rsidP="006F17A6">
      <w:r>
        <w:t xml:space="preserve">In NSW, retail leases carry additional rights and procedural requirements in relation to lease terminations.  </w:t>
      </w:r>
      <w:r w:rsidR="008E3C85">
        <w:t xml:space="preserve">It is important to understand the type of lease that is in place before determining what to do in relation to a lease termination. </w:t>
      </w:r>
    </w:p>
    <w:p w:rsidR="00277DE7" w:rsidRPr="005B56F1" w:rsidRDefault="00277DE7" w:rsidP="005B56F1">
      <w:pPr>
        <w:pStyle w:val="ListParagraph"/>
        <w:numPr>
          <w:ilvl w:val="0"/>
          <w:numId w:val="10"/>
        </w:numPr>
        <w:rPr>
          <w:b/>
        </w:rPr>
      </w:pPr>
      <w:r w:rsidRPr="005B56F1">
        <w:rPr>
          <w:b/>
        </w:rPr>
        <w:t xml:space="preserve">When may a lease be terminated? </w:t>
      </w:r>
    </w:p>
    <w:p w:rsidR="00AD1B61" w:rsidRDefault="00AD1B61" w:rsidP="00277DE7">
      <w:r>
        <w:t xml:space="preserve">A lease may be terminated for a number of different reasons, including: </w:t>
      </w:r>
    </w:p>
    <w:p w:rsidR="00AD1B61" w:rsidRDefault="006F17A6" w:rsidP="005B56F1">
      <w:pPr>
        <w:pStyle w:val="ListParagraph"/>
        <w:numPr>
          <w:ilvl w:val="0"/>
          <w:numId w:val="1"/>
        </w:numPr>
      </w:pPr>
      <w:r>
        <w:t>At the e</w:t>
      </w:r>
      <w:r w:rsidR="00AD1B61">
        <w:t xml:space="preserve">xpiration of the lease term; </w:t>
      </w:r>
    </w:p>
    <w:p w:rsidR="00AD1B61" w:rsidRDefault="006F17A6" w:rsidP="005B56F1">
      <w:pPr>
        <w:pStyle w:val="ListParagraph"/>
        <w:numPr>
          <w:ilvl w:val="0"/>
          <w:numId w:val="1"/>
        </w:numPr>
      </w:pPr>
      <w:r>
        <w:t>For b</w:t>
      </w:r>
      <w:r w:rsidR="00C15A73">
        <w:t>reach by</w:t>
      </w:r>
      <w:r w:rsidR="00AD1B61">
        <w:t xml:space="preserve"> the </w:t>
      </w:r>
      <w:r w:rsidR="00C15A73">
        <w:t>landlord or tenant</w:t>
      </w:r>
      <w:r w:rsidR="00AD1B61">
        <w:t xml:space="preserve">; </w:t>
      </w:r>
    </w:p>
    <w:p w:rsidR="006F17A6" w:rsidRDefault="006F17A6" w:rsidP="005B56F1">
      <w:pPr>
        <w:pStyle w:val="ListParagraph"/>
        <w:numPr>
          <w:ilvl w:val="0"/>
          <w:numId w:val="1"/>
        </w:numPr>
      </w:pPr>
      <w:r>
        <w:t>In accordance with the terms of the lease;</w:t>
      </w:r>
    </w:p>
    <w:p w:rsidR="00C24F69" w:rsidRDefault="00C24F69" w:rsidP="005B56F1">
      <w:pPr>
        <w:pStyle w:val="ListParagraph"/>
        <w:numPr>
          <w:ilvl w:val="0"/>
          <w:numId w:val="1"/>
        </w:numPr>
      </w:pPr>
      <w:r>
        <w:t>Demolition, where the lease contains a demolition clause;</w:t>
      </w:r>
    </w:p>
    <w:p w:rsidR="00AD1B61" w:rsidRDefault="006F17A6" w:rsidP="005B56F1">
      <w:pPr>
        <w:pStyle w:val="ListParagraph"/>
        <w:numPr>
          <w:ilvl w:val="0"/>
          <w:numId w:val="1"/>
        </w:numPr>
      </w:pPr>
      <w:r>
        <w:t xml:space="preserve">As a </w:t>
      </w:r>
      <w:r w:rsidR="00AD1B61" w:rsidRPr="00AD1B61">
        <w:t>tenant negotiate</w:t>
      </w:r>
      <w:r>
        <w:t xml:space="preserve">d </w:t>
      </w:r>
      <w:r w:rsidR="00C15A73">
        <w:t>surrender with the landlord;</w:t>
      </w:r>
      <w:r>
        <w:t xml:space="preserve"> or </w:t>
      </w:r>
    </w:p>
    <w:p w:rsidR="00C15A73" w:rsidRDefault="006F17A6" w:rsidP="00C24F69">
      <w:pPr>
        <w:pStyle w:val="ListParagraph"/>
        <w:numPr>
          <w:ilvl w:val="0"/>
          <w:numId w:val="1"/>
        </w:numPr>
        <w:ind w:left="714" w:hanging="357"/>
        <w:contextualSpacing w:val="0"/>
      </w:pPr>
      <w:r>
        <w:t xml:space="preserve">Assigned </w:t>
      </w:r>
      <w:r w:rsidR="00C15A73">
        <w:t>to a third party, e.g. following sale of a business.</w:t>
      </w:r>
    </w:p>
    <w:p w:rsidR="005B56F1" w:rsidRDefault="00277DE7" w:rsidP="00C24F69">
      <w:pPr>
        <w:pStyle w:val="ListParagraph"/>
        <w:numPr>
          <w:ilvl w:val="0"/>
          <w:numId w:val="10"/>
        </w:numPr>
        <w:ind w:left="357" w:hanging="357"/>
        <w:contextualSpacing w:val="0"/>
        <w:rPr>
          <w:b/>
        </w:rPr>
      </w:pPr>
      <w:r w:rsidRPr="005B56F1">
        <w:rPr>
          <w:b/>
        </w:rPr>
        <w:t xml:space="preserve">What </w:t>
      </w:r>
      <w:r w:rsidR="00BD1D48" w:rsidRPr="005B56F1">
        <w:rPr>
          <w:b/>
        </w:rPr>
        <w:t xml:space="preserve">are the landlord's </w:t>
      </w:r>
      <w:r w:rsidR="008A5E42" w:rsidRPr="005B56F1">
        <w:rPr>
          <w:b/>
        </w:rPr>
        <w:t>obligations</w:t>
      </w:r>
      <w:r w:rsidR="00BD1D48" w:rsidRPr="005B56F1">
        <w:rPr>
          <w:b/>
        </w:rPr>
        <w:t>?</w:t>
      </w:r>
    </w:p>
    <w:p w:rsidR="008A5E42" w:rsidRPr="005B56F1" w:rsidRDefault="008A5E42" w:rsidP="005B56F1">
      <w:pPr>
        <w:pStyle w:val="ListParagraph"/>
        <w:numPr>
          <w:ilvl w:val="1"/>
          <w:numId w:val="10"/>
        </w:numPr>
        <w:rPr>
          <w:b/>
        </w:rPr>
      </w:pPr>
      <w:r w:rsidRPr="005B56F1">
        <w:rPr>
          <w:b/>
        </w:rPr>
        <w:t xml:space="preserve">Quiet enjoyment </w:t>
      </w:r>
    </w:p>
    <w:p w:rsidR="00106650" w:rsidRDefault="00106650" w:rsidP="00106650">
      <w:r>
        <w:t>The landlord has an implied obligation to allow a</w:t>
      </w:r>
      <w:r w:rsidR="008A5E42" w:rsidRPr="008A5E42">
        <w:t xml:space="preserve"> tenant </w:t>
      </w:r>
      <w:r>
        <w:t xml:space="preserve">“quiet enjoyment” of </w:t>
      </w:r>
      <w:r w:rsidR="008A5E42" w:rsidRPr="008A5E42">
        <w:t xml:space="preserve">the </w:t>
      </w:r>
      <w:r w:rsidR="008A5E42">
        <w:t xml:space="preserve">leased </w:t>
      </w:r>
      <w:r>
        <w:t xml:space="preserve">premises, i.e. occupation and use of the leased premises without substantial </w:t>
      </w:r>
      <w:r w:rsidR="008A5E42" w:rsidRPr="008A5E42">
        <w:t xml:space="preserve">interference from the </w:t>
      </w:r>
      <w:r w:rsidR="008A5E42">
        <w:t>landlord</w:t>
      </w:r>
      <w:r w:rsidR="008A5E42" w:rsidRPr="008A5E42">
        <w:t>.</w:t>
      </w:r>
      <w:r w:rsidR="008A5E42">
        <w:rPr>
          <w:rStyle w:val="FootnoteReference"/>
        </w:rPr>
        <w:footnoteReference w:id="3"/>
      </w:r>
      <w:r w:rsidRPr="00106650">
        <w:t xml:space="preserve"> </w:t>
      </w:r>
    </w:p>
    <w:p w:rsidR="00322E81" w:rsidRDefault="00106650" w:rsidP="00106650">
      <w:r>
        <w:t xml:space="preserve">What constitutes “substantial interference” will be determined by the purpose of the tenant’s use of the premises. In other words, the law protects the “quiet </w:t>
      </w:r>
      <w:r w:rsidRPr="00106650">
        <w:t>enjoyment</w:t>
      </w:r>
      <w:r>
        <w:t>”</w:t>
      </w:r>
      <w:r w:rsidRPr="00106650">
        <w:t xml:space="preserve"> of the premises for the </w:t>
      </w:r>
      <w:r>
        <w:t xml:space="preserve">mutually </w:t>
      </w:r>
      <w:r w:rsidRPr="00106650">
        <w:t xml:space="preserve">known purpose </w:t>
      </w:r>
      <w:r w:rsidR="00322E81">
        <w:t>or business of the tenant from substantial interference.</w:t>
      </w:r>
      <w:r w:rsidR="00322E81">
        <w:rPr>
          <w:rStyle w:val="FootnoteReference"/>
        </w:rPr>
        <w:footnoteReference w:id="4"/>
      </w:r>
    </w:p>
    <w:p w:rsidR="00322E81" w:rsidRDefault="00AC19A2" w:rsidP="00106650">
      <w:r>
        <w:t xml:space="preserve">This obligation may either by implied by common law, or expressed in the lease itself. </w:t>
      </w:r>
      <w:r w:rsidR="00322E81">
        <w:t xml:space="preserve">Where a breach by the landlord is sufficiently serious, a tenant may be entitled to terminate the lease. </w:t>
      </w:r>
    </w:p>
    <w:p w:rsidR="005B56F1" w:rsidRDefault="00BD1D48" w:rsidP="005B56F1">
      <w:pPr>
        <w:pStyle w:val="ListParagraph"/>
        <w:numPr>
          <w:ilvl w:val="0"/>
          <w:numId w:val="10"/>
        </w:numPr>
        <w:rPr>
          <w:b/>
        </w:rPr>
      </w:pPr>
      <w:r w:rsidRPr="005B56F1">
        <w:rPr>
          <w:b/>
        </w:rPr>
        <w:t>W</w:t>
      </w:r>
      <w:r w:rsidR="00277DE7" w:rsidRPr="005B56F1">
        <w:rPr>
          <w:b/>
        </w:rPr>
        <w:t xml:space="preserve">hat </w:t>
      </w:r>
      <w:r w:rsidR="008A5E42" w:rsidRPr="005B56F1">
        <w:rPr>
          <w:b/>
        </w:rPr>
        <w:t>are the tenant’s obligations?</w:t>
      </w:r>
    </w:p>
    <w:p w:rsidR="008A5E42" w:rsidRPr="005B56F1" w:rsidRDefault="008A5E42" w:rsidP="005B56F1">
      <w:pPr>
        <w:pStyle w:val="ListParagraph"/>
        <w:numPr>
          <w:ilvl w:val="1"/>
          <w:numId w:val="10"/>
        </w:numPr>
        <w:rPr>
          <w:b/>
        </w:rPr>
      </w:pPr>
      <w:r w:rsidRPr="005B56F1">
        <w:rPr>
          <w:b/>
        </w:rPr>
        <w:t xml:space="preserve">Obligation to pay rent </w:t>
      </w:r>
    </w:p>
    <w:p w:rsidR="008A5E42" w:rsidRDefault="008A5E42" w:rsidP="00277DE7">
      <w:r>
        <w:t>The tenant must pay rent at the time agreed to in the lease.</w:t>
      </w:r>
      <w:r w:rsidR="00D040BA">
        <w:rPr>
          <w:rStyle w:val="FootnoteReference"/>
        </w:rPr>
        <w:footnoteReference w:id="5"/>
      </w:r>
      <w:r>
        <w:t xml:space="preserve"> </w:t>
      </w:r>
      <w:r w:rsidR="00D040BA">
        <w:t xml:space="preserve">This obligation is limited if the premises are rendered unfit for occupation or use by the tenant, e.g. if damaged by fire, in which case all or </w:t>
      </w:r>
      <w:r w:rsidR="00D040BA">
        <w:lastRenderedPageBreak/>
        <w:t>part of the rent may be reserved until the premises are restored to a state that is fit of occupation and use.</w:t>
      </w:r>
    </w:p>
    <w:p w:rsidR="00D040BA" w:rsidRPr="005B56F1" w:rsidRDefault="00D040BA" w:rsidP="005B56F1">
      <w:pPr>
        <w:pStyle w:val="ListParagraph"/>
        <w:numPr>
          <w:ilvl w:val="1"/>
          <w:numId w:val="10"/>
        </w:numPr>
        <w:rPr>
          <w:b/>
        </w:rPr>
      </w:pPr>
      <w:r w:rsidRPr="005B56F1">
        <w:rPr>
          <w:b/>
        </w:rPr>
        <w:t xml:space="preserve">Obligation to keep the premises in good and tenantable repair </w:t>
      </w:r>
    </w:p>
    <w:p w:rsidR="00D040BA" w:rsidRDefault="00D040BA" w:rsidP="00277DE7">
      <w:r>
        <w:t xml:space="preserve">The tenant must – both during the lease and at the termination of the lease – keep the premises in good and tenantable repair. This is taking into account the condition of the premises at the commencement of the lease, as well as any reasonable wear and tear. </w:t>
      </w:r>
    </w:p>
    <w:p w:rsidR="00D040BA" w:rsidRDefault="00D040BA" w:rsidP="00277DE7">
      <w:r>
        <w:t>A breach of these obligations may give rise to termination by the landlord. In NSW, this is subject to the following conditions:</w:t>
      </w:r>
      <w:r>
        <w:rPr>
          <w:rStyle w:val="FootnoteReference"/>
        </w:rPr>
        <w:footnoteReference w:id="6"/>
      </w:r>
    </w:p>
    <w:p w:rsidR="00CA5084" w:rsidRDefault="00D040BA" w:rsidP="005B56F1">
      <w:pPr>
        <w:pStyle w:val="ListParagraph"/>
        <w:numPr>
          <w:ilvl w:val="0"/>
          <w:numId w:val="2"/>
        </w:numPr>
      </w:pPr>
      <w:r>
        <w:t xml:space="preserve">The breach of tenant’s obligations must have </w:t>
      </w:r>
      <w:r w:rsidR="00CA5084">
        <w:t>occurred for one month; and</w:t>
      </w:r>
    </w:p>
    <w:p w:rsidR="00D040BA" w:rsidRDefault="00CA5084" w:rsidP="005B56F1">
      <w:pPr>
        <w:pStyle w:val="ListParagraph"/>
        <w:numPr>
          <w:ilvl w:val="0"/>
          <w:numId w:val="2"/>
        </w:numPr>
      </w:pPr>
      <w:r>
        <w:t xml:space="preserve">The tenant has failed to remedy the breach after </w:t>
      </w:r>
      <w:r w:rsidR="00D040BA">
        <w:t xml:space="preserve">two months; </w:t>
      </w:r>
    </w:p>
    <w:p w:rsidR="00D040BA" w:rsidRPr="00277DE7" w:rsidRDefault="00D040BA" w:rsidP="005B56F1">
      <w:pPr>
        <w:pStyle w:val="ListParagraph"/>
        <w:numPr>
          <w:ilvl w:val="0"/>
          <w:numId w:val="2"/>
        </w:numPr>
      </w:pPr>
      <w:r>
        <w:t xml:space="preserve">If the breach relates to repairs, the landlord must have served a notice to repair on the tenant and repairs have not been carried out within a reasonable period of time specified. </w:t>
      </w:r>
    </w:p>
    <w:p w:rsidR="00C15A73" w:rsidRDefault="00C15A73" w:rsidP="008A5E42">
      <w:r>
        <w:t xml:space="preserve">Failure by the tenant to fulfil its obligations may give rise to a right for the landlord to re-enter the premises and forfeit the lease, i.e. repossessing the leased premises and bringing the lease to an end.  The tenant in this case may be liable for the landlord’s loss or damages, including any unpaid rent, forfeiture costs, damage to the premise and the costs of leasing the premises again.  </w:t>
      </w:r>
    </w:p>
    <w:p w:rsidR="005B56F1" w:rsidRDefault="008A5E42" w:rsidP="005B56F1">
      <w:pPr>
        <w:pStyle w:val="ListParagraph"/>
        <w:numPr>
          <w:ilvl w:val="0"/>
          <w:numId w:val="10"/>
        </w:numPr>
        <w:rPr>
          <w:b/>
        </w:rPr>
      </w:pPr>
      <w:r w:rsidRPr="005B56F1">
        <w:rPr>
          <w:b/>
        </w:rPr>
        <w:t>Process for terminating a commercial lease – Landlord</w:t>
      </w:r>
    </w:p>
    <w:p w:rsidR="008A5E42" w:rsidRPr="005B56F1" w:rsidRDefault="008A5E42" w:rsidP="005B56F1">
      <w:pPr>
        <w:pStyle w:val="ListParagraph"/>
        <w:numPr>
          <w:ilvl w:val="1"/>
          <w:numId w:val="10"/>
        </w:numPr>
        <w:rPr>
          <w:b/>
        </w:rPr>
      </w:pPr>
      <w:r w:rsidRPr="005B56F1">
        <w:rPr>
          <w:b/>
        </w:rPr>
        <w:t xml:space="preserve">End of term </w:t>
      </w:r>
    </w:p>
    <w:p w:rsidR="008A5E42" w:rsidRDefault="008A5E42" w:rsidP="008A5E42">
      <w:r>
        <w:t xml:space="preserve">A landlord may terminate a lease at the end of a lease term and the lease provides for no option. </w:t>
      </w:r>
    </w:p>
    <w:p w:rsidR="008A5E42" w:rsidRDefault="008A5E42" w:rsidP="008A5E42">
      <w:r>
        <w:t>If the lease is a retail lease, a landlord wishing to terminate a lease must notify the tenant in writing between 6 to 12 months before to the expiry of the lease.</w:t>
      </w:r>
      <w:r>
        <w:rPr>
          <w:rStyle w:val="FootnoteReference"/>
        </w:rPr>
        <w:footnoteReference w:id="7"/>
      </w:r>
      <w:r>
        <w:t xml:space="preserve"> The notice should outline the landlord’s intention either to offer a renewal or extension on terms specified, or to inform the tenant that the landlord does not intend to offer a renewal or extension of the lease. </w:t>
      </w:r>
    </w:p>
    <w:p w:rsidR="008A5E42" w:rsidRDefault="008A5E42" w:rsidP="008A5E42">
      <w:bookmarkStart w:id="1" w:name="/part5/sec44/sub.1/note1"/>
      <w:bookmarkEnd w:id="1"/>
      <w:r>
        <w:t>Failure to give proper notice</w:t>
      </w:r>
      <w:r w:rsidRPr="00214929">
        <w:t xml:space="preserve"> </w:t>
      </w:r>
      <w:r>
        <w:t xml:space="preserve">in this instance extends the lease by 6 months from the date the landlord does give proper notice, but </w:t>
      </w:r>
      <w:r w:rsidRPr="00214929">
        <w:t xml:space="preserve">only if the </w:t>
      </w:r>
      <w:r>
        <w:t xml:space="preserve">tenant </w:t>
      </w:r>
      <w:r w:rsidRPr="00214929">
        <w:t xml:space="preserve">requests </w:t>
      </w:r>
      <w:r>
        <w:t xml:space="preserve">the </w:t>
      </w:r>
      <w:r w:rsidRPr="00214929">
        <w:t xml:space="preserve">extension in writing before the lease would </w:t>
      </w:r>
      <w:r>
        <w:t xml:space="preserve">have </w:t>
      </w:r>
      <w:r w:rsidRPr="00214929">
        <w:t>otherwise</w:t>
      </w:r>
      <w:r>
        <w:t xml:space="preserve"> ended</w:t>
      </w:r>
      <w:r w:rsidRPr="00214929">
        <w:t>.</w:t>
      </w:r>
      <w:r>
        <w:rPr>
          <w:rStyle w:val="FootnoteReference"/>
        </w:rPr>
        <w:footnoteReference w:id="8"/>
      </w:r>
    </w:p>
    <w:p w:rsidR="008A5E42" w:rsidRPr="0072283B" w:rsidRDefault="008A5E42" w:rsidP="008A5E42">
      <w:pPr>
        <w:rPr>
          <w:i/>
        </w:rPr>
      </w:pPr>
      <w:r w:rsidRPr="0072283B">
        <w:rPr>
          <w:i/>
        </w:rPr>
        <w:t xml:space="preserve">Example: landlord gives notice of intention not to offer a renewal </w:t>
      </w:r>
      <w:r>
        <w:rPr>
          <w:i/>
        </w:rPr>
        <w:t xml:space="preserve">of the lease </w:t>
      </w:r>
      <w:r w:rsidRPr="0072283B">
        <w:rPr>
          <w:i/>
        </w:rPr>
        <w:t xml:space="preserve">4 months prior to the </w:t>
      </w:r>
      <w:r>
        <w:rPr>
          <w:i/>
        </w:rPr>
        <w:t xml:space="preserve">end </w:t>
      </w:r>
      <w:r w:rsidRPr="0072283B">
        <w:rPr>
          <w:i/>
        </w:rPr>
        <w:t xml:space="preserve">of the lease. </w:t>
      </w:r>
      <w:r>
        <w:rPr>
          <w:i/>
        </w:rPr>
        <w:t xml:space="preserve">In this instance, as the landlord has not complied with the notice requirement, the </w:t>
      </w:r>
      <w:r w:rsidRPr="0072283B">
        <w:rPr>
          <w:i/>
        </w:rPr>
        <w:t xml:space="preserve">tenant may request an extension </w:t>
      </w:r>
      <w:r>
        <w:rPr>
          <w:i/>
        </w:rPr>
        <w:t xml:space="preserve">of the lease by </w:t>
      </w:r>
      <w:r w:rsidRPr="0072283B">
        <w:rPr>
          <w:i/>
        </w:rPr>
        <w:t xml:space="preserve">6 months from the date on which the notice of intention was given by the landlord. However, the tenant </w:t>
      </w:r>
      <w:r>
        <w:rPr>
          <w:i/>
        </w:rPr>
        <w:t xml:space="preserve">must request the extension in writing </w:t>
      </w:r>
      <w:r w:rsidRPr="0072283B">
        <w:rPr>
          <w:i/>
        </w:rPr>
        <w:t xml:space="preserve">within the 4 month period prior to the expiry of the lease. </w:t>
      </w:r>
    </w:p>
    <w:p w:rsidR="005B56F1" w:rsidRPr="005B56F1" w:rsidRDefault="005B56F1" w:rsidP="005B56F1">
      <w:pPr>
        <w:pStyle w:val="ListParagraph"/>
        <w:numPr>
          <w:ilvl w:val="1"/>
          <w:numId w:val="10"/>
        </w:numPr>
        <w:rPr>
          <w:b/>
        </w:rPr>
      </w:pPr>
      <w:r>
        <w:rPr>
          <w:b/>
        </w:rPr>
        <w:t>After expiry</w:t>
      </w:r>
    </w:p>
    <w:p w:rsidR="008A5E42" w:rsidRDefault="008A5E42" w:rsidP="008A5E42">
      <w:r>
        <w:lastRenderedPageBreak/>
        <w:t>Once a lease term has expired, if the tenant does not move out, the lease is deemed to be ongoing on a month-to-month basis, and can be terminated by either party by giving one month’s notice in writing.</w:t>
      </w:r>
      <w:r>
        <w:rPr>
          <w:rStyle w:val="FootnoteReference"/>
        </w:rPr>
        <w:footnoteReference w:id="9"/>
      </w:r>
    </w:p>
    <w:p w:rsidR="00036B3F" w:rsidRPr="005B56F1" w:rsidRDefault="008A5E42" w:rsidP="005B56F1">
      <w:pPr>
        <w:pStyle w:val="ListParagraph"/>
        <w:numPr>
          <w:ilvl w:val="1"/>
          <w:numId w:val="10"/>
        </w:numPr>
        <w:rPr>
          <w:b/>
        </w:rPr>
      </w:pPr>
      <w:bookmarkStart w:id="2" w:name="/part5/sec44a"/>
      <w:bookmarkEnd w:id="2"/>
      <w:r w:rsidRPr="005B56F1">
        <w:rPr>
          <w:b/>
        </w:rPr>
        <w:t xml:space="preserve">Termination for </w:t>
      </w:r>
      <w:r w:rsidR="00036B3F" w:rsidRPr="005B56F1">
        <w:rPr>
          <w:b/>
        </w:rPr>
        <w:t xml:space="preserve">non-payment of rent </w:t>
      </w:r>
    </w:p>
    <w:p w:rsidR="00CF7CD8" w:rsidRDefault="00CF7CD8" w:rsidP="00036B3F">
      <w:r>
        <w:t>If the tenant fails to pay rent, the landlord should follow the process below:</w:t>
      </w:r>
    </w:p>
    <w:p w:rsidR="00CF7CD8" w:rsidRDefault="00CF7CD8" w:rsidP="005B56F1">
      <w:pPr>
        <w:pStyle w:val="ListParagraph"/>
        <w:numPr>
          <w:ilvl w:val="0"/>
          <w:numId w:val="4"/>
        </w:numPr>
      </w:pPr>
      <w:r w:rsidRPr="00CF7CD8">
        <w:rPr>
          <w:b/>
        </w:rPr>
        <w:t>Determine if the lease contains a right of forfeiture.</w:t>
      </w:r>
      <w:r>
        <w:t xml:space="preserve"> </w:t>
      </w:r>
      <w:r w:rsidR="00036B3F">
        <w:t xml:space="preserve">If the lease contains an express right of forfeiture, the landlord may re-enter and forfeit in accordance with the terms of the lease, i.e. immediately, or after a specified period of time, or after giving written notice. </w:t>
      </w:r>
    </w:p>
    <w:p w:rsidR="00CF7CD8" w:rsidRDefault="00CF7CD8" w:rsidP="005B56F1">
      <w:pPr>
        <w:pStyle w:val="ListParagraph"/>
        <w:numPr>
          <w:ilvl w:val="1"/>
          <w:numId w:val="4"/>
        </w:numPr>
      </w:pPr>
      <w:r>
        <w:t>Note: there is no need to give written notice in this instance unless the lease requires this.</w:t>
      </w:r>
    </w:p>
    <w:p w:rsidR="00CF7CD8" w:rsidRDefault="00036B3F" w:rsidP="005B56F1">
      <w:pPr>
        <w:pStyle w:val="ListParagraph"/>
        <w:numPr>
          <w:ilvl w:val="0"/>
          <w:numId w:val="4"/>
        </w:numPr>
      </w:pPr>
      <w:r w:rsidRPr="00CF7CD8">
        <w:rPr>
          <w:b/>
        </w:rPr>
        <w:t xml:space="preserve">If the lease does not </w:t>
      </w:r>
      <w:r w:rsidR="00CF7CD8">
        <w:rPr>
          <w:b/>
        </w:rPr>
        <w:t xml:space="preserve">specify </w:t>
      </w:r>
      <w:r w:rsidRPr="00CF7CD8">
        <w:rPr>
          <w:b/>
        </w:rPr>
        <w:t>a right of forfeiture</w:t>
      </w:r>
      <w:r>
        <w:t xml:space="preserve">, section 85 of Conveyancing Act nevertheless gives the landlord a right of re-entry and forfeiture if the rent is in arrears </w:t>
      </w:r>
      <w:r w:rsidR="00CF7CD8">
        <w:t xml:space="preserve">on the following conditions: </w:t>
      </w:r>
    </w:p>
    <w:p w:rsidR="00DB0631" w:rsidRDefault="00036B3F" w:rsidP="005B56F1">
      <w:pPr>
        <w:pStyle w:val="ListParagraph"/>
        <w:numPr>
          <w:ilvl w:val="1"/>
          <w:numId w:val="4"/>
        </w:numPr>
      </w:pPr>
      <w:r>
        <w:t xml:space="preserve">for at least one month and the tenant has not </w:t>
      </w:r>
      <w:r w:rsidR="00DB0631">
        <w:t>remedied this after two months;</w:t>
      </w:r>
    </w:p>
    <w:p w:rsidR="007F31EB" w:rsidRDefault="00DB0631" w:rsidP="007F31EB">
      <w:pPr>
        <w:pStyle w:val="ListParagraph"/>
        <w:numPr>
          <w:ilvl w:val="1"/>
          <w:numId w:val="4"/>
        </w:numPr>
      </w:pPr>
      <w:proofErr w:type="gramStart"/>
      <w:r>
        <w:t>t</w:t>
      </w:r>
      <w:r w:rsidR="00036B3F">
        <w:t>here</w:t>
      </w:r>
      <w:proofErr w:type="gramEnd"/>
      <w:r w:rsidR="00036B3F">
        <w:t xml:space="preserve"> is no requirement to give notice </w:t>
      </w:r>
      <w:r>
        <w:t xml:space="preserve">to the tenant </w:t>
      </w:r>
      <w:r w:rsidR="00036B3F">
        <w:t xml:space="preserve">for non-payment of rent.  </w:t>
      </w:r>
    </w:p>
    <w:p w:rsidR="007F31EB" w:rsidRDefault="007F31EB" w:rsidP="007F31EB">
      <w:pPr>
        <w:pStyle w:val="ListParagraph"/>
        <w:numPr>
          <w:ilvl w:val="1"/>
          <w:numId w:val="4"/>
        </w:numPr>
      </w:pPr>
      <w:r>
        <w:t xml:space="preserve">See Annexure A for specific process. </w:t>
      </w:r>
    </w:p>
    <w:p w:rsidR="005B56F1" w:rsidRDefault="005B56F1" w:rsidP="008A5E42">
      <w:pPr>
        <w:rPr>
          <w:b/>
        </w:rPr>
      </w:pPr>
    </w:p>
    <w:p w:rsidR="008A5E42" w:rsidRPr="005B56F1" w:rsidRDefault="00036B3F" w:rsidP="005B56F1">
      <w:pPr>
        <w:pStyle w:val="ListParagraph"/>
        <w:numPr>
          <w:ilvl w:val="1"/>
          <w:numId w:val="10"/>
        </w:numPr>
        <w:rPr>
          <w:b/>
        </w:rPr>
      </w:pPr>
      <w:r w:rsidRPr="005B56F1">
        <w:rPr>
          <w:b/>
        </w:rPr>
        <w:t xml:space="preserve">Termination for </w:t>
      </w:r>
      <w:r w:rsidR="008A5E42" w:rsidRPr="005B56F1">
        <w:rPr>
          <w:b/>
        </w:rPr>
        <w:t xml:space="preserve">breach of </w:t>
      </w:r>
      <w:r w:rsidRPr="005B56F1">
        <w:rPr>
          <w:b/>
        </w:rPr>
        <w:t>other obligations by the tenant</w:t>
      </w:r>
    </w:p>
    <w:p w:rsidR="00036B3F" w:rsidRDefault="00036B3F" w:rsidP="00036B3F">
      <w:r>
        <w:t>For breaches other than non-payment of rent, a landlord may only re-enter the premises and forfeit the lease if he or she first serves a notice on the tenant.</w:t>
      </w:r>
      <w:r>
        <w:rPr>
          <w:rStyle w:val="FootnoteReference"/>
        </w:rPr>
        <w:footnoteReference w:id="10"/>
      </w:r>
      <w:r>
        <w:t xml:space="preserve"> The notice must: </w:t>
      </w:r>
    </w:p>
    <w:p w:rsidR="00036B3F" w:rsidRDefault="00036B3F" w:rsidP="005B56F1">
      <w:pPr>
        <w:pStyle w:val="ListParagraph"/>
        <w:numPr>
          <w:ilvl w:val="0"/>
          <w:numId w:val="3"/>
        </w:numPr>
      </w:pPr>
      <w:r w:rsidRPr="00C15A73">
        <w:t xml:space="preserve">Specify the breach; </w:t>
      </w:r>
    </w:p>
    <w:p w:rsidR="00036B3F" w:rsidRDefault="00036B3F" w:rsidP="005B56F1">
      <w:pPr>
        <w:pStyle w:val="ListParagraph"/>
        <w:numPr>
          <w:ilvl w:val="0"/>
          <w:numId w:val="3"/>
        </w:numPr>
      </w:pPr>
      <w:r w:rsidRPr="00C15A73">
        <w:t>Require the tenant to remedy the breach</w:t>
      </w:r>
      <w:r>
        <w:t xml:space="preserve">, </w:t>
      </w:r>
      <w:r w:rsidRPr="00C15A73">
        <w:t xml:space="preserve">if possible; </w:t>
      </w:r>
    </w:p>
    <w:p w:rsidR="00DB0631" w:rsidRDefault="00036B3F" w:rsidP="005B56F1">
      <w:pPr>
        <w:pStyle w:val="ListParagraph"/>
        <w:numPr>
          <w:ilvl w:val="0"/>
          <w:numId w:val="3"/>
        </w:numPr>
      </w:pPr>
      <w:r w:rsidRPr="00C15A73">
        <w:t xml:space="preserve">Require the tenant to pay </w:t>
      </w:r>
      <w:r>
        <w:t xml:space="preserve">any </w:t>
      </w:r>
      <w:r w:rsidRPr="00C15A73">
        <w:t xml:space="preserve">compensation </w:t>
      </w:r>
      <w:r w:rsidR="00DB0631">
        <w:t xml:space="preserve">claimed; </w:t>
      </w:r>
    </w:p>
    <w:p w:rsidR="00036B3F" w:rsidRDefault="00036B3F" w:rsidP="005B56F1">
      <w:pPr>
        <w:pStyle w:val="ListParagraph"/>
        <w:numPr>
          <w:ilvl w:val="0"/>
          <w:numId w:val="3"/>
        </w:numPr>
      </w:pPr>
      <w:r>
        <w:t>Give the tenant a reasonable perio</w:t>
      </w:r>
      <w:r w:rsidR="00DB0631">
        <w:t>d of time to perform the above; and</w:t>
      </w:r>
    </w:p>
    <w:p w:rsidR="00DB0631" w:rsidRDefault="00DB0631" w:rsidP="005B56F1">
      <w:pPr>
        <w:pStyle w:val="ListParagraph"/>
        <w:numPr>
          <w:ilvl w:val="0"/>
          <w:numId w:val="3"/>
        </w:numPr>
      </w:pPr>
      <w:r>
        <w:t xml:space="preserve">Act in a way that does not waive the breach (see below). </w:t>
      </w:r>
    </w:p>
    <w:p w:rsidR="00CF7CD8" w:rsidRDefault="00CF7CD8" w:rsidP="00036B3F">
      <w:r>
        <w:t xml:space="preserve">The notice should also reference section 129 of the </w:t>
      </w:r>
      <w:r w:rsidRPr="00CF7CD8">
        <w:rPr>
          <w:i/>
        </w:rPr>
        <w:t>Conveyancing Act 1919</w:t>
      </w:r>
      <w:r>
        <w:t xml:space="preserve"> and set out the consequences if the tenant does not remedy the breach, i.e. that the landlord will be entitled to re-enter or forfeit the lease in the event of non-compliance with the notice within a reasonable time. </w:t>
      </w:r>
    </w:p>
    <w:p w:rsidR="00036B3F" w:rsidRPr="00C15A73" w:rsidRDefault="00036B3F" w:rsidP="00036B3F">
      <w:r>
        <w:t>While what may be considered “reasonable time” will vary from case to case, a period of three months has been suggested as a general rule of thumb.</w:t>
      </w:r>
      <w:r>
        <w:rPr>
          <w:rStyle w:val="FootnoteReference"/>
        </w:rPr>
        <w:footnoteReference w:id="11"/>
      </w:r>
      <w:r>
        <w:t xml:space="preserve"> However, this may be shorter, e.g. 14 days, if the tenant has disregarded all prior warnings and indicated no intention to remedy the breach,</w:t>
      </w:r>
      <w:r>
        <w:rPr>
          <w:rStyle w:val="FootnoteReference"/>
        </w:rPr>
        <w:footnoteReference w:id="12"/>
      </w:r>
      <w:r>
        <w:t xml:space="preserve"> or if there is no possibility of the tenant remedying the breach.</w:t>
      </w:r>
      <w:r>
        <w:rPr>
          <w:rStyle w:val="FootnoteReference"/>
        </w:rPr>
        <w:footnoteReference w:id="13"/>
      </w:r>
    </w:p>
    <w:p w:rsidR="008A5E42" w:rsidRPr="005B56F1" w:rsidRDefault="00DB0631" w:rsidP="005B56F1">
      <w:pPr>
        <w:pStyle w:val="ListParagraph"/>
        <w:numPr>
          <w:ilvl w:val="1"/>
          <w:numId w:val="10"/>
        </w:numPr>
        <w:rPr>
          <w:b/>
        </w:rPr>
      </w:pPr>
      <w:r w:rsidRPr="005B56F1">
        <w:rPr>
          <w:b/>
        </w:rPr>
        <w:t xml:space="preserve">No waiver of breach </w:t>
      </w:r>
    </w:p>
    <w:p w:rsidR="00DB0631" w:rsidRDefault="00DB0631" w:rsidP="00196EAD">
      <w:r>
        <w:lastRenderedPageBreak/>
        <w:t xml:space="preserve">A landlord may lose the right to forfeit for a breach if he or she </w:t>
      </w:r>
      <w:r w:rsidR="004861F3">
        <w:t xml:space="preserve">waives the breach. A waiver occurs when the landlord: </w:t>
      </w:r>
    </w:p>
    <w:p w:rsidR="004861F3" w:rsidRDefault="004861F3" w:rsidP="005B56F1">
      <w:pPr>
        <w:pStyle w:val="ListParagraph"/>
        <w:numPr>
          <w:ilvl w:val="0"/>
          <w:numId w:val="6"/>
        </w:numPr>
      </w:pPr>
      <w:r>
        <w:t xml:space="preserve">Is shown to be aware of the breach; </w:t>
      </w:r>
    </w:p>
    <w:p w:rsidR="004861F3" w:rsidRDefault="004861F3" w:rsidP="005B56F1">
      <w:pPr>
        <w:pStyle w:val="ListParagraph"/>
        <w:numPr>
          <w:ilvl w:val="0"/>
          <w:numId w:val="6"/>
        </w:numPr>
      </w:pPr>
      <w:r>
        <w:t xml:space="preserve">Nevertheless acts in a way that recognises the continuity of the tenancy (i.e. continuing to accept rent for a period of time after becoming aware of the breach). </w:t>
      </w:r>
    </w:p>
    <w:p w:rsidR="004861F3" w:rsidRDefault="004861F3" w:rsidP="00DB0631">
      <w:r>
        <w:t xml:space="preserve">If a landlord intends to forfeit a lease, he or she needs to act in a way that effectively forfeits the lease. This can be done in one of two ways: </w:t>
      </w:r>
    </w:p>
    <w:p w:rsidR="004861F3" w:rsidRDefault="004861F3" w:rsidP="005B56F1">
      <w:pPr>
        <w:pStyle w:val="ListParagraph"/>
        <w:numPr>
          <w:ilvl w:val="0"/>
          <w:numId w:val="7"/>
        </w:numPr>
      </w:pPr>
      <w:r>
        <w:t>Actually re-entering the land;  or</w:t>
      </w:r>
    </w:p>
    <w:p w:rsidR="004861F3" w:rsidRDefault="004861F3" w:rsidP="005B56F1">
      <w:pPr>
        <w:pStyle w:val="ListParagraph"/>
        <w:numPr>
          <w:ilvl w:val="0"/>
          <w:numId w:val="7"/>
        </w:numPr>
      </w:pPr>
      <w:r>
        <w:t>Commencing unequivocal action for re-possessing the land.</w:t>
      </w:r>
      <w:r>
        <w:rPr>
          <w:rStyle w:val="FootnoteReference"/>
        </w:rPr>
        <w:footnoteReference w:id="14"/>
      </w:r>
    </w:p>
    <w:p w:rsidR="00101274" w:rsidRDefault="004861F3" w:rsidP="00DB0631">
      <w:r>
        <w:t xml:space="preserve">For example, in </w:t>
      </w:r>
      <w:r w:rsidRPr="004861F3">
        <w:rPr>
          <w:i/>
        </w:rPr>
        <w:t xml:space="preserve">Moore v </w:t>
      </w:r>
      <w:proofErr w:type="spellStart"/>
      <w:r w:rsidRPr="004861F3">
        <w:rPr>
          <w:i/>
        </w:rPr>
        <w:t>Ullcoats</w:t>
      </w:r>
      <w:proofErr w:type="spellEnd"/>
      <w:r w:rsidRPr="004861F3">
        <w:rPr>
          <w:i/>
        </w:rPr>
        <w:t xml:space="preserve"> Mining Co</w:t>
      </w:r>
      <w:r>
        <w:t>,</w:t>
      </w:r>
      <w:r>
        <w:rPr>
          <w:rStyle w:val="FootnoteReference"/>
        </w:rPr>
        <w:footnoteReference w:id="15"/>
      </w:r>
      <w:r>
        <w:t xml:space="preserve"> the landlord, Moore, had the right to forfeiture </w:t>
      </w:r>
      <w:r w:rsidR="00101274">
        <w:t xml:space="preserve">if the tenant fails to allow an inspection. The landlord’s agent attempted to inspect and was denied entry. The landlord issued a number of notices to the tenant to forfeit the lease, before commencing action in court to claim possession, injunction and damages (among other remedies). </w:t>
      </w:r>
    </w:p>
    <w:p w:rsidR="00101274" w:rsidRDefault="00101274" w:rsidP="00DB0631">
      <w:r>
        <w:t xml:space="preserve">The tenant argued that the forfeiture by the landlord was not final as the landlord sued for both possession, and other forms of relief such as injunction or damages. Had the landlord successfully gotten an injunction or damages, the lease could have remained on foot. </w:t>
      </w:r>
    </w:p>
    <w:p w:rsidR="00DB0631" w:rsidRDefault="00DB0631" w:rsidP="00DB0631">
      <w:r w:rsidRPr="00DB0631">
        <w:t xml:space="preserve">A useful way to look at whether an action constitutes an unequivocal claim for possession is whether it is open for the Plaintiff to merely claim other remedies on the basis that the lease still exists, or whether the Plaintiff's claim for possession was final. </w:t>
      </w:r>
    </w:p>
    <w:p w:rsidR="00DB0631" w:rsidRDefault="00101274" w:rsidP="00DB0631">
      <w:r w:rsidRPr="00101274">
        <w:rPr>
          <w:u w:val="single"/>
        </w:rPr>
        <w:t>Take away</w:t>
      </w:r>
      <w:r>
        <w:t xml:space="preserve">: the landlord may either </w:t>
      </w:r>
      <w:r w:rsidR="00DB0631" w:rsidRPr="00DB0631">
        <w:t xml:space="preserve">terminate </w:t>
      </w:r>
      <w:r>
        <w:t xml:space="preserve">a </w:t>
      </w:r>
      <w:r w:rsidR="00DB0631" w:rsidRPr="00DB0631">
        <w:t xml:space="preserve">lease </w:t>
      </w:r>
      <w:r>
        <w:t xml:space="preserve">for breach or continue the lease while seeking other remedies for breach. However, he or she must elect to do one or the other, and this election must be unequivocal. In other words, they cannot try to terminate </w:t>
      </w:r>
      <w:r>
        <w:rPr>
          <w:i/>
        </w:rPr>
        <w:t xml:space="preserve">and/or </w:t>
      </w:r>
      <w:r>
        <w:t xml:space="preserve">continue the lease at the same time. </w:t>
      </w:r>
    </w:p>
    <w:p w:rsidR="00325024" w:rsidRPr="005B56F1" w:rsidRDefault="00325024" w:rsidP="00325024">
      <w:pPr>
        <w:pStyle w:val="ListParagraph"/>
        <w:numPr>
          <w:ilvl w:val="1"/>
          <w:numId w:val="10"/>
        </w:numPr>
        <w:rPr>
          <w:b/>
        </w:rPr>
      </w:pPr>
      <w:r>
        <w:rPr>
          <w:b/>
        </w:rPr>
        <w:t>Demolition clause</w:t>
      </w:r>
    </w:p>
    <w:p w:rsidR="00C24B54" w:rsidRDefault="00C24B54" w:rsidP="00C24B54">
      <w:r>
        <w:t xml:space="preserve">Where a lease is a </w:t>
      </w:r>
      <w:r w:rsidR="005006AA">
        <w:t>“</w:t>
      </w:r>
      <w:r>
        <w:t xml:space="preserve">retail </w:t>
      </w:r>
      <w:r w:rsidR="005006AA">
        <w:t xml:space="preserve">shop </w:t>
      </w:r>
      <w:r>
        <w:t>lease</w:t>
      </w:r>
      <w:r w:rsidR="005006AA">
        <w:t>”</w:t>
      </w:r>
      <w:r>
        <w:t xml:space="preserve"> and contains a </w:t>
      </w:r>
      <w:r w:rsidR="005006AA">
        <w:t xml:space="preserve">demolition </w:t>
      </w:r>
      <w:r>
        <w:t>clause</w:t>
      </w:r>
      <w:r w:rsidR="005006AA">
        <w:t xml:space="preserve">, i.e. </w:t>
      </w:r>
      <w:r>
        <w:t>termination on the grounds of proposed demolition of the building, a landlord may use the clause to terminate a lease prior to the expiry of the term.</w:t>
      </w:r>
      <w:r>
        <w:rPr>
          <w:rStyle w:val="FootnoteReference"/>
        </w:rPr>
        <w:footnoteReference w:id="16"/>
      </w:r>
    </w:p>
    <w:p w:rsidR="00C24B54" w:rsidRDefault="00C24B54" w:rsidP="00C24B54">
      <w:r>
        <w:t>“</w:t>
      </w:r>
      <w:r w:rsidR="005006AA">
        <w:t>D</w:t>
      </w:r>
      <w:r>
        <w:t>emolition” does not only include actual demolition of the building, but extends to cover any substantial repair, renovation and reconstruction that cannot be carried out without vacant possession.</w:t>
      </w:r>
      <w:r>
        <w:rPr>
          <w:rStyle w:val="FootnoteReference"/>
        </w:rPr>
        <w:footnoteReference w:id="17"/>
      </w:r>
    </w:p>
    <w:p w:rsidR="00C24B54" w:rsidRDefault="00C24B54" w:rsidP="00C24B54">
      <w:r>
        <w:t xml:space="preserve">A number of conditions apply in this instance: </w:t>
      </w:r>
    </w:p>
    <w:p w:rsidR="00C24B54" w:rsidRDefault="00C24B54" w:rsidP="00C24B54">
      <w:pPr>
        <w:pStyle w:val="ListParagraph"/>
        <w:numPr>
          <w:ilvl w:val="0"/>
          <w:numId w:val="16"/>
        </w:numPr>
      </w:pPr>
      <w:r>
        <w:t xml:space="preserve">The landlord must give </w:t>
      </w:r>
      <w:r w:rsidRPr="005006AA">
        <w:rPr>
          <w:b/>
        </w:rPr>
        <w:t>six months written notice</w:t>
      </w:r>
      <w:r>
        <w:t xml:space="preserve"> of termination to the tenant.</w:t>
      </w:r>
    </w:p>
    <w:p w:rsidR="00C24B54" w:rsidRDefault="00C24B54" w:rsidP="00C24B54">
      <w:pPr>
        <w:pStyle w:val="ListParagraph"/>
        <w:numPr>
          <w:ilvl w:val="0"/>
          <w:numId w:val="16"/>
        </w:numPr>
      </w:pPr>
      <w:r>
        <w:lastRenderedPageBreak/>
        <w:t xml:space="preserve">Once written notice has been given, the tenant has the </w:t>
      </w:r>
      <w:r w:rsidRPr="005006AA">
        <w:rPr>
          <w:b/>
        </w:rPr>
        <w:t xml:space="preserve">right to terminate with 7 days’ notice </w:t>
      </w:r>
      <w:r>
        <w:t xml:space="preserve">at any point within the six months period before the proposed termination date. </w:t>
      </w:r>
    </w:p>
    <w:p w:rsidR="00C24B54" w:rsidRDefault="00C24B54" w:rsidP="00C24B54">
      <w:pPr>
        <w:pStyle w:val="ListParagraph"/>
        <w:numPr>
          <w:ilvl w:val="0"/>
          <w:numId w:val="16"/>
        </w:numPr>
      </w:pPr>
      <w:r>
        <w:t>The landlord must give the tenant details of the proposed demolition, which demonstrates a “</w:t>
      </w:r>
      <w:r w:rsidRPr="005006AA">
        <w:rPr>
          <w:b/>
        </w:rPr>
        <w:t>genuine proposal to demolish</w:t>
      </w:r>
      <w:r>
        <w:t xml:space="preserve">” the building within a reasonably practicable time after the proposed termination date. </w:t>
      </w:r>
    </w:p>
    <w:p w:rsidR="00C24B54" w:rsidRDefault="00C24B54" w:rsidP="00C24B54">
      <w:pPr>
        <w:pStyle w:val="ListParagraph"/>
        <w:numPr>
          <w:ilvl w:val="0"/>
          <w:numId w:val="16"/>
        </w:numPr>
      </w:pPr>
      <w:r>
        <w:t>If a retail lease is terminated on this ground, the demolition must be carried out within a “</w:t>
      </w:r>
      <w:r w:rsidRPr="005006AA">
        <w:rPr>
          <w:b/>
        </w:rPr>
        <w:t>reasonably practicable time</w:t>
      </w:r>
      <w:r>
        <w:t xml:space="preserve">” after termination. Otherwise, the landlord may be liable to the tenant for compensation for damage suffered by the tenant as a consequence of early termination. </w:t>
      </w:r>
    </w:p>
    <w:p w:rsidR="00C24B54" w:rsidRDefault="00C24B54" w:rsidP="00C24B54">
      <w:pPr>
        <w:pStyle w:val="ListParagraph"/>
        <w:numPr>
          <w:ilvl w:val="0"/>
          <w:numId w:val="16"/>
        </w:numPr>
      </w:pPr>
      <w:r>
        <w:t>The landlord may also be liable to pay the tenant compensation for the fit</w:t>
      </w:r>
      <w:r w:rsidR="005006AA">
        <w:t xml:space="preserve"> </w:t>
      </w:r>
      <w:r>
        <w:t xml:space="preserve">out of the shop if the lease required the tenant to fit out the shop. </w:t>
      </w:r>
    </w:p>
    <w:p w:rsidR="00325024" w:rsidRPr="00DB0631" w:rsidRDefault="00325024" w:rsidP="00DB0631"/>
    <w:p w:rsidR="005B56F1" w:rsidRDefault="00BD1D48" w:rsidP="00325024">
      <w:pPr>
        <w:pStyle w:val="ListParagraph"/>
        <w:numPr>
          <w:ilvl w:val="0"/>
          <w:numId w:val="10"/>
        </w:numPr>
        <w:rPr>
          <w:b/>
        </w:rPr>
      </w:pPr>
      <w:r w:rsidRPr="005B56F1">
        <w:rPr>
          <w:b/>
        </w:rPr>
        <w:t>Process for terminating a commercial lease – Tenant</w:t>
      </w:r>
    </w:p>
    <w:p w:rsidR="00C20539" w:rsidRPr="005B56F1" w:rsidRDefault="00AC7E90" w:rsidP="00325024">
      <w:pPr>
        <w:pStyle w:val="ListParagraph"/>
        <w:numPr>
          <w:ilvl w:val="1"/>
          <w:numId w:val="10"/>
        </w:numPr>
        <w:rPr>
          <w:b/>
        </w:rPr>
      </w:pPr>
      <w:r w:rsidRPr="005B56F1">
        <w:rPr>
          <w:b/>
        </w:rPr>
        <w:t xml:space="preserve">End of term </w:t>
      </w:r>
    </w:p>
    <w:p w:rsidR="00AC7E90" w:rsidRDefault="00D13155" w:rsidP="00277DE7">
      <w:r>
        <w:t xml:space="preserve">For a </w:t>
      </w:r>
      <w:r w:rsidR="00AC7E90">
        <w:t xml:space="preserve">fixed term lease, </w:t>
      </w:r>
      <w:r>
        <w:t xml:space="preserve">where </w:t>
      </w:r>
      <w:r w:rsidR="00AC7E90">
        <w:t xml:space="preserve">there are no options exercisable, </w:t>
      </w:r>
      <w:r>
        <w:t xml:space="preserve">a tenant </w:t>
      </w:r>
      <w:r w:rsidR="00AC7E90">
        <w:t xml:space="preserve">may terminate the lease at the end of the term. </w:t>
      </w:r>
      <w:r>
        <w:t xml:space="preserve">The tenant </w:t>
      </w:r>
      <w:r w:rsidR="00AC7E90">
        <w:t xml:space="preserve">may be required to issue a notice to the landlord within a particular time </w:t>
      </w:r>
      <w:r>
        <w:t xml:space="preserve">frame to advise the landlord of his/her intention to terminate the lease. </w:t>
      </w:r>
    </w:p>
    <w:p w:rsidR="00D13155" w:rsidRDefault="00D13155" w:rsidP="00D13155">
      <w:r>
        <w:t>Where the term of the lease has already expired, the lease is deemed to be ongoing on a month-to-month basis. The tenant may terminate in this instance by giving one month’s notice in writing.</w:t>
      </w:r>
      <w:r>
        <w:rPr>
          <w:rStyle w:val="FootnoteReference"/>
        </w:rPr>
        <w:footnoteReference w:id="18"/>
      </w:r>
    </w:p>
    <w:p w:rsidR="00D13155" w:rsidRPr="005B56F1" w:rsidRDefault="00D13155" w:rsidP="00325024">
      <w:pPr>
        <w:pStyle w:val="ListParagraph"/>
        <w:numPr>
          <w:ilvl w:val="1"/>
          <w:numId w:val="10"/>
        </w:numPr>
        <w:rPr>
          <w:b/>
        </w:rPr>
      </w:pPr>
      <w:r w:rsidRPr="005B56F1">
        <w:rPr>
          <w:b/>
        </w:rPr>
        <w:t xml:space="preserve">Early termination </w:t>
      </w:r>
    </w:p>
    <w:p w:rsidR="00D13155" w:rsidRDefault="00DB0631" w:rsidP="00E06995">
      <w:r>
        <w:t xml:space="preserve">A tenant seeking early termination of a fix term lease may be liable for compensation (see below under “Remedies for Breach”).  </w:t>
      </w:r>
      <w:r w:rsidR="00D13155">
        <w:t xml:space="preserve">If a tenant </w:t>
      </w:r>
      <w:r>
        <w:t xml:space="preserve">nonetheless </w:t>
      </w:r>
      <w:r w:rsidR="00D13155">
        <w:t xml:space="preserve">wishes to terminate a commercial lease prior to the expiry of the lease term, </w:t>
      </w:r>
      <w:r w:rsidR="00685747">
        <w:t xml:space="preserve">he or she </w:t>
      </w:r>
      <w:r>
        <w:t xml:space="preserve">may consider </w:t>
      </w:r>
      <w:r w:rsidR="00685747">
        <w:t xml:space="preserve">the following options: </w:t>
      </w:r>
    </w:p>
    <w:p w:rsidR="00685747" w:rsidRDefault="00685747" w:rsidP="005B56F1">
      <w:pPr>
        <w:pStyle w:val="ListParagraph"/>
        <w:numPr>
          <w:ilvl w:val="0"/>
          <w:numId w:val="5"/>
        </w:numPr>
      </w:pPr>
      <w:r w:rsidRPr="00685747">
        <w:rPr>
          <w:b/>
        </w:rPr>
        <w:t>Can the lease be shortened?</w:t>
      </w:r>
      <w:r>
        <w:t xml:space="preserve"> </w:t>
      </w:r>
    </w:p>
    <w:p w:rsidR="00685747" w:rsidRDefault="00685747" w:rsidP="005B56F1">
      <w:pPr>
        <w:pStyle w:val="ListParagraph"/>
        <w:numPr>
          <w:ilvl w:val="1"/>
          <w:numId w:val="5"/>
        </w:numPr>
      </w:pPr>
      <w:r>
        <w:t xml:space="preserve">It is rare, but possible for the parties to agree to amend the lease so that the lease term is shortened. This option </w:t>
      </w:r>
      <w:r w:rsidR="00450F77">
        <w:t xml:space="preserve">is best explored in situations where </w:t>
      </w:r>
      <w:r>
        <w:t xml:space="preserve">there may be </w:t>
      </w:r>
      <w:r w:rsidR="00450F77">
        <w:t xml:space="preserve">excess </w:t>
      </w:r>
      <w:r>
        <w:t xml:space="preserve">demand in the market </w:t>
      </w:r>
      <w:r w:rsidR="00450F77">
        <w:t xml:space="preserve">to incentivise the landlord to re-let the premises for a higher rent. </w:t>
      </w:r>
    </w:p>
    <w:p w:rsidR="00685747" w:rsidRPr="00450F77" w:rsidRDefault="00685747" w:rsidP="005B56F1">
      <w:pPr>
        <w:pStyle w:val="ListParagraph"/>
        <w:numPr>
          <w:ilvl w:val="0"/>
          <w:numId w:val="5"/>
        </w:numPr>
        <w:rPr>
          <w:b/>
        </w:rPr>
      </w:pPr>
      <w:r w:rsidRPr="00450F77">
        <w:rPr>
          <w:b/>
        </w:rPr>
        <w:t xml:space="preserve">Is there a clause in the lease relating to a right to end the lease early? </w:t>
      </w:r>
    </w:p>
    <w:p w:rsidR="00450F77" w:rsidRDefault="00450F77" w:rsidP="005B56F1">
      <w:pPr>
        <w:pStyle w:val="ListParagraph"/>
        <w:numPr>
          <w:ilvl w:val="1"/>
          <w:numId w:val="5"/>
        </w:numPr>
      </w:pPr>
      <w:r>
        <w:t xml:space="preserve">Many leases may contain a ‘break clause’ or ‘termination clause’ to give either party (usually the tenant) the flexibility to terminate the contract. </w:t>
      </w:r>
    </w:p>
    <w:p w:rsidR="00450F77" w:rsidRDefault="00450F77" w:rsidP="005B56F1">
      <w:pPr>
        <w:pStyle w:val="ListParagraph"/>
        <w:numPr>
          <w:ilvl w:val="1"/>
          <w:numId w:val="5"/>
        </w:numPr>
      </w:pPr>
      <w:r>
        <w:t xml:space="preserve">Note that the tenant may be liable for costs relating to early termination </w:t>
      </w:r>
      <w:r w:rsidR="00DB0631">
        <w:t xml:space="preserve">pursuant to </w:t>
      </w:r>
      <w:r>
        <w:t xml:space="preserve">the provisions in the lease. </w:t>
      </w:r>
    </w:p>
    <w:p w:rsidR="00685747" w:rsidRPr="00450F77" w:rsidRDefault="00685747" w:rsidP="005B56F1">
      <w:pPr>
        <w:pStyle w:val="ListParagraph"/>
        <w:numPr>
          <w:ilvl w:val="0"/>
          <w:numId w:val="5"/>
        </w:numPr>
        <w:rPr>
          <w:b/>
        </w:rPr>
      </w:pPr>
      <w:r w:rsidRPr="00450F77">
        <w:rPr>
          <w:b/>
        </w:rPr>
        <w:t xml:space="preserve">Has there been a fundamental breach by the landlord? </w:t>
      </w:r>
    </w:p>
    <w:p w:rsidR="00450F77" w:rsidRDefault="00450F77" w:rsidP="005B56F1">
      <w:pPr>
        <w:pStyle w:val="ListParagraph"/>
        <w:numPr>
          <w:ilvl w:val="1"/>
          <w:numId w:val="5"/>
        </w:numPr>
      </w:pPr>
      <w:r>
        <w:t xml:space="preserve">It is rare for the tenant to terminate a lease due to a fundamental breach by the landlord. </w:t>
      </w:r>
      <w:r w:rsidR="00DB0631">
        <w:t xml:space="preserve">As discussed above, in some cases a breach by the landlord may be so serious such that mere compensation may be insufficient. In such cases, the tenant may have a right to terminate for breach. </w:t>
      </w:r>
    </w:p>
    <w:p w:rsidR="00685747" w:rsidRPr="008C7760" w:rsidRDefault="00685747" w:rsidP="005B56F1">
      <w:pPr>
        <w:pStyle w:val="ListParagraph"/>
        <w:numPr>
          <w:ilvl w:val="0"/>
          <w:numId w:val="5"/>
        </w:numPr>
        <w:rPr>
          <w:b/>
        </w:rPr>
      </w:pPr>
      <w:r w:rsidRPr="008C7760">
        <w:rPr>
          <w:b/>
        </w:rPr>
        <w:t xml:space="preserve">Can the tenant transfer </w:t>
      </w:r>
      <w:r w:rsidR="00450F77" w:rsidRPr="008C7760">
        <w:rPr>
          <w:b/>
        </w:rPr>
        <w:t xml:space="preserve">or assign the lease to a third party? </w:t>
      </w:r>
    </w:p>
    <w:p w:rsidR="00450F77" w:rsidRDefault="00450F77" w:rsidP="005B56F1">
      <w:pPr>
        <w:pStyle w:val="ListParagraph"/>
        <w:numPr>
          <w:ilvl w:val="1"/>
          <w:numId w:val="5"/>
        </w:numPr>
      </w:pPr>
      <w:r>
        <w:lastRenderedPageBreak/>
        <w:t xml:space="preserve">Subject to agreement of the owner, the lease </w:t>
      </w:r>
      <w:r w:rsidR="008C7760">
        <w:t xml:space="preserve">may </w:t>
      </w:r>
      <w:r>
        <w:t xml:space="preserve">be </w:t>
      </w:r>
      <w:r w:rsidR="00D95BB4">
        <w:t xml:space="preserve">assigned (or transferred) </w:t>
      </w:r>
      <w:r>
        <w:t xml:space="preserve">to a third party, e.g. in the event that the tenant sells the business or sources an alternative tenant for the premises. </w:t>
      </w:r>
    </w:p>
    <w:p w:rsidR="00450F77" w:rsidRDefault="00450F77" w:rsidP="005B56F1">
      <w:pPr>
        <w:pStyle w:val="ListParagraph"/>
        <w:numPr>
          <w:ilvl w:val="1"/>
          <w:numId w:val="5"/>
        </w:numPr>
      </w:pPr>
      <w:r>
        <w:t xml:space="preserve">In this instance, a deed of assignment needs to be signed by all the parties to assign the lease to the incoming tenant. </w:t>
      </w:r>
    </w:p>
    <w:p w:rsidR="00450F77" w:rsidRDefault="00450F77" w:rsidP="005B56F1">
      <w:pPr>
        <w:pStyle w:val="ListParagraph"/>
        <w:numPr>
          <w:ilvl w:val="1"/>
          <w:numId w:val="5"/>
        </w:numPr>
      </w:pPr>
      <w:r>
        <w:t xml:space="preserve">The former tenant’s obligations to the landlord remain until a deed of assignment is signed. </w:t>
      </w:r>
    </w:p>
    <w:p w:rsidR="004F18D1" w:rsidRDefault="00D95BB4" w:rsidP="005B56F1">
      <w:pPr>
        <w:pStyle w:val="ListParagraph"/>
        <w:numPr>
          <w:ilvl w:val="1"/>
          <w:numId w:val="5"/>
        </w:numPr>
      </w:pPr>
      <w:r w:rsidRPr="00D95BB4">
        <w:rPr>
          <w:b/>
        </w:rPr>
        <w:t>Assignment of retail leases</w:t>
      </w:r>
      <w:r>
        <w:t xml:space="preserve">:  if the lease is a retail lease, </w:t>
      </w:r>
      <w:r w:rsidR="004F18D1">
        <w:t>the tenant must:</w:t>
      </w:r>
      <w:r w:rsidR="004F18D1">
        <w:rPr>
          <w:rStyle w:val="FootnoteReference"/>
        </w:rPr>
        <w:footnoteReference w:id="19"/>
      </w:r>
    </w:p>
    <w:p w:rsidR="004F18D1" w:rsidRDefault="004F18D1" w:rsidP="005B56F1">
      <w:pPr>
        <w:pStyle w:val="ListParagraph"/>
        <w:numPr>
          <w:ilvl w:val="2"/>
          <w:numId w:val="5"/>
        </w:numPr>
      </w:pPr>
      <w:r>
        <w:t xml:space="preserve">Give the proposed new tenant a copy of any disclosure statement given to the tenant in relation to the lease, as well as any changes that have occurred since the disclosure statement was given; </w:t>
      </w:r>
    </w:p>
    <w:p w:rsidR="00D95BB4" w:rsidRDefault="004F18D1" w:rsidP="005B56F1">
      <w:pPr>
        <w:pStyle w:val="ListParagraph"/>
        <w:numPr>
          <w:ilvl w:val="2"/>
          <w:numId w:val="5"/>
        </w:numPr>
      </w:pPr>
      <w:r>
        <w:t xml:space="preserve">Seek consent to the assignment in writing, and provide any information that the landlord may reasonably require about the financial standing and business experience of the proposed new tenant. </w:t>
      </w:r>
    </w:p>
    <w:p w:rsidR="004F18D1" w:rsidRDefault="004F18D1" w:rsidP="005B56F1">
      <w:pPr>
        <w:pStyle w:val="ListParagraph"/>
        <w:numPr>
          <w:ilvl w:val="2"/>
          <w:numId w:val="5"/>
        </w:numPr>
      </w:pPr>
      <w:r>
        <w:t xml:space="preserve">If the tenant does not have a copy of the disclosure statement for the lease, the tenant may ask the landlord to provide a copy. A failure by the landlord to provide the disclosure statement within 14 days relieves the tenant of this obligation. </w:t>
      </w:r>
    </w:p>
    <w:p w:rsidR="004F18D1" w:rsidRDefault="004F18D1" w:rsidP="005B56F1">
      <w:pPr>
        <w:pStyle w:val="ListParagraph"/>
        <w:numPr>
          <w:ilvl w:val="2"/>
          <w:numId w:val="5"/>
        </w:numPr>
      </w:pPr>
      <w:r>
        <w:t>If the landlord does not respond to the tenant’s request for assignment within 28 days, he or she is deemed to have given consent to the assignment.</w:t>
      </w:r>
    </w:p>
    <w:p w:rsidR="00D95BB4" w:rsidRDefault="00D95BB4" w:rsidP="005B56F1">
      <w:pPr>
        <w:pStyle w:val="ListParagraph"/>
        <w:numPr>
          <w:ilvl w:val="1"/>
          <w:numId w:val="5"/>
        </w:numPr>
      </w:pPr>
      <w:r>
        <w:rPr>
          <w:b/>
        </w:rPr>
        <w:t>Landlord’s right to refuse assignment (retail lease only)</w:t>
      </w:r>
      <w:r w:rsidRPr="00D95BB4">
        <w:t>:</w:t>
      </w:r>
      <w:r w:rsidR="004F18D1">
        <w:rPr>
          <w:rStyle w:val="FootnoteReference"/>
        </w:rPr>
        <w:footnoteReference w:id="20"/>
      </w:r>
      <w:r w:rsidRPr="00D95BB4">
        <w:t xml:space="preserve"> in</w:t>
      </w:r>
      <w:r>
        <w:rPr>
          <w:b/>
        </w:rPr>
        <w:t xml:space="preserve"> </w:t>
      </w:r>
      <w:r>
        <w:t xml:space="preserve">the landlord is entitled to withhold consent to the assignment only in a specific number of circumstances: </w:t>
      </w:r>
    </w:p>
    <w:p w:rsidR="00D95BB4" w:rsidRDefault="00D95BB4" w:rsidP="005B56F1">
      <w:pPr>
        <w:pStyle w:val="ListParagraph"/>
        <w:numPr>
          <w:ilvl w:val="2"/>
          <w:numId w:val="5"/>
        </w:numPr>
      </w:pPr>
      <w:r w:rsidRPr="00D95BB4">
        <w:t xml:space="preserve">the </w:t>
      </w:r>
      <w:r>
        <w:t xml:space="preserve">proposed new tenant proposes to change the use of the shop; </w:t>
      </w:r>
    </w:p>
    <w:p w:rsidR="00D95BB4" w:rsidRDefault="00D95BB4" w:rsidP="005B56F1">
      <w:pPr>
        <w:pStyle w:val="ListParagraph"/>
        <w:numPr>
          <w:ilvl w:val="2"/>
          <w:numId w:val="5"/>
        </w:numPr>
      </w:pPr>
      <w:r>
        <w:t xml:space="preserve">the proposed new tenant has inferior financial resources or retailing skills than the current tenant; </w:t>
      </w:r>
    </w:p>
    <w:p w:rsidR="00D95BB4" w:rsidRDefault="00D95BB4" w:rsidP="005B56F1">
      <w:pPr>
        <w:pStyle w:val="ListParagraph"/>
        <w:numPr>
          <w:ilvl w:val="2"/>
          <w:numId w:val="5"/>
        </w:numPr>
      </w:pPr>
      <w:proofErr w:type="gramStart"/>
      <w:r>
        <w:t>the</w:t>
      </w:r>
      <w:proofErr w:type="gramEnd"/>
      <w:r>
        <w:t xml:space="preserve"> current tenant has not sought consent to the assignment through the proper procedure.</w:t>
      </w:r>
      <w:r>
        <w:rPr>
          <w:rStyle w:val="FootnoteReference"/>
        </w:rPr>
        <w:footnoteReference w:id="21"/>
      </w:r>
    </w:p>
    <w:p w:rsidR="00273694" w:rsidRDefault="00273694" w:rsidP="005B56F1">
      <w:pPr>
        <w:pStyle w:val="ListParagraph"/>
        <w:numPr>
          <w:ilvl w:val="1"/>
          <w:numId w:val="5"/>
        </w:numPr>
      </w:pPr>
      <w:r w:rsidRPr="00273694">
        <w:rPr>
          <w:b/>
        </w:rPr>
        <w:t>A tenant may choose to abandon the premises</w:t>
      </w:r>
      <w:r>
        <w:t xml:space="preserve">. However, he or she will be liable for damages for the remaining rent under the lease until the premises are leased out again. </w:t>
      </w:r>
    </w:p>
    <w:p w:rsidR="005B56F1" w:rsidRDefault="005B56F1" w:rsidP="00277DE7">
      <w:pPr>
        <w:rPr>
          <w:b/>
        </w:rPr>
      </w:pPr>
    </w:p>
    <w:p w:rsidR="00BD1D48" w:rsidRPr="005B56F1" w:rsidRDefault="00BD1D48" w:rsidP="00325024">
      <w:pPr>
        <w:pStyle w:val="ListParagraph"/>
        <w:numPr>
          <w:ilvl w:val="1"/>
          <w:numId w:val="10"/>
        </w:numPr>
        <w:rPr>
          <w:b/>
        </w:rPr>
      </w:pPr>
      <w:r w:rsidRPr="005B56F1">
        <w:rPr>
          <w:b/>
        </w:rPr>
        <w:t xml:space="preserve">Remedies for </w:t>
      </w:r>
      <w:r w:rsidR="00273694" w:rsidRPr="005B56F1">
        <w:rPr>
          <w:b/>
        </w:rPr>
        <w:t>termination</w:t>
      </w:r>
    </w:p>
    <w:p w:rsidR="00273694" w:rsidRDefault="00273694" w:rsidP="00273694">
      <w:r>
        <w:t xml:space="preserve">When seeking remedies related to termination of a lease, it is important to look first at the terms of the lease and determine whether the lease provides for any termination or break costs, or liquidated damages. </w:t>
      </w:r>
    </w:p>
    <w:p w:rsidR="00273694" w:rsidRDefault="00273694" w:rsidP="00273694">
      <w:r>
        <w:t>If the lease is silent on remedies for termination or breach, landlords may look to contract law for damages.</w:t>
      </w:r>
      <w:r w:rsidR="00910016">
        <w:rPr>
          <w:rStyle w:val="FootnoteReference"/>
        </w:rPr>
        <w:footnoteReference w:id="22"/>
      </w:r>
      <w:r>
        <w:t xml:space="preserve"> </w:t>
      </w:r>
    </w:p>
    <w:p w:rsidR="00273694" w:rsidRPr="00273694" w:rsidRDefault="00273694" w:rsidP="00277DE7">
      <w:pPr>
        <w:rPr>
          <w:u w:val="single"/>
        </w:rPr>
      </w:pPr>
      <w:r w:rsidRPr="00273694">
        <w:rPr>
          <w:u w:val="single"/>
        </w:rPr>
        <w:lastRenderedPageBreak/>
        <w:t>Damages</w:t>
      </w:r>
    </w:p>
    <w:p w:rsidR="00273694" w:rsidRDefault="00273694" w:rsidP="00277DE7">
      <w:r>
        <w:t>D</w:t>
      </w:r>
      <w:r w:rsidR="00A17227">
        <w:t xml:space="preserve">amages </w:t>
      </w:r>
      <w:r>
        <w:t xml:space="preserve">may be available in cases where the tenant has terminated the lease prior to its expiry, or where the lease was forfeited due to some breach by the tenant, e.g. non-payment of rent.  </w:t>
      </w:r>
    </w:p>
    <w:p w:rsidR="00273694" w:rsidRDefault="00A17227" w:rsidP="00277DE7">
      <w:r>
        <w:t xml:space="preserve">The amount of </w:t>
      </w:r>
      <w:r w:rsidR="00273694">
        <w:t xml:space="preserve">damages </w:t>
      </w:r>
      <w:r>
        <w:t xml:space="preserve">will be </w:t>
      </w:r>
      <w:r w:rsidR="00273694">
        <w:t xml:space="preserve">calculated </w:t>
      </w:r>
      <w:r>
        <w:t xml:space="preserve">based on how the remaining rent due under the lease. In other words, a tenant may be liable to pay the remaining rent free period under the lease until the premises are rented out again. </w:t>
      </w:r>
    </w:p>
    <w:p w:rsidR="00910016" w:rsidRDefault="00910016" w:rsidP="00910016">
      <w:r>
        <w:t xml:space="preserve">The </w:t>
      </w:r>
      <w:r w:rsidRPr="00910016">
        <w:t xml:space="preserve">landlord must take reasonable steps to minimise the quantum of his or her loss. </w:t>
      </w:r>
      <w:r>
        <w:t xml:space="preserve">This is known as mitigation. However, where a tenant </w:t>
      </w:r>
      <w:r w:rsidRPr="00910016">
        <w:t xml:space="preserve">abandons the </w:t>
      </w:r>
      <w:r>
        <w:t xml:space="preserve">premises and </w:t>
      </w:r>
      <w:r w:rsidRPr="00910016">
        <w:t xml:space="preserve">remains liable for the rent, the </w:t>
      </w:r>
      <w:r>
        <w:t xml:space="preserve">landlord </w:t>
      </w:r>
      <w:r w:rsidRPr="00910016">
        <w:t>is not required to mitigate his or her loss by re-letting the premises.</w:t>
      </w:r>
      <w:r>
        <w:rPr>
          <w:rStyle w:val="FootnoteReference"/>
        </w:rPr>
        <w:footnoteReference w:id="23"/>
      </w:r>
      <w:r w:rsidRPr="00910016">
        <w:t xml:space="preserve"> </w:t>
      </w:r>
    </w:p>
    <w:p w:rsidR="00910016" w:rsidRPr="00910016" w:rsidRDefault="00910016" w:rsidP="00910016">
      <w:r>
        <w:t xml:space="preserve">If </w:t>
      </w:r>
      <w:r w:rsidRPr="00910016">
        <w:t xml:space="preserve">the </w:t>
      </w:r>
      <w:r w:rsidR="00E72AB4">
        <w:t>landlord</w:t>
      </w:r>
      <w:r w:rsidRPr="00910016">
        <w:t xml:space="preserve"> re-lets the abandoned premises</w:t>
      </w:r>
      <w:r>
        <w:t xml:space="preserve"> at a lower price</w:t>
      </w:r>
      <w:r w:rsidRPr="00910016">
        <w:t xml:space="preserve">, the </w:t>
      </w:r>
      <w:r w:rsidR="00E72AB4">
        <w:t xml:space="preserve">landlord </w:t>
      </w:r>
      <w:r w:rsidRPr="00910016">
        <w:t xml:space="preserve">is entitled to </w:t>
      </w:r>
      <w:r>
        <w:t xml:space="preserve">seek damages from the former tenant for </w:t>
      </w:r>
      <w:r w:rsidRPr="00910016">
        <w:t>the difference between the rent under the new lease and the rent under the original lease.</w:t>
      </w:r>
    </w:p>
    <w:p w:rsidR="009C0420" w:rsidRDefault="00273694" w:rsidP="00277DE7">
      <w:pPr>
        <w:rPr>
          <w:u w:val="single"/>
        </w:rPr>
      </w:pPr>
      <w:r w:rsidRPr="00273694">
        <w:rPr>
          <w:u w:val="single"/>
        </w:rPr>
        <w:t>Mesne profits</w:t>
      </w:r>
    </w:p>
    <w:p w:rsidR="00E72AB4" w:rsidRDefault="00E72AB4" w:rsidP="00277DE7">
      <w:r>
        <w:t xml:space="preserve">Where a lease has been forfeited by the landlord due to non-payment of rent, but the tenant has continued to occupy the premises, the tenant could be liable for mesne profits, being damages for trespass.  </w:t>
      </w:r>
    </w:p>
    <w:p w:rsidR="00B83012" w:rsidRDefault="00B83012" w:rsidP="00277DE7">
      <w:r>
        <w:t xml:space="preserve">Mesne profits can be claimed from the date of the termination of the lease until the date that the landlord regains possession of the premises. The loss is calculated on the basis of the </w:t>
      </w:r>
      <w:r w:rsidR="00B346D2">
        <w:t xml:space="preserve">actual rate of return as opposed to the previous rent, but may include all costs associated </w:t>
      </w:r>
      <w:r w:rsidR="00445233">
        <w:t>with the recovery of possession.</w:t>
      </w:r>
      <w:r w:rsidR="00445233">
        <w:rPr>
          <w:rStyle w:val="FootnoteReference"/>
        </w:rPr>
        <w:footnoteReference w:id="24"/>
      </w:r>
    </w:p>
    <w:p w:rsidR="00275872" w:rsidRPr="005B56F1" w:rsidRDefault="009C0420" w:rsidP="00325024">
      <w:pPr>
        <w:pStyle w:val="ListParagraph"/>
        <w:numPr>
          <w:ilvl w:val="0"/>
          <w:numId w:val="10"/>
        </w:numPr>
        <w:rPr>
          <w:b/>
        </w:rPr>
      </w:pPr>
      <w:r w:rsidRPr="005B56F1">
        <w:rPr>
          <w:b/>
        </w:rPr>
        <w:t xml:space="preserve">Conclusion </w:t>
      </w:r>
    </w:p>
    <w:p w:rsidR="00DB4D4A" w:rsidRDefault="00445233" w:rsidP="00275872">
      <w:r>
        <w:t xml:space="preserve">A lease, as a particular type of contract, can be terminated in a number of ways: </w:t>
      </w:r>
    </w:p>
    <w:p w:rsidR="006F17A6" w:rsidRDefault="006F17A6" w:rsidP="005B56F1">
      <w:pPr>
        <w:pStyle w:val="ListParagraph"/>
        <w:numPr>
          <w:ilvl w:val="0"/>
          <w:numId w:val="8"/>
        </w:numPr>
      </w:pPr>
      <w:r>
        <w:t xml:space="preserve">At the expiration of the lease term; </w:t>
      </w:r>
    </w:p>
    <w:p w:rsidR="006F17A6" w:rsidRDefault="006F17A6" w:rsidP="005B56F1">
      <w:pPr>
        <w:pStyle w:val="ListParagraph"/>
        <w:numPr>
          <w:ilvl w:val="0"/>
          <w:numId w:val="8"/>
        </w:numPr>
      </w:pPr>
      <w:r>
        <w:t>Through early termination by the tenant;</w:t>
      </w:r>
    </w:p>
    <w:p w:rsidR="006F17A6" w:rsidRDefault="006F17A6" w:rsidP="005B56F1">
      <w:pPr>
        <w:pStyle w:val="ListParagraph"/>
        <w:numPr>
          <w:ilvl w:val="0"/>
          <w:numId w:val="8"/>
        </w:numPr>
      </w:pPr>
      <w:r>
        <w:t>Through re-entry and forfeiture by the landlord due to non-payment of rent or breach of some other obligation by the tenant; and</w:t>
      </w:r>
    </w:p>
    <w:p w:rsidR="006F17A6" w:rsidRPr="00AD1B61" w:rsidRDefault="006F17A6" w:rsidP="005B56F1">
      <w:pPr>
        <w:pStyle w:val="ListParagraph"/>
        <w:numPr>
          <w:ilvl w:val="0"/>
          <w:numId w:val="8"/>
        </w:numPr>
      </w:pPr>
      <w:r>
        <w:t>Through assignment to a third party.</w:t>
      </w:r>
    </w:p>
    <w:p w:rsidR="00445233" w:rsidRDefault="006F17A6" w:rsidP="00275872">
      <w:r>
        <w:t xml:space="preserve">A termination of a lease prior to the expiry of the term is a serious matter and may result in losses to the landlord, and a liability to pay damages for the tenant. </w:t>
      </w:r>
    </w:p>
    <w:p w:rsidR="006F17A6" w:rsidRDefault="006F17A6" w:rsidP="00275872">
      <w:r>
        <w:t>Parties looking to terminate a lease prior to the expiration of term must do so in accordance with any legislative requirements, including any applicable requirement to give notice to the other party.</w:t>
      </w:r>
    </w:p>
    <w:p w:rsidR="007F31EB" w:rsidRDefault="006F17A6" w:rsidP="00275872">
      <w:r>
        <w:lastRenderedPageBreak/>
        <w:t xml:space="preserve">Where a landlord has sustained losses due to the early termination of a lease, the tenant may be liable to pay the remaining rent due under the lease, until such time as the landlord re-lets the premises. </w:t>
      </w:r>
    </w:p>
    <w:p w:rsidR="007F31EB" w:rsidRDefault="007F31EB">
      <w:r>
        <w:br w:type="page"/>
      </w:r>
    </w:p>
    <w:p w:rsidR="006F17A6" w:rsidRPr="007F31EB" w:rsidRDefault="007F31EB" w:rsidP="007F31EB">
      <w:pPr>
        <w:jc w:val="center"/>
        <w:rPr>
          <w:b/>
        </w:rPr>
      </w:pPr>
      <w:r w:rsidRPr="007F31EB">
        <w:rPr>
          <w:b/>
        </w:rPr>
        <w:lastRenderedPageBreak/>
        <w:t>Annexure A</w:t>
      </w:r>
    </w:p>
    <w:p w:rsidR="007F31EB" w:rsidRDefault="007F31EB" w:rsidP="007F31EB"/>
    <w:p w:rsidR="007F31EB" w:rsidRDefault="007F31EB" w:rsidP="007F31EB">
      <w:r>
        <w:t>The following procedure sets out what to do in the event that a tenant defaults on rent.</w:t>
      </w:r>
    </w:p>
    <w:p w:rsidR="007F31EB" w:rsidRDefault="007F31EB" w:rsidP="007F31EB">
      <w:pPr>
        <w:pStyle w:val="ListParagraph"/>
        <w:numPr>
          <w:ilvl w:val="0"/>
          <w:numId w:val="13"/>
        </w:numPr>
      </w:pPr>
      <w:r>
        <w:t>Check the lease: does the lease have a right of forfeiture or a clause dealing with non-payment of rent?</w:t>
      </w:r>
    </w:p>
    <w:p w:rsidR="007F31EB" w:rsidRDefault="007F31EB" w:rsidP="007F31EB">
      <w:pPr>
        <w:pStyle w:val="ListParagraph"/>
        <w:numPr>
          <w:ilvl w:val="1"/>
          <w:numId w:val="13"/>
        </w:numPr>
      </w:pPr>
      <w:r>
        <w:t>If so, follow the procedure set out in the clause.</w:t>
      </w:r>
    </w:p>
    <w:p w:rsidR="007F31EB" w:rsidRDefault="007F31EB" w:rsidP="007F31EB">
      <w:pPr>
        <w:pStyle w:val="ListParagraph"/>
        <w:numPr>
          <w:ilvl w:val="1"/>
          <w:numId w:val="13"/>
        </w:numPr>
      </w:pPr>
      <w:r>
        <w:t xml:space="preserve">If not, process to 2. </w:t>
      </w:r>
    </w:p>
    <w:p w:rsidR="007F31EB" w:rsidRDefault="007F31EB" w:rsidP="007F31EB">
      <w:pPr>
        <w:pStyle w:val="ListParagraph"/>
        <w:numPr>
          <w:ilvl w:val="0"/>
          <w:numId w:val="13"/>
        </w:numPr>
      </w:pPr>
      <w:r>
        <w:t xml:space="preserve">If the tenant has defaulted on rent for one month, he/she has an additional month to bring the rent up to date. </w:t>
      </w:r>
    </w:p>
    <w:p w:rsidR="007F31EB" w:rsidRDefault="007F31EB" w:rsidP="007F31EB">
      <w:pPr>
        <w:pStyle w:val="ListParagraph"/>
        <w:numPr>
          <w:ilvl w:val="0"/>
          <w:numId w:val="13"/>
        </w:numPr>
      </w:pPr>
      <w:r>
        <w:t xml:space="preserve">The landlord may send a letter to the tenant notifying them of the default and requesting that they bring their rent up to date. </w:t>
      </w:r>
    </w:p>
    <w:p w:rsidR="007F31EB" w:rsidRDefault="007F31EB" w:rsidP="007F31EB">
      <w:pPr>
        <w:pStyle w:val="ListParagraph"/>
        <w:numPr>
          <w:ilvl w:val="1"/>
          <w:numId w:val="13"/>
        </w:numPr>
      </w:pPr>
      <w:r>
        <w:t xml:space="preserve">Note that there is no requirement in NSW legislation for the landlord to give notice in the event of a non-payment of rent. However, in the interest of resolving a dispute and for good recordkeeping, the landlord should attempt to resolve any rent issues with the tenant first before forfeiting the lease. </w:t>
      </w:r>
    </w:p>
    <w:p w:rsidR="007F31EB" w:rsidRDefault="007F31EB" w:rsidP="007F31EB">
      <w:pPr>
        <w:pStyle w:val="ListParagraph"/>
        <w:numPr>
          <w:ilvl w:val="0"/>
          <w:numId w:val="13"/>
        </w:numPr>
      </w:pPr>
      <w:r>
        <w:t xml:space="preserve">If after 14 days, the tenant has failed to respond or pay the rent owing, the landlord may wish to call the tenant to resolve the arrears owing. </w:t>
      </w:r>
    </w:p>
    <w:p w:rsidR="007F31EB" w:rsidRPr="007F31EB" w:rsidRDefault="007F31EB" w:rsidP="007F31EB">
      <w:pPr>
        <w:pStyle w:val="ListParagraph"/>
        <w:numPr>
          <w:ilvl w:val="0"/>
          <w:numId w:val="13"/>
        </w:numPr>
      </w:pPr>
      <w:r>
        <w:t>If a</w:t>
      </w:r>
      <w:r w:rsidRPr="007F31EB">
        <w:t xml:space="preserve">fter </w:t>
      </w:r>
      <w:r>
        <w:t xml:space="preserve">a </w:t>
      </w:r>
      <w:r w:rsidRPr="007F31EB">
        <w:t>further 14 days</w:t>
      </w:r>
      <w:r>
        <w:t>,</w:t>
      </w:r>
      <w:r w:rsidRPr="007F31EB">
        <w:t xml:space="preserve"> </w:t>
      </w:r>
      <w:r>
        <w:t xml:space="preserve">you may wish to draft a notice to the tenant that the landlord intends to forfeit the lease once the rent has been in default for two months (see template below): </w:t>
      </w:r>
    </w:p>
    <w:p w:rsidR="007F31EB" w:rsidRDefault="007F31EB" w:rsidP="007F31EB"/>
    <w:p w:rsidR="007F31EB" w:rsidRDefault="007F31EB" w:rsidP="007F31EB">
      <w:r>
        <w:t>Dear [tenant]</w:t>
      </w:r>
    </w:p>
    <w:p w:rsidR="003F6B60" w:rsidRDefault="003F6B60" w:rsidP="007F31EB">
      <w:r>
        <w:t xml:space="preserve">We refer to our letter to you dated [DATE] and a subsequent phone call on [DATE]. </w:t>
      </w:r>
    </w:p>
    <w:p w:rsidR="007F31EB" w:rsidRDefault="007F31EB" w:rsidP="007F31EB">
      <w:r>
        <w:t xml:space="preserve">Our records show that you have not paid rent since [DATE]. </w:t>
      </w:r>
    </w:p>
    <w:p w:rsidR="007F31EB" w:rsidRDefault="007F31EB" w:rsidP="007F31EB">
      <w:r>
        <w:t xml:space="preserve">Your rent for the period [specify rent cycle] was due on [DATE]. A further rent payment for the period [specify rent cycle] was due on [DATE]. We </w:t>
      </w:r>
      <w:r w:rsidR="003F6B60">
        <w:t xml:space="preserve">have not </w:t>
      </w:r>
      <w:r>
        <w:t xml:space="preserve">received any payment of rent from you for the abovementioned periods. As such, we notify that you are in breach of your lease.  </w:t>
      </w:r>
    </w:p>
    <w:p w:rsidR="007F31EB" w:rsidRDefault="007F31EB" w:rsidP="007F31EB">
      <w:r>
        <w:t xml:space="preserve">Please remedy the breach </w:t>
      </w:r>
      <w:r w:rsidRPr="003F6B60">
        <w:rPr>
          <w:b/>
        </w:rPr>
        <w:t>immediately</w:t>
      </w:r>
      <w:r>
        <w:t xml:space="preserve"> by paying [$AMOUNT] in rent to our offices.</w:t>
      </w:r>
    </w:p>
    <w:p w:rsidR="003F6B60" w:rsidRDefault="007F31EB" w:rsidP="007F31EB">
      <w:r>
        <w:t xml:space="preserve">Should you fail to bring your rent up to date by </w:t>
      </w:r>
      <w:r w:rsidR="003F6B60">
        <w:t>[specify date]</w:t>
      </w:r>
      <w:r>
        <w:t xml:space="preserve">, we reserve our right to repossess the property and terminate the lease. We further reserve our right to </w:t>
      </w:r>
      <w:r w:rsidR="003F6B60">
        <w:t xml:space="preserve">seek recovery of the rent amount owing from you. </w:t>
      </w:r>
    </w:p>
    <w:p w:rsidR="003F6B60" w:rsidRDefault="003F6B60" w:rsidP="007F31EB">
      <w:r>
        <w:t>Yours sincerely</w:t>
      </w:r>
    </w:p>
    <w:p w:rsidR="003F6B60" w:rsidRDefault="003F6B60" w:rsidP="007F31EB">
      <w:r>
        <w:t>[NAME]</w:t>
      </w:r>
    </w:p>
    <w:sectPr w:rsidR="003F6B6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18A" w:rsidRDefault="0058318A" w:rsidP="00DB4D4A">
      <w:pPr>
        <w:spacing w:after="0" w:line="240" w:lineRule="auto"/>
      </w:pPr>
      <w:r>
        <w:separator/>
      </w:r>
    </w:p>
  </w:endnote>
  <w:endnote w:type="continuationSeparator" w:id="0">
    <w:p w:rsidR="0058318A" w:rsidRDefault="0058318A" w:rsidP="00DB4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18A" w:rsidRDefault="0058318A" w:rsidP="00DB4D4A">
      <w:pPr>
        <w:spacing w:after="0" w:line="240" w:lineRule="auto"/>
      </w:pPr>
      <w:r>
        <w:separator/>
      </w:r>
    </w:p>
  </w:footnote>
  <w:footnote w:type="continuationSeparator" w:id="0">
    <w:p w:rsidR="0058318A" w:rsidRDefault="0058318A" w:rsidP="00DB4D4A">
      <w:pPr>
        <w:spacing w:after="0" w:line="240" w:lineRule="auto"/>
      </w:pPr>
      <w:r>
        <w:continuationSeparator/>
      </w:r>
    </w:p>
  </w:footnote>
  <w:footnote w:id="1">
    <w:p w:rsidR="006F17A6" w:rsidRDefault="006F17A6">
      <w:pPr>
        <w:pStyle w:val="FootnoteText"/>
      </w:pPr>
      <w:r>
        <w:rPr>
          <w:rStyle w:val="FootnoteReference"/>
        </w:rPr>
        <w:footnoteRef/>
      </w:r>
      <w:r>
        <w:t xml:space="preserve"> </w:t>
      </w:r>
      <w:r w:rsidR="002C7413" w:rsidRPr="00910016">
        <w:rPr>
          <w:i/>
        </w:rPr>
        <w:t xml:space="preserve">Progressive Mailing House Pty Ltd v </w:t>
      </w:r>
      <w:proofErr w:type="spellStart"/>
      <w:r w:rsidR="002C7413" w:rsidRPr="00910016">
        <w:rPr>
          <w:i/>
        </w:rPr>
        <w:t>Tabali</w:t>
      </w:r>
      <w:proofErr w:type="spellEnd"/>
      <w:r w:rsidR="002C7413" w:rsidRPr="00910016">
        <w:rPr>
          <w:i/>
        </w:rPr>
        <w:t xml:space="preserve"> Pty Ltd</w:t>
      </w:r>
      <w:r w:rsidR="002C7413">
        <w:t xml:space="preserve"> (1985) 59 ALJR 373</w:t>
      </w:r>
    </w:p>
  </w:footnote>
  <w:footnote w:id="2">
    <w:p w:rsidR="006F17A6" w:rsidRDefault="006F17A6">
      <w:pPr>
        <w:pStyle w:val="FootnoteText"/>
      </w:pPr>
      <w:r>
        <w:rPr>
          <w:rStyle w:val="FootnoteReference"/>
        </w:rPr>
        <w:footnoteRef/>
      </w:r>
      <w:r>
        <w:t xml:space="preserve"> </w:t>
      </w:r>
      <w:r w:rsidR="002C7413" w:rsidRPr="008E3C85">
        <w:t>A lease constitutes a retail lease if it relates to a retail shop of a type listed under Schedule 1 of the</w:t>
      </w:r>
      <w:r w:rsidR="002C7413">
        <w:t xml:space="preserve"> </w:t>
      </w:r>
      <w:r w:rsidR="002C7413" w:rsidRPr="008E3C85">
        <w:rPr>
          <w:i/>
        </w:rPr>
        <w:t>Retail Leases Act 1994</w:t>
      </w:r>
      <w:r w:rsidR="002C7413">
        <w:t>.</w:t>
      </w:r>
    </w:p>
  </w:footnote>
  <w:footnote w:id="3">
    <w:p w:rsidR="008A5E42" w:rsidRDefault="008A5E42" w:rsidP="008A5E42">
      <w:pPr>
        <w:pStyle w:val="FootnoteText"/>
      </w:pPr>
      <w:r>
        <w:rPr>
          <w:rStyle w:val="FootnoteReference"/>
        </w:rPr>
        <w:footnoteRef/>
      </w:r>
      <w:r>
        <w:t xml:space="preserve"> </w:t>
      </w:r>
      <w:r w:rsidRPr="00322E81">
        <w:rPr>
          <w:i/>
        </w:rPr>
        <w:t>Hudson v Cripps</w:t>
      </w:r>
      <w:r>
        <w:t xml:space="preserve"> [1896] 1 </w:t>
      </w:r>
      <w:proofErr w:type="spellStart"/>
      <w:r>
        <w:t>Ch</w:t>
      </w:r>
      <w:proofErr w:type="spellEnd"/>
      <w:r>
        <w:t xml:space="preserve"> 265</w:t>
      </w:r>
    </w:p>
  </w:footnote>
  <w:footnote w:id="4">
    <w:p w:rsidR="00322E81" w:rsidRDefault="00322E81">
      <w:pPr>
        <w:pStyle w:val="FootnoteText"/>
      </w:pPr>
      <w:r>
        <w:rPr>
          <w:rStyle w:val="FootnoteReference"/>
        </w:rPr>
        <w:footnoteRef/>
      </w:r>
      <w:r>
        <w:t xml:space="preserve"> </w:t>
      </w:r>
      <w:r w:rsidRPr="00322E81">
        <w:rPr>
          <w:i/>
        </w:rPr>
        <w:t xml:space="preserve">Byrnes v </w:t>
      </w:r>
      <w:proofErr w:type="spellStart"/>
      <w:r w:rsidRPr="00322E81">
        <w:rPr>
          <w:i/>
        </w:rPr>
        <w:t>Jokona</w:t>
      </w:r>
      <w:proofErr w:type="spellEnd"/>
      <w:r w:rsidRPr="00322E81">
        <w:rPr>
          <w:i/>
        </w:rPr>
        <w:t xml:space="preserve"> Pty Ltd</w:t>
      </w:r>
      <w:r w:rsidRPr="00106650">
        <w:t xml:space="preserve"> [2002] FCA 41</w:t>
      </w:r>
    </w:p>
  </w:footnote>
  <w:footnote w:id="5">
    <w:p w:rsidR="00D040BA" w:rsidRDefault="00D040BA">
      <w:pPr>
        <w:pStyle w:val="FootnoteText"/>
      </w:pPr>
      <w:r>
        <w:rPr>
          <w:rStyle w:val="FootnoteReference"/>
        </w:rPr>
        <w:footnoteRef/>
      </w:r>
      <w:r>
        <w:t xml:space="preserve"> </w:t>
      </w:r>
      <w:r w:rsidR="002C7413" w:rsidRPr="00D040BA">
        <w:rPr>
          <w:i/>
        </w:rPr>
        <w:t>Conveyancing</w:t>
      </w:r>
      <w:r w:rsidRPr="00D040BA">
        <w:rPr>
          <w:i/>
        </w:rPr>
        <w:t xml:space="preserve"> Act 1919</w:t>
      </w:r>
      <w:r>
        <w:t xml:space="preserve"> (NSW) s 84</w:t>
      </w:r>
    </w:p>
  </w:footnote>
  <w:footnote w:id="6">
    <w:p w:rsidR="00D040BA" w:rsidRDefault="00D040BA">
      <w:pPr>
        <w:pStyle w:val="FootnoteText"/>
      </w:pPr>
      <w:r>
        <w:rPr>
          <w:rStyle w:val="FootnoteReference"/>
        </w:rPr>
        <w:footnoteRef/>
      </w:r>
      <w:r>
        <w:t xml:space="preserve"> </w:t>
      </w:r>
      <w:r w:rsidR="002C7413" w:rsidRPr="00D040BA">
        <w:rPr>
          <w:i/>
        </w:rPr>
        <w:t>Conveyancing</w:t>
      </w:r>
      <w:r w:rsidRPr="00D040BA">
        <w:rPr>
          <w:i/>
        </w:rPr>
        <w:t xml:space="preserve"> Act 1919</w:t>
      </w:r>
      <w:r>
        <w:t xml:space="preserve"> (NSW) s 85(1)(d)</w:t>
      </w:r>
    </w:p>
  </w:footnote>
  <w:footnote w:id="7">
    <w:p w:rsidR="008A5E42" w:rsidRDefault="008A5E42" w:rsidP="008A5E42">
      <w:pPr>
        <w:pStyle w:val="FootnoteText"/>
      </w:pPr>
      <w:r>
        <w:rPr>
          <w:rStyle w:val="FootnoteReference"/>
        </w:rPr>
        <w:footnoteRef/>
      </w:r>
      <w:r>
        <w:t xml:space="preserve"> </w:t>
      </w:r>
      <w:r w:rsidRPr="00DB4D4A">
        <w:rPr>
          <w:i/>
        </w:rPr>
        <w:t>Retail Leases Act 1994</w:t>
      </w:r>
      <w:r>
        <w:t xml:space="preserve"> (NSW) s 44(1)</w:t>
      </w:r>
    </w:p>
  </w:footnote>
  <w:footnote w:id="8">
    <w:p w:rsidR="008A5E42" w:rsidRDefault="008A5E42" w:rsidP="008A5E42">
      <w:pPr>
        <w:pStyle w:val="FootnoteText"/>
      </w:pPr>
      <w:r>
        <w:rPr>
          <w:rStyle w:val="FootnoteReference"/>
        </w:rPr>
        <w:footnoteRef/>
      </w:r>
      <w:r>
        <w:t xml:space="preserve"> </w:t>
      </w:r>
      <w:r w:rsidRPr="00DB4D4A">
        <w:rPr>
          <w:i/>
        </w:rPr>
        <w:t>Retail Leases Act 1994</w:t>
      </w:r>
      <w:r>
        <w:t xml:space="preserve"> (NSW) s 44(3)</w:t>
      </w:r>
    </w:p>
  </w:footnote>
  <w:footnote w:id="9">
    <w:p w:rsidR="008A5E42" w:rsidRDefault="008A5E42" w:rsidP="008A5E42">
      <w:pPr>
        <w:pStyle w:val="FootnoteText"/>
      </w:pPr>
      <w:r>
        <w:rPr>
          <w:rStyle w:val="FootnoteReference"/>
        </w:rPr>
        <w:footnoteRef/>
      </w:r>
      <w:r>
        <w:t xml:space="preserve"> </w:t>
      </w:r>
      <w:r w:rsidRPr="00726A4F">
        <w:rPr>
          <w:i/>
        </w:rPr>
        <w:t>Conveyancing Act 1919</w:t>
      </w:r>
      <w:r>
        <w:t xml:space="preserve"> (NSW) s 127(1)</w:t>
      </w:r>
    </w:p>
  </w:footnote>
  <w:footnote w:id="10">
    <w:p w:rsidR="00036B3F" w:rsidRDefault="00036B3F" w:rsidP="00036B3F">
      <w:pPr>
        <w:pStyle w:val="FootnoteText"/>
      </w:pPr>
      <w:r>
        <w:rPr>
          <w:rStyle w:val="FootnoteReference"/>
        </w:rPr>
        <w:footnoteRef/>
      </w:r>
      <w:r>
        <w:t xml:space="preserve"> </w:t>
      </w:r>
      <w:r w:rsidR="002C7413" w:rsidRPr="00D040BA">
        <w:rPr>
          <w:i/>
        </w:rPr>
        <w:t>Conveyancing</w:t>
      </w:r>
      <w:r w:rsidRPr="00D040BA">
        <w:rPr>
          <w:i/>
        </w:rPr>
        <w:t xml:space="preserve"> Act 1919</w:t>
      </w:r>
      <w:r>
        <w:t xml:space="preserve"> (NSW) s 129</w:t>
      </w:r>
    </w:p>
  </w:footnote>
  <w:footnote w:id="11">
    <w:p w:rsidR="00036B3F" w:rsidRDefault="00036B3F" w:rsidP="00036B3F">
      <w:pPr>
        <w:pStyle w:val="FootnoteText"/>
      </w:pPr>
      <w:r>
        <w:rPr>
          <w:rStyle w:val="FootnoteReference"/>
        </w:rPr>
        <w:footnoteRef/>
      </w:r>
      <w:r>
        <w:t xml:space="preserve"> </w:t>
      </w:r>
      <w:r w:rsidRPr="00144395">
        <w:rPr>
          <w:i/>
        </w:rPr>
        <w:t>Penton v Barnett</w:t>
      </w:r>
      <w:r>
        <w:t xml:space="preserve"> [1898] 1 QB 276</w:t>
      </w:r>
    </w:p>
  </w:footnote>
  <w:footnote w:id="12">
    <w:p w:rsidR="00036B3F" w:rsidRDefault="00036B3F" w:rsidP="00036B3F">
      <w:pPr>
        <w:pStyle w:val="FootnoteText"/>
      </w:pPr>
      <w:r>
        <w:rPr>
          <w:rStyle w:val="FootnoteReference"/>
        </w:rPr>
        <w:footnoteRef/>
      </w:r>
      <w:r>
        <w:t xml:space="preserve"> </w:t>
      </w:r>
      <w:r w:rsidRPr="00144395">
        <w:rPr>
          <w:i/>
        </w:rPr>
        <w:t xml:space="preserve">Bilson v Residential </w:t>
      </w:r>
      <w:r w:rsidR="004861F3" w:rsidRPr="00144395">
        <w:rPr>
          <w:i/>
        </w:rPr>
        <w:t>Apartments</w:t>
      </w:r>
      <w:r w:rsidR="004861F3">
        <w:t xml:space="preserve"> </w:t>
      </w:r>
      <w:r w:rsidR="00144395">
        <w:t>[1992]1 1 AC 494</w:t>
      </w:r>
    </w:p>
  </w:footnote>
  <w:footnote w:id="13">
    <w:p w:rsidR="00036B3F" w:rsidRDefault="00036B3F" w:rsidP="00036B3F">
      <w:pPr>
        <w:pStyle w:val="FootnoteText"/>
      </w:pPr>
      <w:r>
        <w:rPr>
          <w:rStyle w:val="FootnoteReference"/>
        </w:rPr>
        <w:footnoteRef/>
      </w:r>
      <w:r>
        <w:t xml:space="preserve"> </w:t>
      </w:r>
      <w:r w:rsidRPr="004861F3">
        <w:rPr>
          <w:i/>
        </w:rPr>
        <w:t xml:space="preserve">Civil Service Co-operative Society Ltd v </w:t>
      </w:r>
      <w:proofErr w:type="spellStart"/>
      <w:r w:rsidRPr="004861F3">
        <w:rPr>
          <w:i/>
        </w:rPr>
        <w:t>McGrigor's</w:t>
      </w:r>
      <w:proofErr w:type="spellEnd"/>
      <w:r w:rsidRPr="004861F3">
        <w:rPr>
          <w:i/>
        </w:rPr>
        <w:t xml:space="preserve"> Trustee</w:t>
      </w:r>
      <w:r>
        <w:t xml:space="preserve"> [1923] 2 QB 79</w:t>
      </w:r>
    </w:p>
  </w:footnote>
  <w:footnote w:id="14">
    <w:p w:rsidR="004861F3" w:rsidRDefault="004861F3">
      <w:pPr>
        <w:pStyle w:val="FootnoteText"/>
      </w:pPr>
      <w:r>
        <w:rPr>
          <w:rStyle w:val="FootnoteReference"/>
        </w:rPr>
        <w:footnoteRef/>
      </w:r>
      <w:r>
        <w:t xml:space="preserve"> </w:t>
      </w:r>
      <w:r w:rsidRPr="004861F3">
        <w:rPr>
          <w:i/>
        </w:rPr>
        <w:t xml:space="preserve">Moore v </w:t>
      </w:r>
      <w:proofErr w:type="spellStart"/>
      <w:r w:rsidRPr="004861F3">
        <w:rPr>
          <w:i/>
        </w:rPr>
        <w:t>Ullcoats</w:t>
      </w:r>
      <w:proofErr w:type="spellEnd"/>
      <w:r w:rsidRPr="004861F3">
        <w:rPr>
          <w:i/>
        </w:rPr>
        <w:t xml:space="preserve"> Mining Co</w:t>
      </w:r>
      <w:r>
        <w:t xml:space="preserve"> (1908) 1 </w:t>
      </w:r>
      <w:proofErr w:type="spellStart"/>
      <w:r>
        <w:t>Ch</w:t>
      </w:r>
      <w:proofErr w:type="spellEnd"/>
      <w:r>
        <w:t xml:space="preserve"> 575</w:t>
      </w:r>
    </w:p>
  </w:footnote>
  <w:footnote w:id="15">
    <w:p w:rsidR="004861F3" w:rsidRDefault="004861F3">
      <w:pPr>
        <w:pStyle w:val="FootnoteText"/>
      </w:pPr>
      <w:r>
        <w:rPr>
          <w:rStyle w:val="FootnoteReference"/>
        </w:rPr>
        <w:footnoteRef/>
      </w:r>
      <w:r>
        <w:t xml:space="preserve"> Ibid.</w:t>
      </w:r>
    </w:p>
  </w:footnote>
  <w:footnote w:id="16">
    <w:p w:rsidR="00C24B54" w:rsidRDefault="00C24B54">
      <w:pPr>
        <w:pStyle w:val="FootnoteText"/>
      </w:pPr>
      <w:r>
        <w:rPr>
          <w:rStyle w:val="FootnoteReference"/>
        </w:rPr>
        <w:footnoteRef/>
      </w:r>
      <w:r>
        <w:t xml:space="preserve"> </w:t>
      </w:r>
      <w:r w:rsidRPr="00DB4D4A">
        <w:rPr>
          <w:i/>
        </w:rPr>
        <w:t>Retail Leases Act 1994</w:t>
      </w:r>
      <w:r>
        <w:t xml:space="preserve"> (NSW) s 35</w:t>
      </w:r>
    </w:p>
  </w:footnote>
  <w:footnote w:id="17">
    <w:p w:rsidR="00C24B54" w:rsidRDefault="00C24B54">
      <w:pPr>
        <w:pStyle w:val="FootnoteText"/>
      </w:pPr>
      <w:r>
        <w:rPr>
          <w:rStyle w:val="FootnoteReference"/>
        </w:rPr>
        <w:footnoteRef/>
      </w:r>
      <w:r>
        <w:t xml:space="preserve"> </w:t>
      </w:r>
      <w:r w:rsidRPr="00DB4D4A">
        <w:rPr>
          <w:i/>
        </w:rPr>
        <w:t>Retail Leases Act 1994</w:t>
      </w:r>
      <w:r>
        <w:t xml:space="preserve"> (NSW) s 35(4)</w:t>
      </w:r>
    </w:p>
  </w:footnote>
  <w:footnote w:id="18">
    <w:p w:rsidR="00D13155" w:rsidRDefault="00D13155" w:rsidP="00D13155">
      <w:pPr>
        <w:pStyle w:val="FootnoteText"/>
      </w:pPr>
      <w:r>
        <w:rPr>
          <w:rStyle w:val="FootnoteReference"/>
        </w:rPr>
        <w:footnoteRef/>
      </w:r>
      <w:r>
        <w:t xml:space="preserve"> </w:t>
      </w:r>
      <w:r w:rsidRPr="00726A4F">
        <w:rPr>
          <w:i/>
        </w:rPr>
        <w:t>Conveyancing Act 1919</w:t>
      </w:r>
      <w:r>
        <w:t xml:space="preserve"> (NSW) s 127(1)</w:t>
      </w:r>
    </w:p>
  </w:footnote>
  <w:footnote w:id="19">
    <w:p w:rsidR="004F18D1" w:rsidRDefault="004F18D1">
      <w:pPr>
        <w:pStyle w:val="FootnoteText"/>
      </w:pPr>
      <w:r>
        <w:rPr>
          <w:rStyle w:val="FootnoteReference"/>
        </w:rPr>
        <w:footnoteRef/>
      </w:r>
      <w:r>
        <w:t xml:space="preserve"> </w:t>
      </w:r>
      <w:r w:rsidRPr="00D95BB4">
        <w:rPr>
          <w:i/>
        </w:rPr>
        <w:t>Retail Leases Act 1994</w:t>
      </w:r>
      <w:r>
        <w:t xml:space="preserve"> s 41</w:t>
      </w:r>
    </w:p>
  </w:footnote>
  <w:footnote w:id="20">
    <w:p w:rsidR="004F18D1" w:rsidRDefault="004F18D1">
      <w:pPr>
        <w:pStyle w:val="FootnoteText"/>
      </w:pPr>
      <w:r>
        <w:rPr>
          <w:rStyle w:val="FootnoteReference"/>
        </w:rPr>
        <w:footnoteRef/>
      </w:r>
      <w:r>
        <w:t xml:space="preserve"> </w:t>
      </w:r>
      <w:r w:rsidRPr="00D95BB4">
        <w:rPr>
          <w:i/>
        </w:rPr>
        <w:t>Retail Leases Act 1994</w:t>
      </w:r>
      <w:r>
        <w:t xml:space="preserve"> s 39</w:t>
      </w:r>
    </w:p>
  </w:footnote>
  <w:footnote w:id="21">
    <w:p w:rsidR="00D95BB4" w:rsidRDefault="00D95BB4">
      <w:pPr>
        <w:pStyle w:val="FootnoteText"/>
      </w:pPr>
      <w:r>
        <w:rPr>
          <w:rStyle w:val="FootnoteReference"/>
        </w:rPr>
        <w:footnoteRef/>
      </w:r>
      <w:r>
        <w:t xml:space="preserve"> Pursuant to the </w:t>
      </w:r>
      <w:r w:rsidRPr="00D95BB4">
        <w:rPr>
          <w:i/>
        </w:rPr>
        <w:t>Retail Leases Act 1994</w:t>
      </w:r>
      <w:r>
        <w:t xml:space="preserve"> s 41</w:t>
      </w:r>
    </w:p>
  </w:footnote>
  <w:footnote w:id="22">
    <w:p w:rsidR="00910016" w:rsidRDefault="00910016">
      <w:pPr>
        <w:pStyle w:val="FootnoteText"/>
      </w:pPr>
      <w:r>
        <w:rPr>
          <w:rStyle w:val="FootnoteReference"/>
        </w:rPr>
        <w:footnoteRef/>
      </w:r>
      <w:r>
        <w:t xml:space="preserve"> </w:t>
      </w:r>
      <w:r w:rsidRPr="00910016">
        <w:rPr>
          <w:i/>
        </w:rPr>
        <w:t xml:space="preserve">Progressive Mailing House Pty Ltd v </w:t>
      </w:r>
      <w:proofErr w:type="spellStart"/>
      <w:r w:rsidRPr="00910016">
        <w:rPr>
          <w:i/>
        </w:rPr>
        <w:t>Tabali</w:t>
      </w:r>
      <w:proofErr w:type="spellEnd"/>
      <w:r w:rsidRPr="00910016">
        <w:rPr>
          <w:i/>
        </w:rPr>
        <w:t xml:space="preserve"> Pty Ltd</w:t>
      </w:r>
      <w:r>
        <w:t xml:space="preserve"> (1985) 59 ALJR 373</w:t>
      </w:r>
    </w:p>
  </w:footnote>
  <w:footnote w:id="23">
    <w:p w:rsidR="00910016" w:rsidRDefault="00910016">
      <w:pPr>
        <w:pStyle w:val="FootnoteText"/>
      </w:pPr>
      <w:r>
        <w:rPr>
          <w:rStyle w:val="FootnoteReference"/>
        </w:rPr>
        <w:footnoteRef/>
      </w:r>
      <w:r>
        <w:t xml:space="preserve"> </w:t>
      </w:r>
      <w:proofErr w:type="spellStart"/>
      <w:r w:rsidRPr="00910016">
        <w:rPr>
          <w:i/>
        </w:rPr>
        <w:t>Maridakis</w:t>
      </w:r>
      <w:proofErr w:type="spellEnd"/>
      <w:r w:rsidRPr="00910016">
        <w:rPr>
          <w:i/>
        </w:rPr>
        <w:t xml:space="preserve"> v </w:t>
      </w:r>
      <w:proofErr w:type="spellStart"/>
      <w:r w:rsidRPr="00910016">
        <w:rPr>
          <w:i/>
        </w:rPr>
        <w:t>Kouvaris</w:t>
      </w:r>
      <w:proofErr w:type="spellEnd"/>
      <w:r>
        <w:t xml:space="preserve"> (1975) 5 ALR 197</w:t>
      </w:r>
    </w:p>
  </w:footnote>
  <w:footnote w:id="24">
    <w:p w:rsidR="00445233" w:rsidRDefault="00445233">
      <w:pPr>
        <w:pStyle w:val="FootnoteText"/>
      </w:pPr>
      <w:r>
        <w:rPr>
          <w:rStyle w:val="FootnoteReference"/>
        </w:rPr>
        <w:footnoteRef/>
      </w:r>
      <w:r>
        <w:t xml:space="preserve"> </w:t>
      </w:r>
      <w:r w:rsidRPr="00445233">
        <w:rPr>
          <w:i/>
        </w:rPr>
        <w:t>Anderson v Bowels</w:t>
      </w:r>
      <w:r>
        <w:t xml:space="preserve"> (1951) 84 CLR 310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F5E9B"/>
    <w:multiLevelType w:val="hybridMultilevel"/>
    <w:tmpl w:val="4BAEB1D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9F06085"/>
    <w:multiLevelType w:val="hybridMultilevel"/>
    <w:tmpl w:val="B03445E6"/>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4115D08"/>
    <w:multiLevelType w:val="hybridMultilevel"/>
    <w:tmpl w:val="B2285B4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26606006"/>
    <w:multiLevelType w:val="hybridMultilevel"/>
    <w:tmpl w:val="2D6AB1B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7AF2E0F"/>
    <w:multiLevelType w:val="hybridMultilevel"/>
    <w:tmpl w:val="B03445E6"/>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A3025BC"/>
    <w:multiLevelType w:val="hybridMultilevel"/>
    <w:tmpl w:val="C33C86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2E006C41"/>
    <w:multiLevelType w:val="hybridMultilevel"/>
    <w:tmpl w:val="AD7A9F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5C167CA"/>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D63508E"/>
    <w:multiLevelType w:val="hybridMultilevel"/>
    <w:tmpl w:val="D7241A04"/>
    <w:lvl w:ilvl="0" w:tplc="0C09000F">
      <w:start w:val="1"/>
      <w:numFmt w:val="decimal"/>
      <w:lvlText w:val="%1."/>
      <w:lvlJc w:val="left"/>
      <w:pPr>
        <w:ind w:left="720" w:hanging="360"/>
      </w:pPr>
      <w:rPr>
        <w:rFonts w:hint="default"/>
      </w:rPr>
    </w:lvl>
    <w:lvl w:ilvl="1" w:tplc="727A368C">
      <w:start w:val="3"/>
      <w:numFmt w:val="bullet"/>
      <w:lvlText w:val="-"/>
      <w:lvlJc w:val="left"/>
      <w:pPr>
        <w:ind w:left="1440" w:hanging="360"/>
      </w:pPr>
      <w:rPr>
        <w:rFonts w:ascii="Calibri" w:eastAsiaTheme="minorHAnsi" w:hAnsi="Calibri" w:cstheme="minorBidi"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549B01DB"/>
    <w:multiLevelType w:val="hybridMultilevel"/>
    <w:tmpl w:val="2D6AB1B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566E0494"/>
    <w:multiLevelType w:val="hybridMultilevel"/>
    <w:tmpl w:val="9EFA5C0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84A572B"/>
    <w:multiLevelType w:val="hybridMultilevel"/>
    <w:tmpl w:val="90629F1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5B9643A0"/>
    <w:multiLevelType w:val="hybridMultilevel"/>
    <w:tmpl w:val="0E1A641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E8B45B1"/>
    <w:multiLevelType w:val="hybridMultilevel"/>
    <w:tmpl w:val="8EF83AD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72DE6D4F"/>
    <w:multiLevelType w:val="hybridMultilevel"/>
    <w:tmpl w:val="8514D7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7AC47D8F"/>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6"/>
  </w:num>
  <w:num w:numId="3">
    <w:abstractNumId w:val="1"/>
  </w:num>
  <w:num w:numId="4">
    <w:abstractNumId w:val="13"/>
  </w:num>
  <w:num w:numId="5">
    <w:abstractNumId w:val="10"/>
  </w:num>
  <w:num w:numId="6">
    <w:abstractNumId w:val="12"/>
  </w:num>
  <w:num w:numId="7">
    <w:abstractNumId w:val="11"/>
  </w:num>
  <w:num w:numId="8">
    <w:abstractNumId w:val="9"/>
  </w:num>
  <w:num w:numId="9">
    <w:abstractNumId w:val="5"/>
  </w:num>
  <w:num w:numId="10">
    <w:abstractNumId w:val="7"/>
  </w:num>
  <w:num w:numId="11">
    <w:abstractNumId w:val="14"/>
  </w:num>
  <w:num w:numId="12">
    <w:abstractNumId w:val="8"/>
  </w:num>
  <w:num w:numId="13">
    <w:abstractNumId w:val="2"/>
  </w:num>
  <w:num w:numId="14">
    <w:abstractNumId w:val="4"/>
  </w:num>
  <w:num w:numId="15">
    <w:abstractNumId w:val="15"/>
  </w:num>
  <w:num w:numId="16">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1D0"/>
    <w:rsid w:val="00036B3F"/>
    <w:rsid w:val="000550ED"/>
    <w:rsid w:val="000B2590"/>
    <w:rsid w:val="00101274"/>
    <w:rsid w:val="00106650"/>
    <w:rsid w:val="00134A99"/>
    <w:rsid w:val="00144395"/>
    <w:rsid w:val="00196EAD"/>
    <w:rsid w:val="00273694"/>
    <w:rsid w:val="00275872"/>
    <w:rsid w:val="00277DE7"/>
    <w:rsid w:val="002C2530"/>
    <w:rsid w:val="002C7413"/>
    <w:rsid w:val="00322E81"/>
    <w:rsid w:val="00325024"/>
    <w:rsid w:val="003F6B60"/>
    <w:rsid w:val="00445233"/>
    <w:rsid w:val="00450F77"/>
    <w:rsid w:val="004861F3"/>
    <w:rsid w:val="004F0A4B"/>
    <w:rsid w:val="004F18D1"/>
    <w:rsid w:val="005006AA"/>
    <w:rsid w:val="00507C55"/>
    <w:rsid w:val="0058318A"/>
    <w:rsid w:val="005B56F1"/>
    <w:rsid w:val="00685747"/>
    <w:rsid w:val="006F17A6"/>
    <w:rsid w:val="0072283B"/>
    <w:rsid w:val="00726A4F"/>
    <w:rsid w:val="00750BFF"/>
    <w:rsid w:val="007F31EB"/>
    <w:rsid w:val="008A5E42"/>
    <w:rsid w:val="008C7760"/>
    <w:rsid w:val="008E3C85"/>
    <w:rsid w:val="00910016"/>
    <w:rsid w:val="009C0420"/>
    <w:rsid w:val="00A17227"/>
    <w:rsid w:val="00AC19A2"/>
    <w:rsid w:val="00AC7E90"/>
    <w:rsid w:val="00AD1B61"/>
    <w:rsid w:val="00B346D2"/>
    <w:rsid w:val="00B61FA1"/>
    <w:rsid w:val="00B83012"/>
    <w:rsid w:val="00BD1D48"/>
    <w:rsid w:val="00C15A73"/>
    <w:rsid w:val="00C20539"/>
    <w:rsid w:val="00C21A87"/>
    <w:rsid w:val="00C24B54"/>
    <w:rsid w:val="00C24F69"/>
    <w:rsid w:val="00C70B87"/>
    <w:rsid w:val="00CA5084"/>
    <w:rsid w:val="00CF7CD8"/>
    <w:rsid w:val="00D040BA"/>
    <w:rsid w:val="00D13155"/>
    <w:rsid w:val="00D95BB4"/>
    <w:rsid w:val="00DB0631"/>
    <w:rsid w:val="00DB4D4A"/>
    <w:rsid w:val="00E06995"/>
    <w:rsid w:val="00E671D0"/>
    <w:rsid w:val="00E72A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D1B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next w:val="Normal"/>
    <w:link w:val="Heading3Char"/>
    <w:uiPriority w:val="9"/>
    <w:semiHidden/>
    <w:unhideWhenUsed/>
    <w:qFormat/>
    <w:rsid w:val="0010665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0665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B61"/>
    <w:pPr>
      <w:ind w:left="720"/>
      <w:contextualSpacing/>
    </w:pPr>
  </w:style>
  <w:style w:type="character" w:customStyle="1" w:styleId="Heading1Char">
    <w:name w:val="Heading 1 Char"/>
    <w:basedOn w:val="DefaultParagraphFont"/>
    <w:link w:val="Heading1"/>
    <w:uiPriority w:val="9"/>
    <w:rsid w:val="00AD1B61"/>
    <w:rPr>
      <w:rFonts w:ascii="Times New Roman" w:eastAsia="Times New Roman" w:hAnsi="Times New Roman" w:cs="Times New Roman"/>
      <w:b/>
      <w:bCs/>
      <w:kern w:val="36"/>
      <w:sz w:val="48"/>
      <w:szCs w:val="48"/>
      <w:lang w:eastAsia="en-AU"/>
    </w:rPr>
  </w:style>
  <w:style w:type="character" w:styleId="Hyperlink">
    <w:name w:val="Hyperlink"/>
    <w:basedOn w:val="DefaultParagraphFont"/>
    <w:uiPriority w:val="99"/>
    <w:unhideWhenUsed/>
    <w:rsid w:val="00AD1B61"/>
    <w:rPr>
      <w:color w:val="0000FF"/>
      <w:u w:val="single"/>
    </w:rPr>
  </w:style>
  <w:style w:type="paragraph" w:styleId="NormalWeb">
    <w:name w:val="Normal (Web)"/>
    <w:basedOn w:val="Normal"/>
    <w:uiPriority w:val="99"/>
    <w:semiHidden/>
    <w:unhideWhenUsed/>
    <w:rsid w:val="00AD1B6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AD1B61"/>
    <w:rPr>
      <w:b/>
      <w:bCs/>
    </w:rPr>
  </w:style>
  <w:style w:type="paragraph" w:styleId="FootnoteText">
    <w:name w:val="footnote text"/>
    <w:basedOn w:val="Normal"/>
    <w:link w:val="FootnoteTextChar"/>
    <w:uiPriority w:val="99"/>
    <w:semiHidden/>
    <w:unhideWhenUsed/>
    <w:rsid w:val="00DB4D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4D4A"/>
    <w:rPr>
      <w:sz w:val="20"/>
      <w:szCs w:val="20"/>
    </w:rPr>
  </w:style>
  <w:style w:type="character" w:styleId="FootnoteReference">
    <w:name w:val="footnote reference"/>
    <w:basedOn w:val="DefaultParagraphFont"/>
    <w:uiPriority w:val="99"/>
    <w:semiHidden/>
    <w:unhideWhenUsed/>
    <w:rsid w:val="00DB4D4A"/>
    <w:rPr>
      <w:vertAlign w:val="superscript"/>
    </w:rPr>
  </w:style>
  <w:style w:type="character" w:customStyle="1" w:styleId="Heading4Char">
    <w:name w:val="Heading 4 Char"/>
    <w:basedOn w:val="DefaultParagraphFont"/>
    <w:link w:val="Heading4"/>
    <w:uiPriority w:val="9"/>
    <w:semiHidden/>
    <w:rsid w:val="00106650"/>
    <w:rPr>
      <w:rFonts w:asciiTheme="majorHAnsi" w:eastAsiaTheme="majorEastAsia" w:hAnsiTheme="majorHAnsi" w:cstheme="majorBidi"/>
      <w:b/>
      <w:bCs/>
      <w:i/>
      <w:iCs/>
      <w:color w:val="4F81BD" w:themeColor="accent1"/>
    </w:rPr>
  </w:style>
  <w:style w:type="character" w:customStyle="1" w:styleId="mw-headline">
    <w:name w:val="mw-headline"/>
    <w:basedOn w:val="DefaultParagraphFont"/>
    <w:rsid w:val="00106650"/>
  </w:style>
  <w:style w:type="character" w:customStyle="1" w:styleId="Heading3Char">
    <w:name w:val="Heading 3 Char"/>
    <w:basedOn w:val="DefaultParagraphFont"/>
    <w:link w:val="Heading3"/>
    <w:uiPriority w:val="9"/>
    <w:semiHidden/>
    <w:rsid w:val="00106650"/>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106650"/>
    <w:rPr>
      <w:i/>
      <w:iCs/>
    </w:rPr>
  </w:style>
  <w:style w:type="character" w:styleId="CommentReference">
    <w:name w:val="annotation reference"/>
    <w:basedOn w:val="DefaultParagraphFont"/>
    <w:uiPriority w:val="99"/>
    <w:semiHidden/>
    <w:unhideWhenUsed/>
    <w:rsid w:val="00D95BB4"/>
    <w:rPr>
      <w:sz w:val="16"/>
      <w:szCs w:val="16"/>
    </w:rPr>
  </w:style>
  <w:style w:type="paragraph" w:styleId="CommentText">
    <w:name w:val="annotation text"/>
    <w:basedOn w:val="Normal"/>
    <w:link w:val="CommentTextChar"/>
    <w:uiPriority w:val="99"/>
    <w:semiHidden/>
    <w:unhideWhenUsed/>
    <w:rsid w:val="00D95BB4"/>
    <w:pPr>
      <w:spacing w:line="240" w:lineRule="auto"/>
    </w:pPr>
    <w:rPr>
      <w:sz w:val="20"/>
      <w:szCs w:val="20"/>
    </w:rPr>
  </w:style>
  <w:style w:type="character" w:customStyle="1" w:styleId="CommentTextChar">
    <w:name w:val="Comment Text Char"/>
    <w:basedOn w:val="DefaultParagraphFont"/>
    <w:link w:val="CommentText"/>
    <w:uiPriority w:val="99"/>
    <w:semiHidden/>
    <w:rsid w:val="00D95BB4"/>
    <w:rPr>
      <w:sz w:val="20"/>
      <w:szCs w:val="20"/>
    </w:rPr>
  </w:style>
  <w:style w:type="paragraph" w:styleId="CommentSubject">
    <w:name w:val="annotation subject"/>
    <w:basedOn w:val="CommentText"/>
    <w:next w:val="CommentText"/>
    <w:link w:val="CommentSubjectChar"/>
    <w:uiPriority w:val="99"/>
    <w:semiHidden/>
    <w:unhideWhenUsed/>
    <w:rsid w:val="00D95BB4"/>
    <w:rPr>
      <w:b/>
      <w:bCs/>
    </w:rPr>
  </w:style>
  <w:style w:type="character" w:customStyle="1" w:styleId="CommentSubjectChar">
    <w:name w:val="Comment Subject Char"/>
    <w:basedOn w:val="CommentTextChar"/>
    <w:link w:val="CommentSubject"/>
    <w:uiPriority w:val="99"/>
    <w:semiHidden/>
    <w:rsid w:val="00D95BB4"/>
    <w:rPr>
      <w:b/>
      <w:bCs/>
      <w:sz w:val="20"/>
      <w:szCs w:val="20"/>
    </w:rPr>
  </w:style>
  <w:style w:type="paragraph" w:styleId="BalloonText">
    <w:name w:val="Balloon Text"/>
    <w:basedOn w:val="Normal"/>
    <w:link w:val="BalloonTextChar"/>
    <w:uiPriority w:val="99"/>
    <w:semiHidden/>
    <w:unhideWhenUsed/>
    <w:rsid w:val="00D95B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BB4"/>
    <w:rPr>
      <w:rFonts w:ascii="Tahoma" w:hAnsi="Tahoma" w:cs="Tahoma"/>
      <w:sz w:val="16"/>
      <w:szCs w:val="16"/>
    </w:rPr>
  </w:style>
  <w:style w:type="paragraph" w:customStyle="1" w:styleId="clause">
    <w:name w:val="clause"/>
    <w:basedOn w:val="Normal"/>
    <w:rsid w:val="004F18D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D1B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next w:val="Normal"/>
    <w:link w:val="Heading3Char"/>
    <w:uiPriority w:val="9"/>
    <w:semiHidden/>
    <w:unhideWhenUsed/>
    <w:qFormat/>
    <w:rsid w:val="0010665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0665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B61"/>
    <w:pPr>
      <w:ind w:left="720"/>
      <w:contextualSpacing/>
    </w:pPr>
  </w:style>
  <w:style w:type="character" w:customStyle="1" w:styleId="Heading1Char">
    <w:name w:val="Heading 1 Char"/>
    <w:basedOn w:val="DefaultParagraphFont"/>
    <w:link w:val="Heading1"/>
    <w:uiPriority w:val="9"/>
    <w:rsid w:val="00AD1B61"/>
    <w:rPr>
      <w:rFonts w:ascii="Times New Roman" w:eastAsia="Times New Roman" w:hAnsi="Times New Roman" w:cs="Times New Roman"/>
      <w:b/>
      <w:bCs/>
      <w:kern w:val="36"/>
      <w:sz w:val="48"/>
      <w:szCs w:val="48"/>
      <w:lang w:eastAsia="en-AU"/>
    </w:rPr>
  </w:style>
  <w:style w:type="character" w:styleId="Hyperlink">
    <w:name w:val="Hyperlink"/>
    <w:basedOn w:val="DefaultParagraphFont"/>
    <w:uiPriority w:val="99"/>
    <w:unhideWhenUsed/>
    <w:rsid w:val="00AD1B61"/>
    <w:rPr>
      <w:color w:val="0000FF"/>
      <w:u w:val="single"/>
    </w:rPr>
  </w:style>
  <w:style w:type="paragraph" w:styleId="NormalWeb">
    <w:name w:val="Normal (Web)"/>
    <w:basedOn w:val="Normal"/>
    <w:uiPriority w:val="99"/>
    <w:semiHidden/>
    <w:unhideWhenUsed/>
    <w:rsid w:val="00AD1B6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AD1B61"/>
    <w:rPr>
      <w:b/>
      <w:bCs/>
    </w:rPr>
  </w:style>
  <w:style w:type="paragraph" w:styleId="FootnoteText">
    <w:name w:val="footnote text"/>
    <w:basedOn w:val="Normal"/>
    <w:link w:val="FootnoteTextChar"/>
    <w:uiPriority w:val="99"/>
    <w:semiHidden/>
    <w:unhideWhenUsed/>
    <w:rsid w:val="00DB4D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4D4A"/>
    <w:rPr>
      <w:sz w:val="20"/>
      <w:szCs w:val="20"/>
    </w:rPr>
  </w:style>
  <w:style w:type="character" w:styleId="FootnoteReference">
    <w:name w:val="footnote reference"/>
    <w:basedOn w:val="DefaultParagraphFont"/>
    <w:uiPriority w:val="99"/>
    <w:semiHidden/>
    <w:unhideWhenUsed/>
    <w:rsid w:val="00DB4D4A"/>
    <w:rPr>
      <w:vertAlign w:val="superscript"/>
    </w:rPr>
  </w:style>
  <w:style w:type="character" w:customStyle="1" w:styleId="Heading4Char">
    <w:name w:val="Heading 4 Char"/>
    <w:basedOn w:val="DefaultParagraphFont"/>
    <w:link w:val="Heading4"/>
    <w:uiPriority w:val="9"/>
    <w:semiHidden/>
    <w:rsid w:val="00106650"/>
    <w:rPr>
      <w:rFonts w:asciiTheme="majorHAnsi" w:eastAsiaTheme="majorEastAsia" w:hAnsiTheme="majorHAnsi" w:cstheme="majorBidi"/>
      <w:b/>
      <w:bCs/>
      <w:i/>
      <w:iCs/>
      <w:color w:val="4F81BD" w:themeColor="accent1"/>
    </w:rPr>
  </w:style>
  <w:style w:type="character" w:customStyle="1" w:styleId="mw-headline">
    <w:name w:val="mw-headline"/>
    <w:basedOn w:val="DefaultParagraphFont"/>
    <w:rsid w:val="00106650"/>
  </w:style>
  <w:style w:type="character" w:customStyle="1" w:styleId="Heading3Char">
    <w:name w:val="Heading 3 Char"/>
    <w:basedOn w:val="DefaultParagraphFont"/>
    <w:link w:val="Heading3"/>
    <w:uiPriority w:val="9"/>
    <w:semiHidden/>
    <w:rsid w:val="00106650"/>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106650"/>
    <w:rPr>
      <w:i/>
      <w:iCs/>
    </w:rPr>
  </w:style>
  <w:style w:type="character" w:styleId="CommentReference">
    <w:name w:val="annotation reference"/>
    <w:basedOn w:val="DefaultParagraphFont"/>
    <w:uiPriority w:val="99"/>
    <w:semiHidden/>
    <w:unhideWhenUsed/>
    <w:rsid w:val="00D95BB4"/>
    <w:rPr>
      <w:sz w:val="16"/>
      <w:szCs w:val="16"/>
    </w:rPr>
  </w:style>
  <w:style w:type="paragraph" w:styleId="CommentText">
    <w:name w:val="annotation text"/>
    <w:basedOn w:val="Normal"/>
    <w:link w:val="CommentTextChar"/>
    <w:uiPriority w:val="99"/>
    <w:semiHidden/>
    <w:unhideWhenUsed/>
    <w:rsid w:val="00D95BB4"/>
    <w:pPr>
      <w:spacing w:line="240" w:lineRule="auto"/>
    </w:pPr>
    <w:rPr>
      <w:sz w:val="20"/>
      <w:szCs w:val="20"/>
    </w:rPr>
  </w:style>
  <w:style w:type="character" w:customStyle="1" w:styleId="CommentTextChar">
    <w:name w:val="Comment Text Char"/>
    <w:basedOn w:val="DefaultParagraphFont"/>
    <w:link w:val="CommentText"/>
    <w:uiPriority w:val="99"/>
    <w:semiHidden/>
    <w:rsid w:val="00D95BB4"/>
    <w:rPr>
      <w:sz w:val="20"/>
      <w:szCs w:val="20"/>
    </w:rPr>
  </w:style>
  <w:style w:type="paragraph" w:styleId="CommentSubject">
    <w:name w:val="annotation subject"/>
    <w:basedOn w:val="CommentText"/>
    <w:next w:val="CommentText"/>
    <w:link w:val="CommentSubjectChar"/>
    <w:uiPriority w:val="99"/>
    <w:semiHidden/>
    <w:unhideWhenUsed/>
    <w:rsid w:val="00D95BB4"/>
    <w:rPr>
      <w:b/>
      <w:bCs/>
    </w:rPr>
  </w:style>
  <w:style w:type="character" w:customStyle="1" w:styleId="CommentSubjectChar">
    <w:name w:val="Comment Subject Char"/>
    <w:basedOn w:val="CommentTextChar"/>
    <w:link w:val="CommentSubject"/>
    <w:uiPriority w:val="99"/>
    <w:semiHidden/>
    <w:rsid w:val="00D95BB4"/>
    <w:rPr>
      <w:b/>
      <w:bCs/>
      <w:sz w:val="20"/>
      <w:szCs w:val="20"/>
    </w:rPr>
  </w:style>
  <w:style w:type="paragraph" w:styleId="BalloonText">
    <w:name w:val="Balloon Text"/>
    <w:basedOn w:val="Normal"/>
    <w:link w:val="BalloonTextChar"/>
    <w:uiPriority w:val="99"/>
    <w:semiHidden/>
    <w:unhideWhenUsed/>
    <w:rsid w:val="00D95B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BB4"/>
    <w:rPr>
      <w:rFonts w:ascii="Tahoma" w:hAnsi="Tahoma" w:cs="Tahoma"/>
      <w:sz w:val="16"/>
      <w:szCs w:val="16"/>
    </w:rPr>
  </w:style>
  <w:style w:type="paragraph" w:customStyle="1" w:styleId="clause">
    <w:name w:val="clause"/>
    <w:basedOn w:val="Normal"/>
    <w:rsid w:val="004F18D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4988">
      <w:bodyDiv w:val="1"/>
      <w:marLeft w:val="0"/>
      <w:marRight w:val="0"/>
      <w:marTop w:val="0"/>
      <w:marBottom w:val="0"/>
      <w:divBdr>
        <w:top w:val="none" w:sz="0" w:space="0" w:color="auto"/>
        <w:left w:val="none" w:sz="0" w:space="0" w:color="auto"/>
        <w:bottom w:val="none" w:sz="0" w:space="0" w:color="auto"/>
        <w:right w:val="none" w:sz="0" w:space="0" w:color="auto"/>
      </w:divBdr>
    </w:div>
    <w:div w:id="26225926">
      <w:bodyDiv w:val="1"/>
      <w:marLeft w:val="0"/>
      <w:marRight w:val="0"/>
      <w:marTop w:val="0"/>
      <w:marBottom w:val="0"/>
      <w:divBdr>
        <w:top w:val="none" w:sz="0" w:space="0" w:color="auto"/>
        <w:left w:val="none" w:sz="0" w:space="0" w:color="auto"/>
        <w:bottom w:val="none" w:sz="0" w:space="0" w:color="auto"/>
        <w:right w:val="none" w:sz="0" w:space="0" w:color="auto"/>
      </w:divBdr>
    </w:div>
    <w:div w:id="246429450">
      <w:bodyDiv w:val="1"/>
      <w:marLeft w:val="0"/>
      <w:marRight w:val="0"/>
      <w:marTop w:val="0"/>
      <w:marBottom w:val="0"/>
      <w:divBdr>
        <w:top w:val="none" w:sz="0" w:space="0" w:color="auto"/>
        <w:left w:val="none" w:sz="0" w:space="0" w:color="auto"/>
        <w:bottom w:val="none" w:sz="0" w:space="0" w:color="auto"/>
        <w:right w:val="none" w:sz="0" w:space="0" w:color="auto"/>
      </w:divBdr>
    </w:div>
    <w:div w:id="397284020">
      <w:bodyDiv w:val="1"/>
      <w:marLeft w:val="0"/>
      <w:marRight w:val="0"/>
      <w:marTop w:val="0"/>
      <w:marBottom w:val="0"/>
      <w:divBdr>
        <w:top w:val="none" w:sz="0" w:space="0" w:color="auto"/>
        <w:left w:val="none" w:sz="0" w:space="0" w:color="auto"/>
        <w:bottom w:val="none" w:sz="0" w:space="0" w:color="auto"/>
        <w:right w:val="none" w:sz="0" w:space="0" w:color="auto"/>
      </w:divBdr>
    </w:div>
    <w:div w:id="430977663">
      <w:bodyDiv w:val="1"/>
      <w:marLeft w:val="0"/>
      <w:marRight w:val="0"/>
      <w:marTop w:val="0"/>
      <w:marBottom w:val="0"/>
      <w:divBdr>
        <w:top w:val="none" w:sz="0" w:space="0" w:color="auto"/>
        <w:left w:val="none" w:sz="0" w:space="0" w:color="auto"/>
        <w:bottom w:val="none" w:sz="0" w:space="0" w:color="auto"/>
        <w:right w:val="none" w:sz="0" w:space="0" w:color="auto"/>
      </w:divBdr>
    </w:div>
    <w:div w:id="461072352">
      <w:bodyDiv w:val="1"/>
      <w:marLeft w:val="0"/>
      <w:marRight w:val="0"/>
      <w:marTop w:val="0"/>
      <w:marBottom w:val="0"/>
      <w:divBdr>
        <w:top w:val="none" w:sz="0" w:space="0" w:color="auto"/>
        <w:left w:val="none" w:sz="0" w:space="0" w:color="auto"/>
        <w:bottom w:val="none" w:sz="0" w:space="0" w:color="auto"/>
        <w:right w:val="none" w:sz="0" w:space="0" w:color="auto"/>
      </w:divBdr>
      <w:divsChild>
        <w:div w:id="2111604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226971">
              <w:blockQuote w:val="1"/>
              <w:marLeft w:val="720"/>
              <w:marRight w:val="720"/>
              <w:marTop w:val="100"/>
              <w:marBottom w:val="100"/>
              <w:divBdr>
                <w:top w:val="none" w:sz="0" w:space="0" w:color="auto"/>
                <w:left w:val="none" w:sz="0" w:space="0" w:color="auto"/>
                <w:bottom w:val="none" w:sz="0" w:space="0" w:color="auto"/>
                <w:right w:val="none" w:sz="0" w:space="0" w:color="auto"/>
              </w:divBdr>
            </w:div>
            <w:div w:id="478306688">
              <w:blockQuote w:val="1"/>
              <w:marLeft w:val="720"/>
              <w:marRight w:val="720"/>
              <w:marTop w:val="100"/>
              <w:marBottom w:val="100"/>
              <w:divBdr>
                <w:top w:val="none" w:sz="0" w:space="0" w:color="auto"/>
                <w:left w:val="none" w:sz="0" w:space="0" w:color="auto"/>
                <w:bottom w:val="none" w:sz="0" w:space="0" w:color="auto"/>
                <w:right w:val="none" w:sz="0" w:space="0" w:color="auto"/>
              </w:divBdr>
            </w:div>
            <w:div w:id="96366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64675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1601770">
      <w:bodyDiv w:val="1"/>
      <w:marLeft w:val="0"/>
      <w:marRight w:val="0"/>
      <w:marTop w:val="0"/>
      <w:marBottom w:val="0"/>
      <w:divBdr>
        <w:top w:val="none" w:sz="0" w:space="0" w:color="auto"/>
        <w:left w:val="none" w:sz="0" w:space="0" w:color="auto"/>
        <w:bottom w:val="none" w:sz="0" w:space="0" w:color="auto"/>
        <w:right w:val="none" w:sz="0" w:space="0" w:color="auto"/>
      </w:divBdr>
      <w:divsChild>
        <w:div w:id="6451593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23012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72391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8146226">
      <w:bodyDiv w:val="1"/>
      <w:marLeft w:val="0"/>
      <w:marRight w:val="0"/>
      <w:marTop w:val="0"/>
      <w:marBottom w:val="0"/>
      <w:divBdr>
        <w:top w:val="none" w:sz="0" w:space="0" w:color="auto"/>
        <w:left w:val="none" w:sz="0" w:space="0" w:color="auto"/>
        <w:bottom w:val="none" w:sz="0" w:space="0" w:color="auto"/>
        <w:right w:val="none" w:sz="0" w:space="0" w:color="auto"/>
      </w:divBdr>
      <w:divsChild>
        <w:div w:id="810907195">
          <w:marLeft w:val="0"/>
          <w:marRight w:val="0"/>
          <w:marTop w:val="0"/>
          <w:marBottom w:val="0"/>
          <w:divBdr>
            <w:top w:val="none" w:sz="0" w:space="0" w:color="auto"/>
            <w:left w:val="none" w:sz="0" w:space="0" w:color="auto"/>
            <w:bottom w:val="none" w:sz="0" w:space="0" w:color="auto"/>
            <w:right w:val="none" w:sz="0" w:space="0" w:color="auto"/>
          </w:divBdr>
        </w:div>
        <w:div w:id="1569684059">
          <w:marLeft w:val="0"/>
          <w:marRight w:val="0"/>
          <w:marTop w:val="0"/>
          <w:marBottom w:val="0"/>
          <w:divBdr>
            <w:top w:val="none" w:sz="0" w:space="0" w:color="auto"/>
            <w:left w:val="none" w:sz="0" w:space="0" w:color="auto"/>
            <w:bottom w:val="none" w:sz="0" w:space="0" w:color="auto"/>
            <w:right w:val="none" w:sz="0" w:space="0" w:color="auto"/>
          </w:divBdr>
        </w:div>
        <w:div w:id="763113663">
          <w:marLeft w:val="0"/>
          <w:marRight w:val="0"/>
          <w:marTop w:val="0"/>
          <w:marBottom w:val="0"/>
          <w:divBdr>
            <w:top w:val="none" w:sz="0" w:space="0" w:color="auto"/>
            <w:left w:val="none" w:sz="0" w:space="0" w:color="auto"/>
            <w:bottom w:val="none" w:sz="0" w:space="0" w:color="auto"/>
            <w:right w:val="none" w:sz="0" w:space="0" w:color="auto"/>
          </w:divBdr>
        </w:div>
        <w:div w:id="692222372">
          <w:marLeft w:val="0"/>
          <w:marRight w:val="0"/>
          <w:marTop w:val="0"/>
          <w:marBottom w:val="0"/>
          <w:divBdr>
            <w:top w:val="none" w:sz="0" w:space="0" w:color="auto"/>
            <w:left w:val="none" w:sz="0" w:space="0" w:color="auto"/>
            <w:bottom w:val="none" w:sz="0" w:space="0" w:color="auto"/>
            <w:right w:val="none" w:sz="0" w:space="0" w:color="auto"/>
          </w:divBdr>
        </w:div>
        <w:div w:id="768965405">
          <w:marLeft w:val="0"/>
          <w:marRight w:val="0"/>
          <w:marTop w:val="0"/>
          <w:marBottom w:val="0"/>
          <w:divBdr>
            <w:top w:val="none" w:sz="0" w:space="0" w:color="auto"/>
            <w:left w:val="none" w:sz="0" w:space="0" w:color="auto"/>
            <w:bottom w:val="none" w:sz="0" w:space="0" w:color="auto"/>
            <w:right w:val="none" w:sz="0" w:space="0" w:color="auto"/>
          </w:divBdr>
        </w:div>
        <w:div w:id="704208875">
          <w:marLeft w:val="0"/>
          <w:marRight w:val="0"/>
          <w:marTop w:val="0"/>
          <w:marBottom w:val="0"/>
          <w:divBdr>
            <w:top w:val="none" w:sz="0" w:space="0" w:color="auto"/>
            <w:left w:val="none" w:sz="0" w:space="0" w:color="auto"/>
            <w:bottom w:val="none" w:sz="0" w:space="0" w:color="auto"/>
            <w:right w:val="none" w:sz="0" w:space="0" w:color="auto"/>
          </w:divBdr>
        </w:div>
        <w:div w:id="1392843660">
          <w:marLeft w:val="0"/>
          <w:marRight w:val="0"/>
          <w:marTop w:val="0"/>
          <w:marBottom w:val="0"/>
          <w:divBdr>
            <w:top w:val="none" w:sz="0" w:space="0" w:color="auto"/>
            <w:left w:val="none" w:sz="0" w:space="0" w:color="auto"/>
            <w:bottom w:val="none" w:sz="0" w:space="0" w:color="auto"/>
            <w:right w:val="none" w:sz="0" w:space="0" w:color="auto"/>
          </w:divBdr>
        </w:div>
        <w:div w:id="1415978570">
          <w:marLeft w:val="0"/>
          <w:marRight w:val="0"/>
          <w:marTop w:val="0"/>
          <w:marBottom w:val="0"/>
          <w:divBdr>
            <w:top w:val="none" w:sz="0" w:space="0" w:color="auto"/>
            <w:left w:val="none" w:sz="0" w:space="0" w:color="auto"/>
            <w:bottom w:val="none" w:sz="0" w:space="0" w:color="auto"/>
            <w:right w:val="none" w:sz="0" w:space="0" w:color="auto"/>
          </w:divBdr>
        </w:div>
        <w:div w:id="2119258263">
          <w:marLeft w:val="0"/>
          <w:marRight w:val="0"/>
          <w:marTop w:val="0"/>
          <w:marBottom w:val="0"/>
          <w:divBdr>
            <w:top w:val="none" w:sz="0" w:space="0" w:color="auto"/>
            <w:left w:val="none" w:sz="0" w:space="0" w:color="auto"/>
            <w:bottom w:val="none" w:sz="0" w:space="0" w:color="auto"/>
            <w:right w:val="none" w:sz="0" w:space="0" w:color="auto"/>
          </w:divBdr>
        </w:div>
        <w:div w:id="1524901061">
          <w:marLeft w:val="0"/>
          <w:marRight w:val="0"/>
          <w:marTop w:val="0"/>
          <w:marBottom w:val="0"/>
          <w:divBdr>
            <w:top w:val="none" w:sz="0" w:space="0" w:color="auto"/>
            <w:left w:val="none" w:sz="0" w:space="0" w:color="auto"/>
            <w:bottom w:val="none" w:sz="0" w:space="0" w:color="auto"/>
            <w:right w:val="none" w:sz="0" w:space="0" w:color="auto"/>
          </w:divBdr>
        </w:div>
        <w:div w:id="512842756">
          <w:marLeft w:val="0"/>
          <w:marRight w:val="0"/>
          <w:marTop w:val="0"/>
          <w:marBottom w:val="0"/>
          <w:divBdr>
            <w:top w:val="none" w:sz="0" w:space="0" w:color="auto"/>
            <w:left w:val="none" w:sz="0" w:space="0" w:color="auto"/>
            <w:bottom w:val="none" w:sz="0" w:space="0" w:color="auto"/>
            <w:right w:val="none" w:sz="0" w:space="0" w:color="auto"/>
          </w:divBdr>
        </w:div>
        <w:div w:id="483355639">
          <w:marLeft w:val="0"/>
          <w:marRight w:val="0"/>
          <w:marTop w:val="0"/>
          <w:marBottom w:val="0"/>
          <w:divBdr>
            <w:top w:val="none" w:sz="0" w:space="0" w:color="auto"/>
            <w:left w:val="none" w:sz="0" w:space="0" w:color="auto"/>
            <w:bottom w:val="none" w:sz="0" w:space="0" w:color="auto"/>
            <w:right w:val="none" w:sz="0" w:space="0" w:color="auto"/>
          </w:divBdr>
        </w:div>
        <w:div w:id="109207714">
          <w:marLeft w:val="0"/>
          <w:marRight w:val="0"/>
          <w:marTop w:val="0"/>
          <w:marBottom w:val="0"/>
          <w:divBdr>
            <w:top w:val="none" w:sz="0" w:space="0" w:color="auto"/>
            <w:left w:val="none" w:sz="0" w:space="0" w:color="auto"/>
            <w:bottom w:val="none" w:sz="0" w:space="0" w:color="auto"/>
            <w:right w:val="none" w:sz="0" w:space="0" w:color="auto"/>
          </w:divBdr>
        </w:div>
        <w:div w:id="1404140210">
          <w:marLeft w:val="0"/>
          <w:marRight w:val="0"/>
          <w:marTop w:val="0"/>
          <w:marBottom w:val="0"/>
          <w:divBdr>
            <w:top w:val="none" w:sz="0" w:space="0" w:color="auto"/>
            <w:left w:val="none" w:sz="0" w:space="0" w:color="auto"/>
            <w:bottom w:val="none" w:sz="0" w:space="0" w:color="auto"/>
            <w:right w:val="none" w:sz="0" w:space="0" w:color="auto"/>
          </w:divBdr>
        </w:div>
      </w:divsChild>
    </w:div>
    <w:div w:id="661936719">
      <w:bodyDiv w:val="1"/>
      <w:marLeft w:val="0"/>
      <w:marRight w:val="0"/>
      <w:marTop w:val="0"/>
      <w:marBottom w:val="0"/>
      <w:divBdr>
        <w:top w:val="none" w:sz="0" w:space="0" w:color="auto"/>
        <w:left w:val="none" w:sz="0" w:space="0" w:color="auto"/>
        <w:bottom w:val="none" w:sz="0" w:space="0" w:color="auto"/>
        <w:right w:val="none" w:sz="0" w:space="0" w:color="auto"/>
      </w:divBdr>
      <w:divsChild>
        <w:div w:id="923077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9559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04811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9329966">
              <w:blockQuote w:val="1"/>
              <w:marLeft w:val="720"/>
              <w:marRight w:val="720"/>
              <w:marTop w:val="100"/>
              <w:marBottom w:val="100"/>
              <w:divBdr>
                <w:top w:val="none" w:sz="0" w:space="0" w:color="auto"/>
                <w:left w:val="none" w:sz="0" w:space="0" w:color="auto"/>
                <w:bottom w:val="none" w:sz="0" w:space="0" w:color="auto"/>
                <w:right w:val="none" w:sz="0" w:space="0" w:color="auto"/>
              </w:divBdr>
            </w:div>
            <w:div w:id="551119761">
              <w:blockQuote w:val="1"/>
              <w:marLeft w:val="720"/>
              <w:marRight w:val="720"/>
              <w:marTop w:val="100"/>
              <w:marBottom w:val="100"/>
              <w:divBdr>
                <w:top w:val="none" w:sz="0" w:space="0" w:color="auto"/>
                <w:left w:val="none" w:sz="0" w:space="0" w:color="auto"/>
                <w:bottom w:val="none" w:sz="0" w:space="0" w:color="auto"/>
                <w:right w:val="none" w:sz="0" w:space="0" w:color="auto"/>
              </w:divBdr>
            </w:div>
            <w:div w:id="10501815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65027414">
              <w:blockQuote w:val="1"/>
              <w:marLeft w:val="720"/>
              <w:marRight w:val="720"/>
              <w:marTop w:val="100"/>
              <w:marBottom w:val="100"/>
              <w:divBdr>
                <w:top w:val="none" w:sz="0" w:space="0" w:color="auto"/>
                <w:left w:val="none" w:sz="0" w:space="0" w:color="auto"/>
                <w:bottom w:val="none" w:sz="0" w:space="0" w:color="auto"/>
                <w:right w:val="none" w:sz="0" w:space="0" w:color="auto"/>
              </w:divBdr>
            </w:div>
            <w:div w:id="1823241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3644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1460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4198376">
                  <w:blockQuote w:val="1"/>
                  <w:marLeft w:val="720"/>
                  <w:marRight w:val="720"/>
                  <w:marTop w:val="100"/>
                  <w:marBottom w:val="100"/>
                  <w:divBdr>
                    <w:top w:val="none" w:sz="0" w:space="0" w:color="auto"/>
                    <w:left w:val="none" w:sz="0" w:space="0" w:color="auto"/>
                    <w:bottom w:val="none" w:sz="0" w:space="0" w:color="auto"/>
                    <w:right w:val="none" w:sz="0" w:space="0" w:color="auto"/>
                  </w:divBdr>
                </w:div>
                <w:div w:id="713195083">
                  <w:blockQuote w:val="1"/>
                  <w:marLeft w:val="720"/>
                  <w:marRight w:val="720"/>
                  <w:marTop w:val="100"/>
                  <w:marBottom w:val="100"/>
                  <w:divBdr>
                    <w:top w:val="none" w:sz="0" w:space="0" w:color="auto"/>
                    <w:left w:val="none" w:sz="0" w:space="0" w:color="auto"/>
                    <w:bottom w:val="none" w:sz="0" w:space="0" w:color="auto"/>
                    <w:right w:val="none" w:sz="0" w:space="0" w:color="auto"/>
                  </w:divBdr>
                </w:div>
                <w:div w:id="873732852">
                  <w:blockQuote w:val="1"/>
                  <w:marLeft w:val="720"/>
                  <w:marRight w:val="720"/>
                  <w:marTop w:val="100"/>
                  <w:marBottom w:val="100"/>
                  <w:divBdr>
                    <w:top w:val="none" w:sz="0" w:space="0" w:color="auto"/>
                    <w:left w:val="none" w:sz="0" w:space="0" w:color="auto"/>
                    <w:bottom w:val="none" w:sz="0" w:space="0" w:color="auto"/>
                    <w:right w:val="none" w:sz="0" w:space="0" w:color="auto"/>
                  </w:divBdr>
                </w:div>
                <w:div w:id="47387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523401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1359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02734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416813">
              <w:blockQuote w:val="1"/>
              <w:marLeft w:val="720"/>
              <w:marRight w:val="720"/>
              <w:marTop w:val="100"/>
              <w:marBottom w:val="100"/>
              <w:divBdr>
                <w:top w:val="none" w:sz="0" w:space="0" w:color="auto"/>
                <w:left w:val="none" w:sz="0" w:space="0" w:color="auto"/>
                <w:bottom w:val="none" w:sz="0" w:space="0" w:color="auto"/>
                <w:right w:val="none" w:sz="0" w:space="0" w:color="auto"/>
              </w:divBdr>
            </w:div>
            <w:div w:id="9113569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82269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80731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562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2101173343">
                  <w:blockQuote w:val="1"/>
                  <w:marLeft w:val="720"/>
                  <w:marRight w:val="720"/>
                  <w:marTop w:val="100"/>
                  <w:marBottom w:val="100"/>
                  <w:divBdr>
                    <w:top w:val="none" w:sz="0" w:space="0" w:color="auto"/>
                    <w:left w:val="none" w:sz="0" w:space="0" w:color="auto"/>
                    <w:bottom w:val="none" w:sz="0" w:space="0" w:color="auto"/>
                    <w:right w:val="none" w:sz="0" w:space="0" w:color="auto"/>
                  </w:divBdr>
                </w:div>
                <w:div w:id="9624938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44384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8069">
                  <w:blockQuote w:val="1"/>
                  <w:marLeft w:val="720"/>
                  <w:marRight w:val="720"/>
                  <w:marTop w:val="100"/>
                  <w:marBottom w:val="100"/>
                  <w:divBdr>
                    <w:top w:val="none" w:sz="0" w:space="0" w:color="auto"/>
                    <w:left w:val="none" w:sz="0" w:space="0" w:color="auto"/>
                    <w:bottom w:val="none" w:sz="0" w:space="0" w:color="auto"/>
                    <w:right w:val="none" w:sz="0" w:space="0" w:color="auto"/>
                  </w:divBdr>
                </w:div>
                <w:div w:id="8828623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0342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6174064">
      <w:bodyDiv w:val="1"/>
      <w:marLeft w:val="0"/>
      <w:marRight w:val="0"/>
      <w:marTop w:val="0"/>
      <w:marBottom w:val="0"/>
      <w:divBdr>
        <w:top w:val="none" w:sz="0" w:space="0" w:color="auto"/>
        <w:left w:val="none" w:sz="0" w:space="0" w:color="auto"/>
        <w:bottom w:val="none" w:sz="0" w:space="0" w:color="auto"/>
        <w:right w:val="none" w:sz="0" w:space="0" w:color="auto"/>
      </w:divBdr>
      <w:divsChild>
        <w:div w:id="4735288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231917">
              <w:blockQuote w:val="1"/>
              <w:marLeft w:val="720"/>
              <w:marRight w:val="720"/>
              <w:marTop w:val="100"/>
              <w:marBottom w:val="100"/>
              <w:divBdr>
                <w:top w:val="none" w:sz="0" w:space="0" w:color="auto"/>
                <w:left w:val="none" w:sz="0" w:space="0" w:color="auto"/>
                <w:bottom w:val="none" w:sz="0" w:space="0" w:color="auto"/>
                <w:right w:val="none" w:sz="0" w:space="0" w:color="auto"/>
              </w:divBdr>
            </w:div>
            <w:div w:id="144487927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55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6438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3337717">
      <w:bodyDiv w:val="1"/>
      <w:marLeft w:val="0"/>
      <w:marRight w:val="0"/>
      <w:marTop w:val="0"/>
      <w:marBottom w:val="0"/>
      <w:divBdr>
        <w:top w:val="none" w:sz="0" w:space="0" w:color="auto"/>
        <w:left w:val="none" w:sz="0" w:space="0" w:color="auto"/>
        <w:bottom w:val="none" w:sz="0" w:space="0" w:color="auto"/>
        <w:right w:val="none" w:sz="0" w:space="0" w:color="auto"/>
      </w:divBdr>
    </w:div>
    <w:div w:id="886986708">
      <w:bodyDiv w:val="1"/>
      <w:marLeft w:val="0"/>
      <w:marRight w:val="0"/>
      <w:marTop w:val="0"/>
      <w:marBottom w:val="0"/>
      <w:divBdr>
        <w:top w:val="none" w:sz="0" w:space="0" w:color="auto"/>
        <w:left w:val="none" w:sz="0" w:space="0" w:color="auto"/>
        <w:bottom w:val="none" w:sz="0" w:space="0" w:color="auto"/>
        <w:right w:val="none" w:sz="0" w:space="0" w:color="auto"/>
      </w:divBdr>
    </w:div>
    <w:div w:id="955066788">
      <w:bodyDiv w:val="1"/>
      <w:marLeft w:val="0"/>
      <w:marRight w:val="0"/>
      <w:marTop w:val="0"/>
      <w:marBottom w:val="0"/>
      <w:divBdr>
        <w:top w:val="none" w:sz="0" w:space="0" w:color="auto"/>
        <w:left w:val="none" w:sz="0" w:space="0" w:color="auto"/>
        <w:bottom w:val="none" w:sz="0" w:space="0" w:color="auto"/>
        <w:right w:val="none" w:sz="0" w:space="0" w:color="auto"/>
      </w:divBdr>
    </w:div>
    <w:div w:id="1017192849">
      <w:bodyDiv w:val="1"/>
      <w:marLeft w:val="0"/>
      <w:marRight w:val="0"/>
      <w:marTop w:val="0"/>
      <w:marBottom w:val="0"/>
      <w:divBdr>
        <w:top w:val="none" w:sz="0" w:space="0" w:color="auto"/>
        <w:left w:val="none" w:sz="0" w:space="0" w:color="auto"/>
        <w:bottom w:val="none" w:sz="0" w:space="0" w:color="auto"/>
        <w:right w:val="none" w:sz="0" w:space="0" w:color="auto"/>
      </w:divBdr>
    </w:div>
    <w:div w:id="1151479923">
      <w:bodyDiv w:val="1"/>
      <w:marLeft w:val="0"/>
      <w:marRight w:val="0"/>
      <w:marTop w:val="0"/>
      <w:marBottom w:val="0"/>
      <w:divBdr>
        <w:top w:val="none" w:sz="0" w:space="0" w:color="auto"/>
        <w:left w:val="none" w:sz="0" w:space="0" w:color="auto"/>
        <w:bottom w:val="none" w:sz="0" w:space="0" w:color="auto"/>
        <w:right w:val="none" w:sz="0" w:space="0" w:color="auto"/>
      </w:divBdr>
    </w:div>
    <w:div w:id="1490514306">
      <w:bodyDiv w:val="1"/>
      <w:marLeft w:val="0"/>
      <w:marRight w:val="0"/>
      <w:marTop w:val="0"/>
      <w:marBottom w:val="0"/>
      <w:divBdr>
        <w:top w:val="none" w:sz="0" w:space="0" w:color="auto"/>
        <w:left w:val="none" w:sz="0" w:space="0" w:color="auto"/>
        <w:bottom w:val="none" w:sz="0" w:space="0" w:color="auto"/>
        <w:right w:val="none" w:sz="0" w:space="0" w:color="auto"/>
      </w:divBdr>
      <w:divsChild>
        <w:div w:id="418792593">
          <w:blockQuote w:val="1"/>
          <w:marLeft w:val="720"/>
          <w:marRight w:val="720"/>
          <w:marTop w:val="100"/>
          <w:marBottom w:val="100"/>
          <w:divBdr>
            <w:top w:val="none" w:sz="0" w:space="0" w:color="auto"/>
            <w:left w:val="none" w:sz="0" w:space="0" w:color="auto"/>
            <w:bottom w:val="none" w:sz="0" w:space="0" w:color="auto"/>
            <w:right w:val="none" w:sz="0" w:space="0" w:color="auto"/>
          </w:divBdr>
        </w:div>
        <w:div w:id="34139512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899013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2989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99822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60197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7179181">
      <w:bodyDiv w:val="1"/>
      <w:marLeft w:val="0"/>
      <w:marRight w:val="0"/>
      <w:marTop w:val="0"/>
      <w:marBottom w:val="0"/>
      <w:divBdr>
        <w:top w:val="none" w:sz="0" w:space="0" w:color="auto"/>
        <w:left w:val="none" w:sz="0" w:space="0" w:color="auto"/>
        <w:bottom w:val="none" w:sz="0" w:space="0" w:color="auto"/>
        <w:right w:val="none" w:sz="0" w:space="0" w:color="auto"/>
      </w:divBdr>
    </w:div>
    <w:div w:id="1850175666">
      <w:bodyDiv w:val="1"/>
      <w:marLeft w:val="0"/>
      <w:marRight w:val="0"/>
      <w:marTop w:val="0"/>
      <w:marBottom w:val="0"/>
      <w:divBdr>
        <w:top w:val="none" w:sz="0" w:space="0" w:color="auto"/>
        <w:left w:val="none" w:sz="0" w:space="0" w:color="auto"/>
        <w:bottom w:val="none" w:sz="0" w:space="0" w:color="auto"/>
        <w:right w:val="none" w:sz="0" w:space="0" w:color="auto"/>
      </w:divBdr>
      <w:divsChild>
        <w:div w:id="1391614152">
          <w:marLeft w:val="0"/>
          <w:marRight w:val="0"/>
          <w:marTop w:val="0"/>
          <w:marBottom w:val="0"/>
          <w:divBdr>
            <w:top w:val="none" w:sz="0" w:space="0" w:color="auto"/>
            <w:left w:val="none" w:sz="0" w:space="0" w:color="auto"/>
            <w:bottom w:val="none" w:sz="0" w:space="0" w:color="auto"/>
            <w:right w:val="none" w:sz="0" w:space="0" w:color="auto"/>
          </w:divBdr>
        </w:div>
        <w:div w:id="1648431552">
          <w:marLeft w:val="0"/>
          <w:marRight w:val="0"/>
          <w:marTop w:val="0"/>
          <w:marBottom w:val="0"/>
          <w:divBdr>
            <w:top w:val="none" w:sz="0" w:space="0" w:color="auto"/>
            <w:left w:val="none" w:sz="0" w:space="0" w:color="auto"/>
            <w:bottom w:val="none" w:sz="0" w:space="0" w:color="auto"/>
            <w:right w:val="none" w:sz="0" w:space="0" w:color="auto"/>
          </w:divBdr>
          <w:divsChild>
            <w:div w:id="684793357">
              <w:marLeft w:val="0"/>
              <w:marRight w:val="0"/>
              <w:marTop w:val="0"/>
              <w:marBottom w:val="0"/>
              <w:divBdr>
                <w:top w:val="none" w:sz="0" w:space="0" w:color="auto"/>
                <w:left w:val="none" w:sz="0" w:space="0" w:color="auto"/>
                <w:bottom w:val="none" w:sz="0" w:space="0" w:color="auto"/>
                <w:right w:val="none" w:sz="0" w:space="0" w:color="auto"/>
              </w:divBdr>
              <w:divsChild>
                <w:div w:id="13156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17165">
      <w:bodyDiv w:val="1"/>
      <w:marLeft w:val="0"/>
      <w:marRight w:val="0"/>
      <w:marTop w:val="0"/>
      <w:marBottom w:val="0"/>
      <w:divBdr>
        <w:top w:val="none" w:sz="0" w:space="0" w:color="auto"/>
        <w:left w:val="none" w:sz="0" w:space="0" w:color="auto"/>
        <w:bottom w:val="none" w:sz="0" w:space="0" w:color="auto"/>
        <w:right w:val="none" w:sz="0" w:space="0" w:color="auto"/>
      </w:divBdr>
      <w:divsChild>
        <w:div w:id="102189025">
          <w:blockQuote w:val="1"/>
          <w:marLeft w:val="720"/>
          <w:marRight w:val="720"/>
          <w:marTop w:val="100"/>
          <w:marBottom w:val="100"/>
          <w:divBdr>
            <w:top w:val="none" w:sz="0" w:space="0" w:color="auto"/>
            <w:left w:val="none" w:sz="0" w:space="0" w:color="auto"/>
            <w:bottom w:val="none" w:sz="0" w:space="0" w:color="auto"/>
            <w:right w:val="none" w:sz="0" w:space="0" w:color="auto"/>
          </w:divBdr>
        </w:div>
        <w:div w:id="647365808">
          <w:blockQuote w:val="1"/>
          <w:marLeft w:val="720"/>
          <w:marRight w:val="720"/>
          <w:marTop w:val="100"/>
          <w:marBottom w:val="100"/>
          <w:divBdr>
            <w:top w:val="none" w:sz="0" w:space="0" w:color="auto"/>
            <w:left w:val="none" w:sz="0" w:space="0" w:color="auto"/>
            <w:bottom w:val="none" w:sz="0" w:space="0" w:color="auto"/>
            <w:right w:val="none" w:sz="0" w:space="0" w:color="auto"/>
          </w:divBdr>
        </w:div>
        <w:div w:id="1575814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7953214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0222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6790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540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7C94A-F48A-4D71-83E9-11305ED51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2747</Words>
  <Characters>15658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Tarrant</dc:creator>
  <cp:lastModifiedBy>Helen T Wang</cp:lastModifiedBy>
  <cp:revision>2</cp:revision>
  <dcterms:created xsi:type="dcterms:W3CDTF">2016-08-24T00:38:00Z</dcterms:created>
  <dcterms:modified xsi:type="dcterms:W3CDTF">2016-08-24T00:38:00Z</dcterms:modified>
</cp:coreProperties>
</file>