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1DC" w:rsidRDefault="006341DC" w:rsidP="00152F9B">
      <w:pPr>
        <w:rPr>
          <w:rFonts w:ascii="Arial" w:hAnsi="Arial" w:cs="Arial"/>
          <w:b/>
          <w:sz w:val="20"/>
          <w:szCs w:val="20"/>
        </w:rPr>
      </w:pPr>
      <w:bookmarkStart w:id="0" w:name="_GoBack"/>
      <w:bookmarkEnd w:id="0"/>
      <w:r>
        <w:rPr>
          <w:rFonts w:ascii="Arial" w:hAnsi="Arial" w:cs="Arial"/>
          <w:b/>
          <w:sz w:val="20"/>
          <w:szCs w:val="20"/>
        </w:rPr>
        <w:t xml:space="preserve">Lease Terminations – Other States and Territories </w:t>
      </w:r>
    </w:p>
    <w:p w:rsidR="006341DC" w:rsidRDefault="006341DC" w:rsidP="00152F9B">
      <w:pPr>
        <w:rPr>
          <w:rFonts w:ascii="Arial" w:hAnsi="Arial" w:cs="Arial"/>
          <w:sz w:val="20"/>
          <w:szCs w:val="20"/>
        </w:rPr>
      </w:pPr>
    </w:p>
    <w:p w:rsidR="006341DC" w:rsidRDefault="006341DC" w:rsidP="00152F9B">
      <w:pPr>
        <w:rPr>
          <w:rFonts w:ascii="Arial" w:hAnsi="Arial" w:cs="Arial"/>
          <w:sz w:val="20"/>
          <w:szCs w:val="20"/>
        </w:rPr>
      </w:pPr>
      <w:r>
        <w:rPr>
          <w:rFonts w:ascii="Arial" w:hAnsi="Arial" w:cs="Arial"/>
          <w:sz w:val="20"/>
          <w:szCs w:val="20"/>
        </w:rPr>
        <w:t>Commercial leases in Australia are governed at the State and Territory level. While many of the common law principles around as the obligations of tenants and landlords are the same across all</w:t>
      </w:r>
      <w:r w:rsidR="00174A3C">
        <w:rPr>
          <w:rFonts w:ascii="Arial" w:hAnsi="Arial" w:cs="Arial"/>
          <w:sz w:val="20"/>
          <w:szCs w:val="20"/>
        </w:rPr>
        <w:t xml:space="preserve"> jurisdictions, legislation, particular in relation to retail leases, </w:t>
      </w:r>
      <w:r>
        <w:rPr>
          <w:rFonts w:ascii="Arial" w:hAnsi="Arial" w:cs="Arial"/>
          <w:sz w:val="20"/>
          <w:szCs w:val="20"/>
        </w:rPr>
        <w:t xml:space="preserve">differs in each State and Territory. </w:t>
      </w:r>
    </w:p>
    <w:p w:rsidR="006341DC" w:rsidRDefault="006341DC" w:rsidP="00152F9B">
      <w:pPr>
        <w:rPr>
          <w:rFonts w:ascii="Arial" w:hAnsi="Arial" w:cs="Arial"/>
          <w:sz w:val="20"/>
          <w:szCs w:val="20"/>
        </w:rPr>
      </w:pPr>
    </w:p>
    <w:p w:rsidR="006341DC" w:rsidRDefault="006341DC" w:rsidP="00152F9B">
      <w:pPr>
        <w:rPr>
          <w:rFonts w:ascii="Arial" w:hAnsi="Arial" w:cs="Arial"/>
          <w:sz w:val="20"/>
          <w:szCs w:val="20"/>
        </w:rPr>
      </w:pPr>
      <w:r>
        <w:rPr>
          <w:rFonts w:ascii="Arial" w:hAnsi="Arial" w:cs="Arial"/>
          <w:sz w:val="20"/>
          <w:szCs w:val="20"/>
        </w:rPr>
        <w:t>The following provides a brief summary of the legislative requiremen</w:t>
      </w:r>
      <w:r w:rsidR="00174A3C">
        <w:rPr>
          <w:rFonts w:ascii="Arial" w:hAnsi="Arial" w:cs="Arial"/>
          <w:sz w:val="20"/>
          <w:szCs w:val="20"/>
        </w:rPr>
        <w:t xml:space="preserve">ts for lease termination in each State and Territory, and highlights the differences and procedures in each jurisdiction. </w:t>
      </w:r>
      <w:r w:rsidR="00307DAA">
        <w:rPr>
          <w:rFonts w:ascii="Arial" w:hAnsi="Arial" w:cs="Arial"/>
          <w:sz w:val="20"/>
          <w:szCs w:val="20"/>
        </w:rPr>
        <w:t xml:space="preserve">The information should be read in conjunction with the common law matters and principles covered in the Section relating to New South </w:t>
      </w:r>
      <w:r w:rsidR="004F131A">
        <w:rPr>
          <w:rFonts w:ascii="Arial" w:hAnsi="Arial" w:cs="Arial"/>
          <w:sz w:val="20"/>
          <w:szCs w:val="20"/>
        </w:rPr>
        <w:t>Wales.</w:t>
      </w:r>
    </w:p>
    <w:p w:rsidR="006341DC" w:rsidRPr="006341DC" w:rsidRDefault="006341DC" w:rsidP="00152F9B">
      <w:pPr>
        <w:rPr>
          <w:rFonts w:ascii="Arial" w:hAnsi="Arial" w:cs="Arial"/>
          <w:sz w:val="20"/>
          <w:szCs w:val="20"/>
        </w:rPr>
      </w:pPr>
    </w:p>
    <w:p w:rsidR="00152F9B" w:rsidRPr="00174A3C" w:rsidRDefault="00152F9B" w:rsidP="00174A3C">
      <w:pPr>
        <w:pStyle w:val="ListParagraph"/>
        <w:numPr>
          <w:ilvl w:val="0"/>
          <w:numId w:val="21"/>
        </w:numPr>
        <w:rPr>
          <w:rFonts w:ascii="Arial" w:hAnsi="Arial" w:cs="Arial"/>
          <w:b/>
          <w:sz w:val="20"/>
          <w:szCs w:val="20"/>
        </w:rPr>
      </w:pPr>
      <w:r w:rsidRPr="00174A3C">
        <w:rPr>
          <w:rFonts w:ascii="Arial" w:hAnsi="Arial" w:cs="Arial"/>
          <w:b/>
          <w:sz w:val="20"/>
          <w:szCs w:val="20"/>
        </w:rPr>
        <w:t xml:space="preserve">Victoria </w:t>
      </w:r>
    </w:p>
    <w:p w:rsidR="00152F9B" w:rsidRPr="00CA7849" w:rsidRDefault="00152F9B" w:rsidP="00152F9B">
      <w:pPr>
        <w:rPr>
          <w:rFonts w:ascii="Arial" w:hAnsi="Arial" w:cs="Arial"/>
          <w:sz w:val="20"/>
          <w:szCs w:val="20"/>
        </w:rPr>
      </w:pPr>
    </w:p>
    <w:p w:rsidR="00152F9B" w:rsidRPr="00CA7849" w:rsidRDefault="00152F9B" w:rsidP="00152F9B">
      <w:pPr>
        <w:rPr>
          <w:rFonts w:ascii="Arial" w:hAnsi="Arial" w:cs="Arial"/>
          <w:sz w:val="20"/>
          <w:szCs w:val="20"/>
        </w:rPr>
      </w:pPr>
      <w:r w:rsidRPr="00CA7849">
        <w:rPr>
          <w:rFonts w:ascii="Arial" w:hAnsi="Arial" w:cs="Arial"/>
          <w:sz w:val="20"/>
          <w:szCs w:val="20"/>
        </w:rPr>
        <w:t xml:space="preserve">In Victoria, commercial leases </w:t>
      </w:r>
      <w:r>
        <w:rPr>
          <w:rFonts w:ascii="Arial" w:hAnsi="Arial" w:cs="Arial"/>
          <w:sz w:val="20"/>
          <w:szCs w:val="20"/>
        </w:rPr>
        <w:t xml:space="preserve">are </w:t>
      </w:r>
      <w:r w:rsidRPr="00CA7849">
        <w:rPr>
          <w:rFonts w:ascii="Arial" w:hAnsi="Arial" w:cs="Arial"/>
          <w:sz w:val="20"/>
          <w:szCs w:val="20"/>
        </w:rPr>
        <w:t xml:space="preserve">governed by the following legislation, depending on the type of lease: </w:t>
      </w:r>
    </w:p>
    <w:p w:rsidR="00152F9B" w:rsidRPr="00CA7849" w:rsidRDefault="00152F9B" w:rsidP="00152F9B">
      <w:pPr>
        <w:rPr>
          <w:rFonts w:ascii="Arial" w:hAnsi="Arial" w:cs="Arial"/>
          <w:sz w:val="20"/>
          <w:szCs w:val="20"/>
        </w:rPr>
      </w:pPr>
    </w:p>
    <w:p w:rsidR="00152F9B" w:rsidRPr="00917D71" w:rsidRDefault="00152F9B" w:rsidP="00152F9B">
      <w:pPr>
        <w:pStyle w:val="ListParagraph"/>
        <w:numPr>
          <w:ilvl w:val="0"/>
          <w:numId w:val="7"/>
        </w:numPr>
        <w:rPr>
          <w:rFonts w:ascii="Arial" w:hAnsi="Arial" w:cs="Arial"/>
          <w:sz w:val="20"/>
          <w:szCs w:val="20"/>
        </w:rPr>
      </w:pPr>
      <w:r w:rsidRPr="006341DC">
        <w:rPr>
          <w:rFonts w:ascii="Arial" w:hAnsi="Arial" w:cs="Arial"/>
          <w:i/>
          <w:sz w:val="20"/>
          <w:szCs w:val="20"/>
        </w:rPr>
        <w:t>Retail Leases Act 2003</w:t>
      </w:r>
      <w:r w:rsidRPr="00917D71">
        <w:rPr>
          <w:rFonts w:ascii="Arial" w:hAnsi="Arial" w:cs="Arial"/>
          <w:sz w:val="20"/>
          <w:szCs w:val="20"/>
        </w:rPr>
        <w:t xml:space="preserve">, which covers all “retail </w:t>
      </w:r>
      <w:r>
        <w:rPr>
          <w:rFonts w:ascii="Arial" w:hAnsi="Arial" w:cs="Arial"/>
          <w:sz w:val="20"/>
          <w:szCs w:val="20"/>
        </w:rPr>
        <w:t>premises</w:t>
      </w:r>
      <w:r w:rsidRPr="00917D71">
        <w:rPr>
          <w:rFonts w:ascii="Arial" w:hAnsi="Arial" w:cs="Arial"/>
          <w:sz w:val="20"/>
          <w:szCs w:val="20"/>
        </w:rPr>
        <w:t>”;</w:t>
      </w:r>
      <w:r>
        <w:rPr>
          <w:rStyle w:val="FootnoteReference"/>
          <w:rFonts w:ascii="Arial" w:hAnsi="Arial" w:cs="Arial"/>
          <w:sz w:val="20"/>
          <w:szCs w:val="20"/>
        </w:rPr>
        <w:footnoteReference w:id="1"/>
      </w:r>
    </w:p>
    <w:p w:rsidR="00152F9B" w:rsidRPr="00917D71" w:rsidRDefault="00152F9B" w:rsidP="00152F9B">
      <w:pPr>
        <w:pStyle w:val="ListParagraph"/>
        <w:numPr>
          <w:ilvl w:val="0"/>
          <w:numId w:val="7"/>
        </w:numPr>
        <w:rPr>
          <w:rFonts w:ascii="Arial" w:hAnsi="Arial" w:cs="Arial"/>
          <w:sz w:val="20"/>
          <w:szCs w:val="20"/>
        </w:rPr>
      </w:pPr>
      <w:r w:rsidRPr="006341DC">
        <w:rPr>
          <w:rFonts w:ascii="Arial" w:hAnsi="Arial" w:cs="Arial"/>
          <w:i/>
          <w:sz w:val="20"/>
          <w:szCs w:val="20"/>
        </w:rPr>
        <w:t>Property Law Act 1958</w:t>
      </w:r>
      <w:r w:rsidRPr="00917D71">
        <w:rPr>
          <w:rFonts w:ascii="Arial" w:hAnsi="Arial" w:cs="Arial"/>
          <w:sz w:val="20"/>
          <w:szCs w:val="20"/>
        </w:rPr>
        <w:t>, which deals with specific aspects of leases generally; and</w:t>
      </w:r>
    </w:p>
    <w:p w:rsidR="00152F9B" w:rsidRPr="00917D71" w:rsidRDefault="00152F9B" w:rsidP="00152F9B">
      <w:pPr>
        <w:pStyle w:val="ListParagraph"/>
        <w:numPr>
          <w:ilvl w:val="0"/>
          <w:numId w:val="7"/>
        </w:numPr>
        <w:rPr>
          <w:rFonts w:ascii="Arial" w:hAnsi="Arial" w:cs="Arial"/>
          <w:sz w:val="20"/>
          <w:szCs w:val="20"/>
        </w:rPr>
      </w:pPr>
      <w:r w:rsidRPr="00917D71">
        <w:rPr>
          <w:rFonts w:ascii="Arial" w:hAnsi="Arial" w:cs="Arial"/>
          <w:sz w:val="20"/>
          <w:szCs w:val="20"/>
        </w:rPr>
        <w:t xml:space="preserve">Common law, which covers any aspect of leases not covered by either of the Acts. </w:t>
      </w:r>
    </w:p>
    <w:p w:rsidR="00152F9B" w:rsidRPr="00CA7849" w:rsidRDefault="00152F9B" w:rsidP="00152F9B">
      <w:pPr>
        <w:rPr>
          <w:rFonts w:ascii="Arial" w:hAnsi="Arial" w:cs="Arial"/>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Term of a retail lease</w:t>
      </w:r>
    </w:p>
    <w:p w:rsidR="00152F9B" w:rsidRPr="00CA7849" w:rsidRDefault="00152F9B" w:rsidP="00152F9B">
      <w:pPr>
        <w:rPr>
          <w:rFonts w:ascii="Arial" w:hAnsi="Arial" w:cs="Arial"/>
          <w:sz w:val="20"/>
          <w:szCs w:val="20"/>
        </w:rPr>
      </w:pPr>
    </w:p>
    <w:p w:rsidR="00152F9B" w:rsidRDefault="00152F9B" w:rsidP="00152F9B">
      <w:pPr>
        <w:rPr>
          <w:rFonts w:ascii="Arial" w:hAnsi="Arial" w:cs="Arial"/>
          <w:sz w:val="20"/>
          <w:szCs w:val="20"/>
        </w:rPr>
      </w:pPr>
      <w:r w:rsidRPr="00CA7849">
        <w:rPr>
          <w:rFonts w:ascii="Arial" w:hAnsi="Arial" w:cs="Arial"/>
          <w:sz w:val="20"/>
          <w:szCs w:val="20"/>
        </w:rPr>
        <w:t>Under Victorian law, a retail lease must be for a minimum term of five years.</w:t>
      </w:r>
      <w:r>
        <w:rPr>
          <w:rStyle w:val="FootnoteReference"/>
          <w:rFonts w:ascii="Arial" w:hAnsi="Arial" w:cs="Arial"/>
          <w:sz w:val="20"/>
          <w:szCs w:val="20"/>
        </w:rPr>
        <w:footnoteReference w:id="2"/>
      </w:r>
      <w:r w:rsidRPr="00CA7849">
        <w:rPr>
          <w:rFonts w:ascii="Arial" w:hAnsi="Arial" w:cs="Arial"/>
          <w:sz w:val="20"/>
          <w:szCs w:val="20"/>
        </w:rPr>
        <w:t xml:space="preserve"> However, a landlord or tenant </w:t>
      </w:r>
      <w:r>
        <w:rPr>
          <w:rFonts w:ascii="Arial" w:hAnsi="Arial" w:cs="Arial"/>
          <w:sz w:val="20"/>
          <w:szCs w:val="20"/>
        </w:rPr>
        <w:t>m</w:t>
      </w:r>
      <w:r w:rsidRPr="00CA7849">
        <w:rPr>
          <w:rFonts w:ascii="Arial" w:hAnsi="Arial" w:cs="Arial"/>
          <w:sz w:val="20"/>
          <w:szCs w:val="20"/>
        </w:rPr>
        <w:t>ay</w:t>
      </w:r>
      <w:r>
        <w:rPr>
          <w:rFonts w:ascii="Arial" w:hAnsi="Arial" w:cs="Arial"/>
          <w:sz w:val="20"/>
          <w:szCs w:val="20"/>
        </w:rPr>
        <w:t xml:space="preserve"> </w:t>
      </w:r>
      <w:r w:rsidRPr="00CA7849">
        <w:rPr>
          <w:rFonts w:ascii="Arial" w:hAnsi="Arial" w:cs="Arial"/>
          <w:sz w:val="20"/>
          <w:szCs w:val="20"/>
        </w:rPr>
        <w:t>terminate the lease prior to the end of term in the event of a default, relocation, demolition or damage to the retail premise.</w:t>
      </w:r>
      <w:r>
        <w:rPr>
          <w:rStyle w:val="FootnoteReference"/>
          <w:rFonts w:ascii="Arial" w:hAnsi="Arial" w:cs="Arial"/>
          <w:sz w:val="20"/>
          <w:szCs w:val="20"/>
        </w:rPr>
        <w:footnoteReference w:id="3"/>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 xml:space="preserve">Between 6 to 12 months prior to the end of a retail lease, the landlord must give written notice to the tenant either: </w:t>
      </w:r>
    </w:p>
    <w:p w:rsidR="00152F9B" w:rsidRDefault="00152F9B" w:rsidP="00152F9B">
      <w:pPr>
        <w:pStyle w:val="ListParagraph"/>
        <w:numPr>
          <w:ilvl w:val="0"/>
          <w:numId w:val="3"/>
        </w:numPr>
        <w:rPr>
          <w:rFonts w:ascii="Arial" w:hAnsi="Arial" w:cs="Arial"/>
          <w:sz w:val="20"/>
          <w:szCs w:val="20"/>
        </w:rPr>
      </w:pPr>
      <w:r>
        <w:rPr>
          <w:rFonts w:ascii="Arial" w:hAnsi="Arial" w:cs="Arial"/>
          <w:sz w:val="20"/>
          <w:szCs w:val="20"/>
        </w:rPr>
        <w:t>Offering a lease renewal on the terms specified in the notice; or</w:t>
      </w:r>
    </w:p>
    <w:p w:rsidR="00152F9B" w:rsidRPr="00BA28AF" w:rsidRDefault="00152F9B" w:rsidP="00152F9B">
      <w:pPr>
        <w:pStyle w:val="ListParagraph"/>
        <w:numPr>
          <w:ilvl w:val="0"/>
          <w:numId w:val="3"/>
        </w:numPr>
        <w:rPr>
          <w:rFonts w:ascii="Arial" w:hAnsi="Arial" w:cs="Arial"/>
          <w:sz w:val="20"/>
          <w:szCs w:val="20"/>
        </w:rPr>
      </w:pPr>
      <w:r>
        <w:rPr>
          <w:rFonts w:ascii="Arial" w:hAnsi="Arial" w:cs="Arial"/>
          <w:sz w:val="20"/>
          <w:szCs w:val="20"/>
        </w:rPr>
        <w:t>Informing the tenant that the landlord does not intend to offer a renewal of lease.</w:t>
      </w:r>
      <w:r>
        <w:rPr>
          <w:rStyle w:val="FootnoteReference"/>
          <w:rFonts w:ascii="Arial" w:hAnsi="Arial" w:cs="Arial"/>
          <w:sz w:val="20"/>
          <w:szCs w:val="20"/>
        </w:rPr>
        <w:footnoteReference w:id="4"/>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 xml:space="preserve">An offer to renew lease remains valid for 60 days after it is made. </w:t>
      </w:r>
    </w:p>
    <w:p w:rsidR="00152F9B" w:rsidRPr="00CA7849" w:rsidRDefault="00152F9B" w:rsidP="00152F9B">
      <w:pPr>
        <w:rPr>
          <w:rFonts w:ascii="Arial" w:hAnsi="Arial" w:cs="Arial"/>
          <w:sz w:val="20"/>
          <w:szCs w:val="20"/>
        </w:rPr>
      </w:pPr>
    </w:p>
    <w:p w:rsidR="00152F9B" w:rsidRPr="00BA28AF" w:rsidRDefault="00152F9B" w:rsidP="00152F9B">
      <w:pPr>
        <w:rPr>
          <w:rFonts w:ascii="Arial" w:hAnsi="Arial" w:cs="Arial"/>
          <w:sz w:val="20"/>
          <w:szCs w:val="20"/>
        </w:rPr>
      </w:pPr>
      <w:r>
        <w:rPr>
          <w:rFonts w:ascii="Arial" w:hAnsi="Arial" w:cs="Arial"/>
          <w:sz w:val="20"/>
          <w:szCs w:val="20"/>
        </w:rPr>
        <w:t xml:space="preserve">If the landlord fails to give notice within the timeframe and form required, the lease continues until </w:t>
      </w:r>
      <w:r w:rsidRPr="00BA28AF">
        <w:rPr>
          <w:rFonts w:ascii="Arial" w:hAnsi="Arial" w:cs="Arial"/>
          <w:sz w:val="20"/>
          <w:szCs w:val="20"/>
        </w:rPr>
        <w:t xml:space="preserve">at least six months after the landlord does give </w:t>
      </w:r>
      <w:r>
        <w:rPr>
          <w:rFonts w:ascii="Arial" w:hAnsi="Arial" w:cs="Arial"/>
          <w:sz w:val="20"/>
          <w:szCs w:val="20"/>
        </w:rPr>
        <w:t>notice.</w:t>
      </w:r>
      <w:r>
        <w:rPr>
          <w:rStyle w:val="FootnoteReference"/>
          <w:rFonts w:ascii="Arial" w:hAnsi="Arial" w:cs="Arial"/>
          <w:sz w:val="20"/>
          <w:szCs w:val="20"/>
        </w:rPr>
        <w:footnoteReference w:id="5"/>
      </w:r>
      <w:r>
        <w:rPr>
          <w:rFonts w:ascii="Arial" w:hAnsi="Arial" w:cs="Arial"/>
          <w:sz w:val="20"/>
          <w:szCs w:val="20"/>
        </w:rPr>
        <w:t xml:space="preserve"> Alternatively, the tenant may give written notice to terminate the lease from a date on or after the expiry of the lease term.</w:t>
      </w:r>
      <w:r>
        <w:rPr>
          <w:rStyle w:val="FootnoteReference"/>
          <w:rFonts w:ascii="Arial" w:hAnsi="Arial" w:cs="Arial"/>
          <w:sz w:val="20"/>
          <w:szCs w:val="20"/>
        </w:rPr>
        <w:footnoteReference w:id="6"/>
      </w:r>
    </w:p>
    <w:p w:rsidR="00152F9B" w:rsidRPr="00CA7849" w:rsidRDefault="00152F9B" w:rsidP="00152F9B">
      <w:pPr>
        <w:rPr>
          <w:rFonts w:ascii="Arial" w:hAnsi="Arial" w:cs="Arial"/>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 xml:space="preserve">Assignment </w:t>
      </w:r>
    </w:p>
    <w:p w:rsidR="00152F9B" w:rsidRPr="00CA7849" w:rsidRDefault="00152F9B" w:rsidP="00152F9B">
      <w:pPr>
        <w:rPr>
          <w:rFonts w:ascii="Arial" w:hAnsi="Arial" w:cs="Arial"/>
          <w:sz w:val="20"/>
          <w:szCs w:val="20"/>
        </w:rPr>
      </w:pPr>
    </w:p>
    <w:p w:rsidR="00152F9B" w:rsidRDefault="00152F9B" w:rsidP="00152F9B">
      <w:pPr>
        <w:rPr>
          <w:rFonts w:ascii="Arial" w:hAnsi="Arial" w:cs="Arial"/>
          <w:sz w:val="20"/>
          <w:szCs w:val="20"/>
        </w:rPr>
      </w:pPr>
      <w:r w:rsidRPr="00CA7849">
        <w:rPr>
          <w:rFonts w:ascii="Arial" w:hAnsi="Arial" w:cs="Arial"/>
          <w:sz w:val="20"/>
          <w:szCs w:val="20"/>
        </w:rPr>
        <w:t>A tenant must request a landlord’s consent for assignment of a lease in writing</w:t>
      </w:r>
      <w:r>
        <w:rPr>
          <w:rFonts w:ascii="Arial" w:hAnsi="Arial" w:cs="Arial"/>
          <w:sz w:val="20"/>
          <w:szCs w:val="20"/>
        </w:rPr>
        <w:t>,</w:t>
      </w:r>
      <w:r>
        <w:rPr>
          <w:rStyle w:val="FootnoteReference"/>
          <w:rFonts w:ascii="Arial" w:hAnsi="Arial" w:cs="Arial"/>
          <w:sz w:val="20"/>
          <w:szCs w:val="20"/>
        </w:rPr>
        <w:footnoteReference w:id="7"/>
      </w:r>
      <w:r w:rsidRPr="00CA7849">
        <w:rPr>
          <w:rFonts w:ascii="Arial" w:hAnsi="Arial" w:cs="Arial"/>
          <w:sz w:val="20"/>
          <w:szCs w:val="20"/>
        </w:rPr>
        <w:t xml:space="preserve"> </w:t>
      </w:r>
      <w:r>
        <w:rPr>
          <w:rFonts w:ascii="Arial" w:hAnsi="Arial" w:cs="Arial"/>
          <w:sz w:val="20"/>
          <w:szCs w:val="20"/>
        </w:rPr>
        <w:t xml:space="preserve">and </w:t>
      </w:r>
      <w:r w:rsidRPr="00CA7849">
        <w:rPr>
          <w:rFonts w:ascii="Arial" w:hAnsi="Arial" w:cs="Arial"/>
          <w:sz w:val="20"/>
          <w:szCs w:val="20"/>
        </w:rPr>
        <w:t xml:space="preserve">provide </w:t>
      </w:r>
      <w:r>
        <w:rPr>
          <w:rFonts w:ascii="Arial" w:hAnsi="Arial" w:cs="Arial"/>
          <w:sz w:val="20"/>
          <w:szCs w:val="20"/>
        </w:rPr>
        <w:t xml:space="preserve">any </w:t>
      </w:r>
      <w:r w:rsidRPr="00CA7849">
        <w:rPr>
          <w:rFonts w:ascii="Arial" w:hAnsi="Arial" w:cs="Arial"/>
          <w:sz w:val="20"/>
          <w:szCs w:val="20"/>
        </w:rPr>
        <w:t xml:space="preserve">reasonable information required by the landlord about the financial resources and business experience of the proposed assignee. </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 xml:space="preserve">The tenant must also give the proposed assignee a disclosure statement concerning the lease, or ask the landlord to provide a current disclosure statement. </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 xml:space="preserve">If the landlord fails to give such a statement within 14 days, the landlord may be fined up to 10 penalty units. </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 xml:space="preserve">The landlord is deemed to have given consent if the landlord does not respond to the tenant’s request for assignment within 28 days. </w:t>
      </w:r>
    </w:p>
    <w:p w:rsidR="00152F9B" w:rsidRPr="00CA7849" w:rsidRDefault="00152F9B" w:rsidP="00152F9B">
      <w:pPr>
        <w:rPr>
          <w:rFonts w:ascii="Arial" w:hAnsi="Arial" w:cs="Arial"/>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Forfeiture</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In Victoria, to re-enter and forfeit a lease (any lease), the following procedure must be followed:</w:t>
      </w:r>
      <w:r>
        <w:rPr>
          <w:rStyle w:val="FootnoteReference"/>
          <w:rFonts w:ascii="Arial" w:hAnsi="Arial" w:cs="Arial"/>
          <w:sz w:val="20"/>
          <w:szCs w:val="20"/>
        </w:rPr>
        <w:footnoteReference w:id="8"/>
      </w:r>
    </w:p>
    <w:p w:rsidR="00152F9B" w:rsidRDefault="00152F9B" w:rsidP="00152F9B">
      <w:pPr>
        <w:pStyle w:val="ListParagraph"/>
        <w:numPr>
          <w:ilvl w:val="0"/>
          <w:numId w:val="6"/>
        </w:numPr>
        <w:rPr>
          <w:rFonts w:ascii="Arial" w:hAnsi="Arial" w:cs="Arial"/>
          <w:sz w:val="20"/>
          <w:szCs w:val="20"/>
        </w:rPr>
      </w:pPr>
      <w:r w:rsidRPr="00BA28AF">
        <w:rPr>
          <w:rFonts w:ascii="Arial" w:hAnsi="Arial" w:cs="Arial"/>
          <w:sz w:val="20"/>
          <w:szCs w:val="20"/>
        </w:rPr>
        <w:lastRenderedPageBreak/>
        <w:t xml:space="preserve">The landlord must give prior written notice to the </w:t>
      </w:r>
      <w:r>
        <w:rPr>
          <w:rFonts w:ascii="Arial" w:hAnsi="Arial" w:cs="Arial"/>
          <w:sz w:val="20"/>
          <w:szCs w:val="20"/>
        </w:rPr>
        <w:t xml:space="preserve">tenant. The notice needs to: </w:t>
      </w:r>
    </w:p>
    <w:p w:rsidR="00152F9B" w:rsidRPr="00BA28AF" w:rsidRDefault="00152F9B" w:rsidP="00152F9B">
      <w:pPr>
        <w:pStyle w:val="ListParagraph"/>
        <w:numPr>
          <w:ilvl w:val="1"/>
          <w:numId w:val="6"/>
        </w:numPr>
        <w:rPr>
          <w:rFonts w:ascii="Arial" w:hAnsi="Arial" w:cs="Arial"/>
          <w:sz w:val="20"/>
          <w:szCs w:val="20"/>
        </w:rPr>
      </w:pPr>
      <w:r w:rsidRPr="00BA28AF">
        <w:rPr>
          <w:rFonts w:ascii="Arial" w:hAnsi="Arial" w:cs="Arial"/>
          <w:sz w:val="20"/>
          <w:szCs w:val="20"/>
        </w:rPr>
        <w:t xml:space="preserve">Specify the breach of lease alleged; </w:t>
      </w:r>
    </w:p>
    <w:p w:rsidR="00152F9B" w:rsidRDefault="00152F9B" w:rsidP="00152F9B">
      <w:pPr>
        <w:pStyle w:val="ListParagraph"/>
        <w:numPr>
          <w:ilvl w:val="1"/>
          <w:numId w:val="6"/>
        </w:numPr>
        <w:rPr>
          <w:rFonts w:ascii="Arial" w:hAnsi="Arial" w:cs="Arial"/>
          <w:sz w:val="20"/>
          <w:szCs w:val="20"/>
        </w:rPr>
      </w:pPr>
      <w:r>
        <w:rPr>
          <w:rFonts w:ascii="Arial" w:hAnsi="Arial" w:cs="Arial"/>
          <w:sz w:val="20"/>
          <w:szCs w:val="20"/>
        </w:rPr>
        <w:t>Require the tenant to remedy the breach (if the breach can be remedied); and</w:t>
      </w:r>
    </w:p>
    <w:p w:rsidR="00152F9B" w:rsidRDefault="00152F9B" w:rsidP="00152F9B">
      <w:pPr>
        <w:pStyle w:val="ListParagraph"/>
        <w:numPr>
          <w:ilvl w:val="1"/>
          <w:numId w:val="6"/>
        </w:numPr>
        <w:rPr>
          <w:rFonts w:ascii="Arial" w:hAnsi="Arial" w:cs="Arial"/>
          <w:sz w:val="20"/>
          <w:szCs w:val="20"/>
        </w:rPr>
      </w:pPr>
      <w:r>
        <w:rPr>
          <w:rFonts w:ascii="Arial" w:hAnsi="Arial" w:cs="Arial"/>
          <w:sz w:val="20"/>
          <w:szCs w:val="20"/>
        </w:rPr>
        <w:t xml:space="preserve">Require the tenant to pay compensation for the breach. </w:t>
      </w:r>
    </w:p>
    <w:p w:rsidR="00152F9B" w:rsidRDefault="00152F9B" w:rsidP="00152F9B">
      <w:pPr>
        <w:pStyle w:val="ListParagraph"/>
        <w:numPr>
          <w:ilvl w:val="0"/>
          <w:numId w:val="6"/>
        </w:numPr>
        <w:rPr>
          <w:rFonts w:ascii="Arial" w:hAnsi="Arial" w:cs="Arial"/>
          <w:sz w:val="20"/>
          <w:szCs w:val="20"/>
        </w:rPr>
      </w:pPr>
      <w:r>
        <w:rPr>
          <w:rFonts w:ascii="Arial" w:hAnsi="Arial" w:cs="Arial"/>
          <w:sz w:val="20"/>
          <w:szCs w:val="20"/>
        </w:rPr>
        <w:t xml:space="preserve">The tenant has a </w:t>
      </w:r>
      <w:r w:rsidRPr="00BA28AF">
        <w:rPr>
          <w:rFonts w:ascii="Arial" w:hAnsi="Arial" w:cs="Arial"/>
          <w:sz w:val="20"/>
          <w:szCs w:val="20"/>
        </w:rPr>
        <w:t>“reasonable time</w:t>
      </w:r>
      <w:r>
        <w:rPr>
          <w:rFonts w:ascii="Arial" w:hAnsi="Arial" w:cs="Arial"/>
          <w:sz w:val="20"/>
          <w:szCs w:val="20"/>
        </w:rPr>
        <w:t xml:space="preserve">”, which must be at least 14 days, to comply with the notice; </w:t>
      </w:r>
    </w:p>
    <w:p w:rsidR="00152F9B" w:rsidRDefault="00152F9B" w:rsidP="00152F9B">
      <w:pPr>
        <w:pStyle w:val="ListParagraph"/>
        <w:numPr>
          <w:ilvl w:val="0"/>
          <w:numId w:val="6"/>
        </w:numPr>
        <w:rPr>
          <w:rFonts w:ascii="Arial" w:hAnsi="Arial" w:cs="Arial"/>
          <w:sz w:val="20"/>
          <w:szCs w:val="20"/>
        </w:rPr>
      </w:pPr>
      <w:r>
        <w:rPr>
          <w:rFonts w:ascii="Arial" w:hAnsi="Arial" w:cs="Arial"/>
          <w:sz w:val="20"/>
          <w:szCs w:val="20"/>
        </w:rPr>
        <w:t xml:space="preserve">The tenant may apply to the Court for relief against forfeiture, e.g. costs, damages or injunction. </w:t>
      </w:r>
    </w:p>
    <w:p w:rsidR="00152F9B" w:rsidRPr="00BA28AF" w:rsidRDefault="00152F9B" w:rsidP="00152F9B">
      <w:pPr>
        <w:pStyle w:val="ListParagraph"/>
        <w:numPr>
          <w:ilvl w:val="0"/>
          <w:numId w:val="6"/>
        </w:numPr>
        <w:rPr>
          <w:rFonts w:ascii="Arial" w:hAnsi="Arial" w:cs="Arial"/>
          <w:sz w:val="20"/>
          <w:szCs w:val="20"/>
        </w:rPr>
      </w:pPr>
      <w:r>
        <w:rPr>
          <w:rFonts w:ascii="Arial" w:hAnsi="Arial" w:cs="Arial"/>
          <w:sz w:val="20"/>
          <w:szCs w:val="20"/>
        </w:rPr>
        <w:t xml:space="preserve">The landlord is entitled to recover from the tenant any reasonable costs and expenses relating to the forfeiture. </w:t>
      </w:r>
    </w:p>
    <w:p w:rsidR="00152F9B" w:rsidRDefault="00152F9B" w:rsidP="00152F9B">
      <w:pPr>
        <w:rPr>
          <w:rFonts w:ascii="Arial" w:hAnsi="Arial" w:cs="Arial"/>
          <w:sz w:val="20"/>
          <w:szCs w:val="20"/>
        </w:rPr>
      </w:pPr>
    </w:p>
    <w:p w:rsidR="00152F9B" w:rsidRPr="00174A3C" w:rsidRDefault="00152F9B" w:rsidP="00174A3C">
      <w:pPr>
        <w:pStyle w:val="ListParagraph"/>
        <w:numPr>
          <w:ilvl w:val="0"/>
          <w:numId w:val="21"/>
        </w:numPr>
        <w:rPr>
          <w:rFonts w:ascii="Arial" w:hAnsi="Arial" w:cs="Arial"/>
          <w:b/>
          <w:sz w:val="20"/>
          <w:szCs w:val="20"/>
        </w:rPr>
      </w:pPr>
      <w:r w:rsidRPr="00174A3C">
        <w:rPr>
          <w:rFonts w:ascii="Arial" w:hAnsi="Arial" w:cs="Arial"/>
          <w:b/>
          <w:sz w:val="20"/>
          <w:szCs w:val="20"/>
        </w:rPr>
        <w:t>Queensland</w:t>
      </w:r>
    </w:p>
    <w:p w:rsidR="00152F9B" w:rsidRDefault="00152F9B" w:rsidP="00152F9B">
      <w:pPr>
        <w:rPr>
          <w:rFonts w:ascii="Arial" w:hAnsi="Arial" w:cs="Arial"/>
          <w:b/>
          <w:sz w:val="20"/>
          <w:szCs w:val="20"/>
        </w:rPr>
      </w:pPr>
    </w:p>
    <w:p w:rsidR="00152F9B" w:rsidRPr="00CA7849" w:rsidRDefault="00152F9B" w:rsidP="00152F9B">
      <w:pPr>
        <w:rPr>
          <w:rFonts w:ascii="Arial" w:hAnsi="Arial" w:cs="Arial"/>
          <w:sz w:val="20"/>
          <w:szCs w:val="20"/>
        </w:rPr>
      </w:pPr>
      <w:r w:rsidRPr="00CA7849">
        <w:rPr>
          <w:rFonts w:ascii="Arial" w:hAnsi="Arial" w:cs="Arial"/>
          <w:sz w:val="20"/>
          <w:szCs w:val="20"/>
        </w:rPr>
        <w:t xml:space="preserve">In </w:t>
      </w:r>
      <w:r>
        <w:rPr>
          <w:rFonts w:ascii="Arial" w:hAnsi="Arial" w:cs="Arial"/>
          <w:sz w:val="20"/>
          <w:szCs w:val="20"/>
        </w:rPr>
        <w:t>Queensland</w:t>
      </w:r>
      <w:r w:rsidRPr="00CA7849">
        <w:rPr>
          <w:rFonts w:ascii="Arial" w:hAnsi="Arial" w:cs="Arial"/>
          <w:sz w:val="20"/>
          <w:szCs w:val="20"/>
        </w:rPr>
        <w:t xml:space="preserve">, commercial leases </w:t>
      </w:r>
      <w:r>
        <w:rPr>
          <w:rFonts w:ascii="Arial" w:hAnsi="Arial" w:cs="Arial"/>
          <w:sz w:val="20"/>
          <w:szCs w:val="20"/>
        </w:rPr>
        <w:t xml:space="preserve">are </w:t>
      </w:r>
      <w:r w:rsidRPr="00CA7849">
        <w:rPr>
          <w:rFonts w:ascii="Arial" w:hAnsi="Arial" w:cs="Arial"/>
          <w:sz w:val="20"/>
          <w:szCs w:val="20"/>
        </w:rPr>
        <w:t xml:space="preserve">governed by the following legislation: </w:t>
      </w:r>
    </w:p>
    <w:p w:rsidR="00152F9B" w:rsidRPr="00CA7849" w:rsidRDefault="00152F9B" w:rsidP="00152F9B">
      <w:pPr>
        <w:rPr>
          <w:rFonts w:ascii="Arial" w:hAnsi="Arial" w:cs="Arial"/>
          <w:sz w:val="20"/>
          <w:szCs w:val="20"/>
        </w:rPr>
      </w:pPr>
    </w:p>
    <w:p w:rsidR="00152F9B" w:rsidRPr="00917D71" w:rsidRDefault="00152F9B" w:rsidP="00152F9B">
      <w:pPr>
        <w:pStyle w:val="ListParagraph"/>
        <w:numPr>
          <w:ilvl w:val="0"/>
          <w:numId w:val="7"/>
        </w:numPr>
        <w:rPr>
          <w:rFonts w:ascii="Arial" w:hAnsi="Arial" w:cs="Arial"/>
          <w:sz w:val="20"/>
          <w:szCs w:val="20"/>
        </w:rPr>
      </w:pPr>
      <w:r w:rsidRPr="00917D71">
        <w:rPr>
          <w:rFonts w:ascii="Arial" w:hAnsi="Arial" w:cs="Arial"/>
          <w:sz w:val="20"/>
          <w:szCs w:val="20"/>
        </w:rPr>
        <w:t xml:space="preserve">Retail </w:t>
      </w:r>
      <w:r>
        <w:rPr>
          <w:rFonts w:ascii="Arial" w:hAnsi="Arial" w:cs="Arial"/>
          <w:sz w:val="20"/>
          <w:szCs w:val="20"/>
        </w:rPr>
        <w:t>Shop Leases</w:t>
      </w:r>
      <w:r w:rsidRPr="00917D71">
        <w:rPr>
          <w:rFonts w:ascii="Arial" w:hAnsi="Arial" w:cs="Arial"/>
          <w:sz w:val="20"/>
          <w:szCs w:val="20"/>
        </w:rPr>
        <w:t xml:space="preserve"> Act </w:t>
      </w:r>
      <w:r>
        <w:rPr>
          <w:rFonts w:ascii="Arial" w:hAnsi="Arial" w:cs="Arial"/>
          <w:sz w:val="20"/>
          <w:szCs w:val="20"/>
        </w:rPr>
        <w:t>1994</w:t>
      </w:r>
      <w:r w:rsidRPr="00917D71">
        <w:rPr>
          <w:rFonts w:ascii="Arial" w:hAnsi="Arial" w:cs="Arial"/>
          <w:sz w:val="20"/>
          <w:szCs w:val="20"/>
        </w:rPr>
        <w:t xml:space="preserve">, which </w:t>
      </w:r>
      <w:r>
        <w:rPr>
          <w:rFonts w:ascii="Arial" w:hAnsi="Arial" w:cs="Arial"/>
          <w:sz w:val="20"/>
          <w:szCs w:val="20"/>
        </w:rPr>
        <w:t>apply to “retail shop leases”;</w:t>
      </w:r>
    </w:p>
    <w:p w:rsidR="00152F9B" w:rsidRPr="00917D71" w:rsidRDefault="00152F9B" w:rsidP="00152F9B">
      <w:pPr>
        <w:pStyle w:val="ListParagraph"/>
        <w:numPr>
          <w:ilvl w:val="0"/>
          <w:numId w:val="7"/>
        </w:numPr>
        <w:rPr>
          <w:rFonts w:ascii="Arial" w:hAnsi="Arial" w:cs="Arial"/>
          <w:sz w:val="20"/>
          <w:szCs w:val="20"/>
        </w:rPr>
      </w:pPr>
      <w:r>
        <w:rPr>
          <w:rFonts w:ascii="Arial" w:hAnsi="Arial" w:cs="Arial"/>
          <w:sz w:val="20"/>
          <w:szCs w:val="20"/>
        </w:rPr>
        <w:t>Property Law Act 1974</w:t>
      </w:r>
      <w:r w:rsidRPr="00917D71">
        <w:rPr>
          <w:rFonts w:ascii="Arial" w:hAnsi="Arial" w:cs="Arial"/>
          <w:sz w:val="20"/>
          <w:szCs w:val="20"/>
        </w:rPr>
        <w:t>, which deals with specific aspects of leases generally; and</w:t>
      </w:r>
    </w:p>
    <w:p w:rsidR="00152F9B" w:rsidRPr="00917D71" w:rsidRDefault="00152F9B" w:rsidP="00152F9B">
      <w:pPr>
        <w:pStyle w:val="ListParagraph"/>
        <w:numPr>
          <w:ilvl w:val="0"/>
          <w:numId w:val="7"/>
        </w:numPr>
        <w:rPr>
          <w:rFonts w:ascii="Arial" w:hAnsi="Arial" w:cs="Arial"/>
          <w:sz w:val="20"/>
          <w:szCs w:val="20"/>
        </w:rPr>
      </w:pPr>
      <w:r w:rsidRPr="00917D71">
        <w:rPr>
          <w:rFonts w:ascii="Arial" w:hAnsi="Arial" w:cs="Arial"/>
          <w:sz w:val="20"/>
          <w:szCs w:val="20"/>
        </w:rPr>
        <w:t xml:space="preserve">Common law, which covers any aspect of leases not covered by either of the Acts. </w:t>
      </w:r>
    </w:p>
    <w:p w:rsidR="00152F9B" w:rsidRDefault="00152F9B" w:rsidP="00152F9B">
      <w:pPr>
        <w:rPr>
          <w:rFonts w:ascii="Arial" w:hAnsi="Arial" w:cs="Arial"/>
          <w:b/>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 xml:space="preserve">Lease term </w:t>
      </w:r>
    </w:p>
    <w:p w:rsidR="00152F9B" w:rsidRDefault="00152F9B" w:rsidP="00152F9B">
      <w:pPr>
        <w:rPr>
          <w:rFonts w:ascii="Arial" w:hAnsi="Arial" w:cs="Arial"/>
          <w:b/>
          <w:sz w:val="20"/>
          <w:szCs w:val="20"/>
        </w:rPr>
      </w:pPr>
    </w:p>
    <w:p w:rsidR="00152F9B" w:rsidRDefault="00152F9B" w:rsidP="00152F9B">
      <w:pPr>
        <w:rPr>
          <w:rFonts w:ascii="Arial" w:hAnsi="Arial" w:cs="Arial"/>
          <w:sz w:val="20"/>
          <w:szCs w:val="20"/>
        </w:rPr>
      </w:pPr>
      <w:r>
        <w:rPr>
          <w:rFonts w:ascii="Arial" w:hAnsi="Arial" w:cs="Arial"/>
          <w:sz w:val="20"/>
          <w:szCs w:val="20"/>
        </w:rPr>
        <w:t xml:space="preserve">There is no minimum lease term required in Queensland. In relation to termination, </w:t>
      </w:r>
    </w:p>
    <w:p w:rsidR="00152F9B" w:rsidRDefault="00152F9B" w:rsidP="00152F9B">
      <w:pPr>
        <w:pStyle w:val="ListParagraph"/>
        <w:numPr>
          <w:ilvl w:val="0"/>
          <w:numId w:val="8"/>
        </w:numPr>
        <w:rPr>
          <w:rFonts w:ascii="Arial" w:hAnsi="Arial" w:cs="Arial"/>
          <w:sz w:val="20"/>
          <w:szCs w:val="20"/>
        </w:rPr>
      </w:pPr>
      <w:r>
        <w:rPr>
          <w:rFonts w:ascii="Arial" w:hAnsi="Arial" w:cs="Arial"/>
          <w:sz w:val="20"/>
          <w:szCs w:val="20"/>
        </w:rPr>
        <w:t>W</w:t>
      </w:r>
      <w:r w:rsidRPr="00FA076D">
        <w:rPr>
          <w:rFonts w:ascii="Arial" w:hAnsi="Arial" w:cs="Arial"/>
          <w:sz w:val="20"/>
          <w:szCs w:val="20"/>
        </w:rPr>
        <w:t xml:space="preserve">here the </w:t>
      </w:r>
      <w:r>
        <w:rPr>
          <w:rFonts w:ascii="Arial" w:hAnsi="Arial" w:cs="Arial"/>
          <w:sz w:val="20"/>
          <w:szCs w:val="20"/>
        </w:rPr>
        <w:t xml:space="preserve">retail shop </w:t>
      </w:r>
      <w:r w:rsidRPr="00FA076D">
        <w:rPr>
          <w:rFonts w:ascii="Arial" w:hAnsi="Arial" w:cs="Arial"/>
          <w:sz w:val="20"/>
          <w:szCs w:val="20"/>
        </w:rPr>
        <w:t xml:space="preserve">lease provides for an option to renew, </w:t>
      </w:r>
      <w:r>
        <w:rPr>
          <w:rFonts w:ascii="Arial" w:hAnsi="Arial" w:cs="Arial"/>
          <w:sz w:val="20"/>
          <w:szCs w:val="20"/>
        </w:rPr>
        <w:t>between 2 to 6 months prior to the option date, the landlord must give the tenant written notice of the option date (up to 40 penalty units apply for non-compliance);</w:t>
      </w:r>
      <w:r>
        <w:rPr>
          <w:rStyle w:val="FootnoteReference"/>
          <w:rFonts w:ascii="Arial" w:hAnsi="Arial" w:cs="Arial"/>
          <w:sz w:val="20"/>
          <w:szCs w:val="20"/>
        </w:rPr>
        <w:footnoteReference w:id="9"/>
      </w:r>
    </w:p>
    <w:p w:rsidR="00152F9B" w:rsidRDefault="00152F9B" w:rsidP="00152F9B">
      <w:pPr>
        <w:pStyle w:val="ListParagraph"/>
        <w:numPr>
          <w:ilvl w:val="0"/>
          <w:numId w:val="8"/>
        </w:numPr>
        <w:rPr>
          <w:rFonts w:ascii="Arial" w:hAnsi="Arial" w:cs="Arial"/>
          <w:sz w:val="20"/>
          <w:szCs w:val="20"/>
        </w:rPr>
      </w:pPr>
      <w:r>
        <w:rPr>
          <w:rFonts w:ascii="Arial" w:hAnsi="Arial" w:cs="Arial"/>
          <w:sz w:val="20"/>
          <w:szCs w:val="20"/>
        </w:rPr>
        <w:t>Where the retail shop lease does not contain an option, the landlord must give written notice to the tenant either:</w:t>
      </w:r>
      <w:r>
        <w:rPr>
          <w:rStyle w:val="FootnoteReference"/>
          <w:rFonts w:ascii="Arial" w:hAnsi="Arial" w:cs="Arial"/>
          <w:sz w:val="20"/>
          <w:szCs w:val="20"/>
        </w:rPr>
        <w:footnoteReference w:id="10"/>
      </w:r>
    </w:p>
    <w:p w:rsidR="00152F9B" w:rsidRDefault="00152F9B" w:rsidP="00152F9B">
      <w:pPr>
        <w:pStyle w:val="ListParagraph"/>
        <w:numPr>
          <w:ilvl w:val="1"/>
          <w:numId w:val="8"/>
        </w:numPr>
        <w:rPr>
          <w:rFonts w:ascii="Arial" w:hAnsi="Arial" w:cs="Arial"/>
          <w:sz w:val="20"/>
          <w:szCs w:val="20"/>
        </w:rPr>
      </w:pPr>
      <w:r>
        <w:rPr>
          <w:rFonts w:ascii="Arial" w:hAnsi="Arial" w:cs="Arial"/>
          <w:sz w:val="20"/>
          <w:szCs w:val="20"/>
        </w:rPr>
        <w:t xml:space="preserve">Offering a renewal or extension of the lease on terms specified in the notice; or </w:t>
      </w:r>
    </w:p>
    <w:p w:rsidR="00152F9B" w:rsidRDefault="00152F9B" w:rsidP="00152F9B">
      <w:pPr>
        <w:pStyle w:val="ListParagraph"/>
        <w:numPr>
          <w:ilvl w:val="1"/>
          <w:numId w:val="8"/>
        </w:numPr>
        <w:rPr>
          <w:rFonts w:ascii="Arial" w:hAnsi="Arial" w:cs="Arial"/>
          <w:sz w:val="20"/>
          <w:szCs w:val="20"/>
        </w:rPr>
      </w:pPr>
      <w:r>
        <w:rPr>
          <w:rFonts w:ascii="Arial" w:hAnsi="Arial" w:cs="Arial"/>
          <w:sz w:val="20"/>
          <w:szCs w:val="20"/>
        </w:rPr>
        <w:t xml:space="preserve">Informing the tenant of the landlord’s intention not to offer a renewal or extension. </w:t>
      </w:r>
    </w:p>
    <w:p w:rsidR="00152F9B" w:rsidRDefault="00152F9B" w:rsidP="00152F9B">
      <w:pPr>
        <w:pStyle w:val="ListParagraph"/>
        <w:numPr>
          <w:ilvl w:val="0"/>
          <w:numId w:val="8"/>
        </w:numPr>
        <w:rPr>
          <w:rFonts w:ascii="Arial" w:hAnsi="Arial" w:cs="Arial"/>
          <w:sz w:val="20"/>
          <w:szCs w:val="20"/>
        </w:rPr>
      </w:pPr>
      <w:r>
        <w:rPr>
          <w:rFonts w:ascii="Arial" w:hAnsi="Arial" w:cs="Arial"/>
          <w:sz w:val="20"/>
          <w:szCs w:val="20"/>
        </w:rPr>
        <w:t>The notice must be given within the following notice periods:</w:t>
      </w:r>
    </w:p>
    <w:p w:rsidR="00152F9B" w:rsidRDefault="00152F9B" w:rsidP="00152F9B">
      <w:pPr>
        <w:pStyle w:val="ListParagraph"/>
        <w:numPr>
          <w:ilvl w:val="1"/>
          <w:numId w:val="8"/>
        </w:numPr>
        <w:rPr>
          <w:rFonts w:ascii="Arial" w:hAnsi="Arial" w:cs="Arial"/>
          <w:sz w:val="20"/>
          <w:szCs w:val="20"/>
        </w:rPr>
      </w:pPr>
      <w:r>
        <w:rPr>
          <w:rFonts w:ascii="Arial" w:hAnsi="Arial" w:cs="Arial"/>
          <w:sz w:val="20"/>
          <w:szCs w:val="20"/>
        </w:rPr>
        <w:t>If the lease is for less than one year – between 3 to 6 months prior to the end of term; or</w:t>
      </w:r>
    </w:p>
    <w:p w:rsidR="00152F9B" w:rsidRDefault="00152F9B" w:rsidP="00152F9B">
      <w:pPr>
        <w:pStyle w:val="ListParagraph"/>
        <w:numPr>
          <w:ilvl w:val="1"/>
          <w:numId w:val="8"/>
        </w:numPr>
        <w:rPr>
          <w:rFonts w:ascii="Arial" w:hAnsi="Arial" w:cs="Arial"/>
          <w:sz w:val="20"/>
          <w:szCs w:val="20"/>
        </w:rPr>
      </w:pPr>
      <w:r>
        <w:rPr>
          <w:rFonts w:ascii="Arial" w:hAnsi="Arial" w:cs="Arial"/>
          <w:sz w:val="20"/>
          <w:szCs w:val="20"/>
        </w:rPr>
        <w:t>If the lease is for more than one year – between 6 to 12 months prior to the end of term; and</w:t>
      </w:r>
    </w:p>
    <w:p w:rsidR="00152F9B" w:rsidRDefault="00152F9B" w:rsidP="00152F9B">
      <w:pPr>
        <w:pStyle w:val="ListParagraph"/>
        <w:numPr>
          <w:ilvl w:val="0"/>
          <w:numId w:val="8"/>
        </w:numPr>
        <w:rPr>
          <w:rFonts w:ascii="Arial" w:hAnsi="Arial" w:cs="Arial"/>
          <w:sz w:val="20"/>
          <w:szCs w:val="20"/>
        </w:rPr>
      </w:pPr>
      <w:r>
        <w:rPr>
          <w:rFonts w:ascii="Arial" w:hAnsi="Arial" w:cs="Arial"/>
          <w:sz w:val="20"/>
          <w:szCs w:val="20"/>
        </w:rPr>
        <w:t xml:space="preserve">If the landlord has failed to comply with the notice requirement, the lease continues until at least six months after notice is actually given, or the tenant gives at least one month’s notice to terminate the lease. </w:t>
      </w:r>
    </w:p>
    <w:p w:rsidR="00152F9B" w:rsidRPr="00280A2B" w:rsidRDefault="00152F9B" w:rsidP="00152F9B">
      <w:pPr>
        <w:rPr>
          <w:rFonts w:ascii="Arial" w:hAnsi="Arial" w:cs="Arial"/>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 xml:space="preserve">Assignment </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Under Queensland law, there are a large number of specific disclosure obligations that apply to assigning a retail shop lease:</w:t>
      </w:r>
    </w:p>
    <w:p w:rsidR="00152F9B" w:rsidRDefault="00152F9B" w:rsidP="00152F9B">
      <w:pPr>
        <w:pStyle w:val="ListParagraph"/>
        <w:numPr>
          <w:ilvl w:val="0"/>
          <w:numId w:val="9"/>
        </w:numPr>
        <w:rPr>
          <w:rFonts w:ascii="Arial" w:hAnsi="Arial" w:cs="Arial"/>
          <w:sz w:val="20"/>
          <w:szCs w:val="20"/>
        </w:rPr>
      </w:pPr>
      <w:r w:rsidRPr="00084487">
        <w:rPr>
          <w:rFonts w:ascii="Arial" w:hAnsi="Arial" w:cs="Arial"/>
          <w:sz w:val="20"/>
          <w:szCs w:val="20"/>
        </w:rPr>
        <w:t>The tenant must give the proposed assignee a disclosure statement at least 7 days before seeking the landlord’</w:t>
      </w:r>
      <w:r>
        <w:rPr>
          <w:rFonts w:ascii="Arial" w:hAnsi="Arial" w:cs="Arial"/>
          <w:sz w:val="20"/>
          <w:szCs w:val="20"/>
        </w:rPr>
        <w:t>s consent to the assignment;</w:t>
      </w:r>
    </w:p>
    <w:p w:rsidR="00152F9B" w:rsidRDefault="00152F9B" w:rsidP="00152F9B">
      <w:pPr>
        <w:pStyle w:val="ListParagraph"/>
        <w:numPr>
          <w:ilvl w:val="0"/>
          <w:numId w:val="9"/>
        </w:numPr>
        <w:rPr>
          <w:rFonts w:ascii="Arial" w:hAnsi="Arial" w:cs="Arial"/>
          <w:sz w:val="20"/>
          <w:szCs w:val="20"/>
        </w:rPr>
      </w:pPr>
      <w:r w:rsidRPr="00084487">
        <w:rPr>
          <w:rFonts w:ascii="Arial" w:hAnsi="Arial" w:cs="Arial"/>
          <w:sz w:val="20"/>
          <w:szCs w:val="20"/>
        </w:rPr>
        <w:t>The proposed assignee must give a disclosure statement to the tenant before the landlord is asked to consent to the assignment.</w:t>
      </w:r>
      <w:r>
        <w:rPr>
          <w:rStyle w:val="FootnoteReference"/>
          <w:rFonts w:ascii="Arial" w:hAnsi="Arial" w:cs="Arial"/>
          <w:sz w:val="20"/>
          <w:szCs w:val="20"/>
        </w:rPr>
        <w:footnoteReference w:id="11"/>
      </w:r>
    </w:p>
    <w:p w:rsidR="00152F9B" w:rsidRDefault="00152F9B" w:rsidP="00152F9B">
      <w:pPr>
        <w:pStyle w:val="ListParagraph"/>
        <w:numPr>
          <w:ilvl w:val="0"/>
          <w:numId w:val="9"/>
        </w:numPr>
        <w:rPr>
          <w:rFonts w:ascii="Arial" w:hAnsi="Arial" w:cs="Arial"/>
          <w:sz w:val="20"/>
          <w:szCs w:val="20"/>
        </w:rPr>
      </w:pPr>
      <w:r w:rsidRPr="00084487">
        <w:rPr>
          <w:rFonts w:ascii="Arial" w:hAnsi="Arial" w:cs="Arial"/>
          <w:sz w:val="20"/>
          <w:szCs w:val="20"/>
        </w:rPr>
        <w:t>The landlord must give the proposed assignee a disclosure statement and a copy of the lease at least 7 days before the assignment is entered into;</w:t>
      </w:r>
      <w:r>
        <w:rPr>
          <w:rFonts w:ascii="Arial" w:hAnsi="Arial" w:cs="Arial"/>
          <w:sz w:val="20"/>
          <w:szCs w:val="20"/>
        </w:rPr>
        <w:t xml:space="preserve"> and</w:t>
      </w:r>
    </w:p>
    <w:p w:rsidR="00152F9B" w:rsidRDefault="00152F9B" w:rsidP="00152F9B">
      <w:pPr>
        <w:pStyle w:val="ListParagraph"/>
        <w:numPr>
          <w:ilvl w:val="0"/>
          <w:numId w:val="9"/>
        </w:numPr>
        <w:rPr>
          <w:rFonts w:ascii="Arial" w:hAnsi="Arial" w:cs="Arial"/>
          <w:sz w:val="20"/>
          <w:szCs w:val="20"/>
        </w:rPr>
      </w:pPr>
      <w:r w:rsidRPr="00084487">
        <w:rPr>
          <w:rFonts w:ascii="Arial" w:hAnsi="Arial" w:cs="Arial"/>
          <w:sz w:val="20"/>
          <w:szCs w:val="20"/>
        </w:rPr>
        <w:t>The proposed assignee must give a disclosure statement to the landlord before the assignment is entered into.</w:t>
      </w:r>
      <w:r>
        <w:rPr>
          <w:rStyle w:val="FootnoteReference"/>
          <w:rFonts w:ascii="Arial" w:hAnsi="Arial" w:cs="Arial"/>
          <w:sz w:val="20"/>
          <w:szCs w:val="20"/>
        </w:rPr>
        <w:footnoteReference w:id="12"/>
      </w:r>
    </w:p>
    <w:p w:rsidR="00152F9B" w:rsidRDefault="00152F9B" w:rsidP="00152F9B">
      <w:pPr>
        <w:rPr>
          <w:rFonts w:ascii="Arial" w:hAnsi="Arial" w:cs="Arial"/>
          <w:sz w:val="20"/>
          <w:szCs w:val="20"/>
        </w:rPr>
      </w:pPr>
    </w:p>
    <w:p w:rsidR="00152F9B" w:rsidRPr="00174A3C" w:rsidRDefault="00152F9B" w:rsidP="00174A3C">
      <w:pPr>
        <w:pStyle w:val="ListParagraph"/>
        <w:numPr>
          <w:ilvl w:val="1"/>
          <w:numId w:val="21"/>
        </w:numPr>
        <w:rPr>
          <w:rFonts w:ascii="Arial" w:hAnsi="Arial" w:cs="Arial"/>
          <w:b/>
          <w:sz w:val="20"/>
          <w:szCs w:val="20"/>
        </w:rPr>
      </w:pPr>
      <w:r w:rsidRPr="00174A3C">
        <w:rPr>
          <w:rFonts w:ascii="Arial" w:hAnsi="Arial" w:cs="Arial"/>
          <w:b/>
          <w:sz w:val="20"/>
          <w:szCs w:val="20"/>
        </w:rPr>
        <w:t xml:space="preserve">Forfeiture </w:t>
      </w:r>
    </w:p>
    <w:p w:rsidR="00152F9B" w:rsidRDefault="00152F9B" w:rsidP="00152F9B">
      <w:pPr>
        <w:rPr>
          <w:rFonts w:ascii="Arial" w:hAnsi="Arial" w:cs="Arial"/>
          <w:sz w:val="20"/>
          <w:szCs w:val="20"/>
        </w:rPr>
      </w:pPr>
    </w:p>
    <w:p w:rsidR="00152F9B" w:rsidRDefault="00152F9B" w:rsidP="00152F9B">
      <w:pPr>
        <w:rPr>
          <w:rFonts w:ascii="Arial" w:hAnsi="Arial" w:cs="Arial"/>
          <w:sz w:val="20"/>
          <w:szCs w:val="20"/>
        </w:rPr>
      </w:pPr>
      <w:r>
        <w:rPr>
          <w:rFonts w:ascii="Arial" w:hAnsi="Arial" w:cs="Arial"/>
          <w:sz w:val="20"/>
          <w:szCs w:val="20"/>
        </w:rPr>
        <w:t>In Queensland, the right for the landlord to re-enter and forfeit a lease (any lease) is very similar to the provisions under Victorian law:</w:t>
      </w:r>
      <w:r>
        <w:rPr>
          <w:rStyle w:val="FootnoteReference"/>
          <w:rFonts w:ascii="Arial" w:hAnsi="Arial" w:cs="Arial"/>
          <w:sz w:val="20"/>
          <w:szCs w:val="20"/>
        </w:rPr>
        <w:footnoteReference w:id="13"/>
      </w:r>
    </w:p>
    <w:p w:rsidR="00152F9B" w:rsidRDefault="00152F9B" w:rsidP="00152F9B">
      <w:pPr>
        <w:pStyle w:val="ListParagraph"/>
        <w:numPr>
          <w:ilvl w:val="0"/>
          <w:numId w:val="10"/>
        </w:numPr>
        <w:rPr>
          <w:rFonts w:ascii="Arial" w:hAnsi="Arial" w:cs="Arial"/>
          <w:sz w:val="20"/>
          <w:szCs w:val="20"/>
        </w:rPr>
      </w:pPr>
      <w:r w:rsidRPr="00BA28AF">
        <w:rPr>
          <w:rFonts w:ascii="Arial" w:hAnsi="Arial" w:cs="Arial"/>
          <w:sz w:val="20"/>
          <w:szCs w:val="20"/>
        </w:rPr>
        <w:t xml:space="preserve">The landlord must give prior written notice to the </w:t>
      </w:r>
      <w:r>
        <w:rPr>
          <w:rFonts w:ascii="Arial" w:hAnsi="Arial" w:cs="Arial"/>
          <w:sz w:val="20"/>
          <w:szCs w:val="20"/>
        </w:rPr>
        <w:t xml:space="preserve">tenant specifying the breach, what is required to remedy the breach and any compensation sought for the breach. </w:t>
      </w:r>
    </w:p>
    <w:p w:rsidR="00152F9B" w:rsidRDefault="00152F9B" w:rsidP="00152F9B">
      <w:pPr>
        <w:pStyle w:val="ListParagraph"/>
        <w:numPr>
          <w:ilvl w:val="0"/>
          <w:numId w:val="10"/>
        </w:numPr>
        <w:rPr>
          <w:rFonts w:ascii="Arial" w:hAnsi="Arial" w:cs="Arial"/>
          <w:sz w:val="20"/>
          <w:szCs w:val="20"/>
        </w:rPr>
      </w:pPr>
      <w:r>
        <w:rPr>
          <w:rFonts w:ascii="Arial" w:hAnsi="Arial" w:cs="Arial"/>
          <w:sz w:val="20"/>
          <w:szCs w:val="20"/>
        </w:rPr>
        <w:t xml:space="preserve">The tenant has a </w:t>
      </w:r>
      <w:r w:rsidRPr="00BA28AF">
        <w:rPr>
          <w:rFonts w:ascii="Arial" w:hAnsi="Arial" w:cs="Arial"/>
          <w:sz w:val="20"/>
          <w:szCs w:val="20"/>
        </w:rPr>
        <w:t>“reasonable time</w:t>
      </w:r>
      <w:r>
        <w:rPr>
          <w:rFonts w:ascii="Arial" w:hAnsi="Arial" w:cs="Arial"/>
          <w:sz w:val="20"/>
          <w:szCs w:val="20"/>
        </w:rPr>
        <w:t xml:space="preserve">” to comply with the notice; </w:t>
      </w:r>
    </w:p>
    <w:p w:rsidR="00152F9B" w:rsidRDefault="00152F9B" w:rsidP="00152F9B">
      <w:pPr>
        <w:pStyle w:val="ListParagraph"/>
        <w:numPr>
          <w:ilvl w:val="0"/>
          <w:numId w:val="10"/>
        </w:numPr>
        <w:rPr>
          <w:rFonts w:ascii="Arial" w:hAnsi="Arial" w:cs="Arial"/>
          <w:sz w:val="20"/>
          <w:szCs w:val="20"/>
        </w:rPr>
      </w:pPr>
      <w:r>
        <w:rPr>
          <w:rFonts w:ascii="Arial" w:hAnsi="Arial" w:cs="Arial"/>
          <w:sz w:val="20"/>
          <w:szCs w:val="20"/>
        </w:rPr>
        <w:t xml:space="preserve">The tenant may apply to the Court for relief against forfeiture, e.g. costs, damages or injunction. </w:t>
      </w:r>
    </w:p>
    <w:p w:rsidR="00152F9B" w:rsidRPr="00286AB7" w:rsidRDefault="00152F9B" w:rsidP="00152F9B">
      <w:pPr>
        <w:rPr>
          <w:rFonts w:ascii="Arial" w:hAnsi="Arial" w:cs="Arial"/>
          <w:sz w:val="20"/>
          <w:szCs w:val="20"/>
        </w:rPr>
      </w:pPr>
    </w:p>
    <w:p w:rsidR="00152F9B" w:rsidRDefault="00152F9B" w:rsidP="00CA7849">
      <w:pPr>
        <w:rPr>
          <w:rFonts w:ascii="Arial" w:hAnsi="Arial" w:cs="Arial"/>
          <w:b/>
          <w:sz w:val="20"/>
          <w:szCs w:val="20"/>
        </w:rPr>
      </w:pPr>
    </w:p>
    <w:p w:rsidR="00FC32D4" w:rsidRPr="00174A3C" w:rsidRDefault="00FC32D4" w:rsidP="00174A3C">
      <w:pPr>
        <w:pStyle w:val="ListParagraph"/>
        <w:numPr>
          <w:ilvl w:val="0"/>
          <w:numId w:val="21"/>
        </w:numPr>
        <w:rPr>
          <w:rFonts w:ascii="Arial" w:hAnsi="Arial" w:cs="Arial"/>
          <w:b/>
          <w:sz w:val="20"/>
          <w:szCs w:val="20"/>
        </w:rPr>
      </w:pPr>
      <w:r w:rsidRPr="00174A3C">
        <w:rPr>
          <w:rFonts w:ascii="Arial" w:hAnsi="Arial" w:cs="Arial"/>
          <w:b/>
          <w:sz w:val="20"/>
          <w:szCs w:val="20"/>
        </w:rPr>
        <w:t>South Australia</w:t>
      </w:r>
    </w:p>
    <w:p w:rsidR="001B70CC" w:rsidRDefault="001B70CC" w:rsidP="00CA7849">
      <w:pPr>
        <w:rPr>
          <w:rFonts w:ascii="Arial" w:hAnsi="Arial" w:cs="Arial"/>
          <w:b/>
          <w:sz w:val="20"/>
          <w:szCs w:val="20"/>
        </w:rPr>
      </w:pPr>
    </w:p>
    <w:p w:rsidR="001B70CC" w:rsidRDefault="001B70CC" w:rsidP="00CA7849">
      <w:pPr>
        <w:rPr>
          <w:rFonts w:ascii="Arial" w:hAnsi="Arial" w:cs="Arial"/>
          <w:sz w:val="20"/>
          <w:szCs w:val="20"/>
        </w:rPr>
      </w:pPr>
      <w:r>
        <w:rPr>
          <w:rFonts w:ascii="Arial" w:hAnsi="Arial" w:cs="Arial"/>
          <w:sz w:val="20"/>
          <w:szCs w:val="20"/>
        </w:rPr>
        <w:t xml:space="preserve">In South Australia, commercial leases are governed by: </w:t>
      </w:r>
    </w:p>
    <w:p w:rsidR="001B70CC" w:rsidRDefault="001B70CC" w:rsidP="001B70CC">
      <w:pPr>
        <w:pStyle w:val="ListParagraph"/>
        <w:numPr>
          <w:ilvl w:val="0"/>
          <w:numId w:val="11"/>
        </w:numPr>
        <w:rPr>
          <w:rFonts w:ascii="Arial" w:hAnsi="Arial" w:cs="Arial"/>
          <w:sz w:val="20"/>
          <w:szCs w:val="20"/>
        </w:rPr>
      </w:pPr>
      <w:r w:rsidRPr="00270221">
        <w:rPr>
          <w:rFonts w:ascii="Arial" w:hAnsi="Arial" w:cs="Arial"/>
          <w:i/>
          <w:sz w:val="20"/>
          <w:szCs w:val="20"/>
        </w:rPr>
        <w:t>Retail and Commercial Leases Act 199</w:t>
      </w:r>
      <w:r w:rsidR="00270221">
        <w:rPr>
          <w:rFonts w:ascii="Arial" w:hAnsi="Arial" w:cs="Arial"/>
          <w:i/>
          <w:sz w:val="20"/>
          <w:szCs w:val="20"/>
        </w:rPr>
        <w:t>5</w:t>
      </w:r>
      <w:r w:rsidR="00174A3C">
        <w:rPr>
          <w:rFonts w:ascii="Arial" w:hAnsi="Arial" w:cs="Arial"/>
          <w:i/>
          <w:sz w:val="20"/>
          <w:szCs w:val="20"/>
        </w:rPr>
        <w:t xml:space="preserve">, </w:t>
      </w:r>
      <w:r w:rsidR="00174A3C" w:rsidRPr="00174A3C">
        <w:rPr>
          <w:rFonts w:ascii="Arial" w:hAnsi="Arial" w:cs="Arial"/>
          <w:sz w:val="20"/>
          <w:szCs w:val="20"/>
        </w:rPr>
        <w:t>which applies to all retail and certain commercial leases</w:t>
      </w:r>
      <w:r w:rsidR="00270221" w:rsidRPr="00270221">
        <w:rPr>
          <w:rFonts w:ascii="Arial" w:hAnsi="Arial" w:cs="Arial"/>
          <w:sz w:val="20"/>
          <w:szCs w:val="20"/>
        </w:rPr>
        <w:t>;</w:t>
      </w:r>
      <w:r>
        <w:rPr>
          <w:rStyle w:val="FootnoteReference"/>
          <w:rFonts w:ascii="Arial" w:hAnsi="Arial" w:cs="Arial"/>
          <w:sz w:val="20"/>
          <w:szCs w:val="20"/>
        </w:rPr>
        <w:footnoteReference w:id="14"/>
      </w:r>
    </w:p>
    <w:p w:rsidR="00174A3C" w:rsidRDefault="00174A3C" w:rsidP="001B70CC">
      <w:pPr>
        <w:pStyle w:val="ListParagraph"/>
        <w:numPr>
          <w:ilvl w:val="0"/>
          <w:numId w:val="11"/>
        </w:numPr>
        <w:rPr>
          <w:rFonts w:ascii="Arial" w:hAnsi="Arial" w:cs="Arial"/>
          <w:sz w:val="20"/>
          <w:szCs w:val="20"/>
        </w:rPr>
      </w:pPr>
      <w:r>
        <w:rPr>
          <w:rFonts w:ascii="Arial" w:hAnsi="Arial" w:cs="Arial"/>
          <w:i/>
          <w:sz w:val="20"/>
          <w:szCs w:val="20"/>
        </w:rPr>
        <w:t>Landlord and Tenant Act 1936</w:t>
      </w:r>
      <w:r>
        <w:rPr>
          <w:rFonts w:ascii="Arial" w:hAnsi="Arial" w:cs="Arial"/>
          <w:sz w:val="20"/>
          <w:szCs w:val="20"/>
        </w:rPr>
        <w:t>, which governs all leases that are not residential tenancy agreements;</w:t>
      </w:r>
      <w:r>
        <w:rPr>
          <w:rStyle w:val="FootnoteReference"/>
          <w:rFonts w:ascii="Arial" w:hAnsi="Arial" w:cs="Arial"/>
          <w:sz w:val="20"/>
          <w:szCs w:val="20"/>
        </w:rPr>
        <w:footnoteReference w:id="15"/>
      </w:r>
      <w:r>
        <w:rPr>
          <w:rFonts w:ascii="Arial" w:hAnsi="Arial" w:cs="Arial"/>
          <w:sz w:val="20"/>
          <w:szCs w:val="20"/>
        </w:rPr>
        <w:t xml:space="preserve"> and</w:t>
      </w:r>
    </w:p>
    <w:p w:rsidR="00270221" w:rsidRDefault="00174A3C" w:rsidP="001B70CC">
      <w:pPr>
        <w:pStyle w:val="ListParagraph"/>
        <w:numPr>
          <w:ilvl w:val="0"/>
          <w:numId w:val="11"/>
        </w:numPr>
        <w:rPr>
          <w:rFonts w:ascii="Arial" w:hAnsi="Arial" w:cs="Arial"/>
          <w:sz w:val="20"/>
          <w:szCs w:val="20"/>
        </w:rPr>
      </w:pPr>
      <w:r>
        <w:rPr>
          <w:rFonts w:ascii="Arial" w:hAnsi="Arial" w:cs="Arial"/>
          <w:sz w:val="20"/>
          <w:szCs w:val="20"/>
        </w:rPr>
        <w:t>the c</w:t>
      </w:r>
      <w:r w:rsidR="00270221">
        <w:rPr>
          <w:rFonts w:ascii="Arial" w:hAnsi="Arial" w:cs="Arial"/>
          <w:sz w:val="20"/>
          <w:szCs w:val="20"/>
        </w:rPr>
        <w:t xml:space="preserve">ommon law. </w:t>
      </w:r>
    </w:p>
    <w:p w:rsidR="00270221" w:rsidRDefault="00270221" w:rsidP="00270221">
      <w:pPr>
        <w:rPr>
          <w:rFonts w:ascii="Arial" w:hAnsi="Arial" w:cs="Arial"/>
          <w:sz w:val="20"/>
          <w:szCs w:val="20"/>
        </w:rPr>
      </w:pPr>
    </w:p>
    <w:p w:rsidR="00270221" w:rsidRPr="00174A3C" w:rsidRDefault="00270221" w:rsidP="00174A3C">
      <w:pPr>
        <w:pStyle w:val="ListParagraph"/>
        <w:numPr>
          <w:ilvl w:val="1"/>
          <w:numId w:val="21"/>
        </w:numPr>
        <w:rPr>
          <w:rFonts w:ascii="Arial" w:hAnsi="Arial" w:cs="Arial"/>
          <w:b/>
          <w:sz w:val="20"/>
          <w:szCs w:val="20"/>
        </w:rPr>
      </w:pPr>
      <w:r w:rsidRPr="00174A3C">
        <w:rPr>
          <w:rFonts w:ascii="Arial" w:hAnsi="Arial" w:cs="Arial"/>
          <w:b/>
          <w:sz w:val="20"/>
          <w:szCs w:val="20"/>
        </w:rPr>
        <w:t>Term of a retail lease</w:t>
      </w:r>
    </w:p>
    <w:p w:rsidR="00270221" w:rsidRDefault="00270221" w:rsidP="00270221">
      <w:pPr>
        <w:rPr>
          <w:rFonts w:ascii="Arial" w:hAnsi="Arial" w:cs="Arial"/>
          <w:sz w:val="20"/>
          <w:szCs w:val="20"/>
        </w:rPr>
      </w:pPr>
    </w:p>
    <w:p w:rsidR="00270221" w:rsidRDefault="00270221" w:rsidP="00270221">
      <w:pPr>
        <w:rPr>
          <w:rFonts w:ascii="Arial" w:hAnsi="Arial" w:cs="Arial"/>
          <w:sz w:val="20"/>
          <w:szCs w:val="20"/>
        </w:rPr>
      </w:pPr>
      <w:r>
        <w:rPr>
          <w:rFonts w:ascii="Arial" w:hAnsi="Arial" w:cs="Arial"/>
          <w:sz w:val="20"/>
          <w:szCs w:val="20"/>
        </w:rPr>
        <w:t>As with most other States</w:t>
      </w:r>
      <w:r w:rsidR="00B46724">
        <w:rPr>
          <w:rFonts w:ascii="Arial" w:hAnsi="Arial" w:cs="Arial"/>
          <w:sz w:val="20"/>
          <w:szCs w:val="20"/>
        </w:rPr>
        <w:t xml:space="preserve"> (except for Queensland)</w:t>
      </w:r>
      <w:r>
        <w:rPr>
          <w:rFonts w:ascii="Arial" w:hAnsi="Arial" w:cs="Arial"/>
          <w:sz w:val="20"/>
          <w:szCs w:val="20"/>
        </w:rPr>
        <w:t>, the minimum term of a retail lease in Sout</w:t>
      </w:r>
      <w:r w:rsidR="002B2388">
        <w:rPr>
          <w:rFonts w:ascii="Arial" w:hAnsi="Arial" w:cs="Arial"/>
          <w:sz w:val="20"/>
          <w:szCs w:val="20"/>
        </w:rPr>
        <w:t>h Australia must be five years.</w:t>
      </w:r>
      <w:r w:rsidR="002B2388">
        <w:rPr>
          <w:rStyle w:val="FootnoteReference"/>
          <w:rFonts w:ascii="Arial" w:hAnsi="Arial" w:cs="Arial"/>
          <w:sz w:val="20"/>
          <w:szCs w:val="20"/>
        </w:rPr>
        <w:footnoteReference w:id="16"/>
      </w:r>
      <w:r>
        <w:rPr>
          <w:rFonts w:ascii="Arial" w:hAnsi="Arial" w:cs="Arial"/>
          <w:sz w:val="20"/>
          <w:szCs w:val="20"/>
        </w:rPr>
        <w:t xml:space="preserve"> </w:t>
      </w:r>
    </w:p>
    <w:p w:rsidR="00270221" w:rsidRDefault="00270221" w:rsidP="00270221">
      <w:pPr>
        <w:rPr>
          <w:rFonts w:ascii="Arial" w:hAnsi="Arial" w:cs="Arial"/>
          <w:sz w:val="20"/>
          <w:szCs w:val="20"/>
        </w:rPr>
      </w:pPr>
    </w:p>
    <w:p w:rsidR="002B2388" w:rsidRDefault="002B2388" w:rsidP="002B2388">
      <w:pPr>
        <w:rPr>
          <w:rFonts w:ascii="Arial" w:hAnsi="Arial" w:cs="Arial"/>
          <w:sz w:val="20"/>
          <w:szCs w:val="20"/>
        </w:rPr>
      </w:pPr>
      <w:r>
        <w:rPr>
          <w:rFonts w:ascii="Arial" w:hAnsi="Arial" w:cs="Arial"/>
          <w:sz w:val="20"/>
          <w:szCs w:val="20"/>
        </w:rPr>
        <w:t xml:space="preserve">Between 6 to 12 months prior to the end of a retail lease, the landlord must give written notice to the tenant either: </w:t>
      </w:r>
    </w:p>
    <w:p w:rsidR="002B2388" w:rsidRDefault="002B2388" w:rsidP="002B2388">
      <w:pPr>
        <w:pStyle w:val="ListParagraph"/>
        <w:numPr>
          <w:ilvl w:val="0"/>
          <w:numId w:val="3"/>
        </w:numPr>
        <w:rPr>
          <w:rFonts w:ascii="Arial" w:hAnsi="Arial" w:cs="Arial"/>
          <w:sz w:val="20"/>
          <w:szCs w:val="20"/>
        </w:rPr>
      </w:pPr>
      <w:r>
        <w:rPr>
          <w:rFonts w:ascii="Arial" w:hAnsi="Arial" w:cs="Arial"/>
          <w:sz w:val="20"/>
          <w:szCs w:val="20"/>
        </w:rPr>
        <w:t>Offering a lease renewal; or</w:t>
      </w:r>
    </w:p>
    <w:p w:rsidR="002B2388" w:rsidRPr="00BA28AF" w:rsidRDefault="002B2388" w:rsidP="002B2388">
      <w:pPr>
        <w:pStyle w:val="ListParagraph"/>
        <w:numPr>
          <w:ilvl w:val="0"/>
          <w:numId w:val="3"/>
        </w:numPr>
        <w:rPr>
          <w:rFonts w:ascii="Arial" w:hAnsi="Arial" w:cs="Arial"/>
          <w:sz w:val="20"/>
          <w:szCs w:val="20"/>
        </w:rPr>
      </w:pPr>
      <w:r>
        <w:rPr>
          <w:rFonts w:ascii="Arial" w:hAnsi="Arial" w:cs="Arial"/>
          <w:sz w:val="20"/>
          <w:szCs w:val="20"/>
        </w:rPr>
        <w:t>Informing the tenant that the landlord does not intend to offer a renewal of lease.</w:t>
      </w:r>
      <w:r>
        <w:rPr>
          <w:rStyle w:val="FootnoteReference"/>
          <w:rFonts w:ascii="Arial" w:hAnsi="Arial" w:cs="Arial"/>
          <w:sz w:val="20"/>
          <w:szCs w:val="20"/>
        </w:rPr>
        <w:footnoteReference w:id="17"/>
      </w:r>
    </w:p>
    <w:p w:rsidR="002B2388" w:rsidRDefault="002B2388" w:rsidP="002B2388">
      <w:pPr>
        <w:rPr>
          <w:rFonts w:ascii="Arial" w:hAnsi="Arial" w:cs="Arial"/>
          <w:sz w:val="20"/>
          <w:szCs w:val="20"/>
        </w:rPr>
      </w:pPr>
    </w:p>
    <w:p w:rsidR="002B2388" w:rsidRDefault="002B2388" w:rsidP="002B2388">
      <w:pPr>
        <w:rPr>
          <w:rFonts w:ascii="Arial" w:hAnsi="Arial" w:cs="Arial"/>
          <w:sz w:val="20"/>
          <w:szCs w:val="20"/>
        </w:rPr>
      </w:pPr>
      <w:r>
        <w:rPr>
          <w:rFonts w:ascii="Arial" w:hAnsi="Arial" w:cs="Arial"/>
          <w:sz w:val="20"/>
          <w:szCs w:val="20"/>
        </w:rPr>
        <w:t xml:space="preserve">An offer to renew lease remains valid for one month after it is made. </w:t>
      </w:r>
    </w:p>
    <w:p w:rsidR="002B2388" w:rsidRPr="00CA7849" w:rsidRDefault="002B2388" w:rsidP="002B2388">
      <w:pPr>
        <w:rPr>
          <w:rFonts w:ascii="Arial" w:hAnsi="Arial" w:cs="Arial"/>
          <w:sz w:val="20"/>
          <w:szCs w:val="20"/>
        </w:rPr>
      </w:pPr>
    </w:p>
    <w:p w:rsidR="002B2388" w:rsidRPr="00BA28AF" w:rsidRDefault="002B2388" w:rsidP="002B2388">
      <w:pPr>
        <w:rPr>
          <w:rFonts w:ascii="Arial" w:hAnsi="Arial" w:cs="Arial"/>
          <w:sz w:val="20"/>
          <w:szCs w:val="20"/>
        </w:rPr>
      </w:pPr>
      <w:r>
        <w:rPr>
          <w:rFonts w:ascii="Arial" w:hAnsi="Arial" w:cs="Arial"/>
          <w:sz w:val="20"/>
          <w:szCs w:val="20"/>
        </w:rPr>
        <w:t xml:space="preserve">If the landlord fails to give notice within the timeframe and form required, the lease continues until </w:t>
      </w:r>
      <w:r w:rsidRPr="00BA28AF">
        <w:rPr>
          <w:rFonts w:ascii="Arial" w:hAnsi="Arial" w:cs="Arial"/>
          <w:sz w:val="20"/>
          <w:szCs w:val="20"/>
        </w:rPr>
        <w:t xml:space="preserve">at least six months after the landlord does give </w:t>
      </w:r>
      <w:r>
        <w:rPr>
          <w:rFonts w:ascii="Arial" w:hAnsi="Arial" w:cs="Arial"/>
          <w:sz w:val="20"/>
          <w:szCs w:val="20"/>
        </w:rPr>
        <w:t xml:space="preserve">notice. Alternatively, the tenant may give </w:t>
      </w:r>
      <w:r w:rsidR="00B46724">
        <w:rPr>
          <w:rFonts w:ascii="Arial" w:hAnsi="Arial" w:cs="Arial"/>
          <w:sz w:val="20"/>
          <w:szCs w:val="20"/>
        </w:rPr>
        <w:t xml:space="preserve">at least one month </w:t>
      </w:r>
      <w:r>
        <w:rPr>
          <w:rFonts w:ascii="Arial" w:hAnsi="Arial" w:cs="Arial"/>
          <w:sz w:val="20"/>
          <w:szCs w:val="20"/>
        </w:rPr>
        <w:t>writte</w:t>
      </w:r>
      <w:r w:rsidR="00B46724">
        <w:rPr>
          <w:rFonts w:ascii="Arial" w:hAnsi="Arial" w:cs="Arial"/>
          <w:sz w:val="20"/>
          <w:szCs w:val="20"/>
        </w:rPr>
        <w:t>n notice to terminate the lease.</w:t>
      </w:r>
    </w:p>
    <w:p w:rsidR="002B2388" w:rsidRDefault="002B2388" w:rsidP="00270221">
      <w:pPr>
        <w:rPr>
          <w:rFonts w:ascii="Arial" w:hAnsi="Arial" w:cs="Arial"/>
          <w:sz w:val="20"/>
          <w:szCs w:val="20"/>
        </w:rPr>
      </w:pPr>
    </w:p>
    <w:p w:rsidR="00270221" w:rsidRPr="00174A3C" w:rsidRDefault="00270221" w:rsidP="00174A3C">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Assignment </w:t>
      </w:r>
    </w:p>
    <w:p w:rsidR="00270221" w:rsidRPr="00270221" w:rsidRDefault="00270221" w:rsidP="00270221">
      <w:pPr>
        <w:pBdr>
          <w:top w:val="none" w:sz="0" w:space="0" w:color="auto"/>
          <w:left w:val="none" w:sz="0" w:space="0" w:color="auto"/>
          <w:bottom w:val="none" w:sz="0" w:space="0" w:color="auto"/>
          <w:right w:val="none" w:sz="0" w:space="0" w:color="auto"/>
        </w:pBdr>
        <w:rPr>
          <w:rFonts w:ascii="Arial" w:hAnsi="Arial" w:cs="Arial"/>
          <w:sz w:val="20"/>
          <w:szCs w:val="20"/>
        </w:rPr>
      </w:pPr>
    </w:p>
    <w:p w:rsidR="00270221" w:rsidRPr="00270221" w:rsidRDefault="00270221" w:rsidP="00270221">
      <w:pPr>
        <w:pBdr>
          <w:top w:val="none" w:sz="0" w:space="0" w:color="auto"/>
          <w:left w:val="none" w:sz="0" w:space="0" w:color="auto"/>
          <w:bottom w:val="none" w:sz="0" w:space="0" w:color="auto"/>
          <w:right w:val="none" w:sz="0" w:space="0" w:color="auto"/>
        </w:pBdr>
        <w:rPr>
          <w:rFonts w:ascii="Arial" w:hAnsi="Arial" w:cs="Arial"/>
          <w:sz w:val="20"/>
          <w:szCs w:val="20"/>
        </w:rPr>
      </w:pPr>
      <w:r w:rsidRPr="00270221">
        <w:rPr>
          <w:rFonts w:ascii="Arial" w:hAnsi="Arial" w:cs="Arial"/>
          <w:sz w:val="20"/>
          <w:szCs w:val="20"/>
        </w:rPr>
        <w:t>In order to assign a lease, the tenant must seek the landlord’</w:t>
      </w:r>
      <w:r>
        <w:rPr>
          <w:rFonts w:ascii="Arial" w:hAnsi="Arial" w:cs="Arial"/>
          <w:sz w:val="20"/>
          <w:szCs w:val="20"/>
        </w:rPr>
        <w:t>s consent in writing, and provide the landlord with information the landlord reasonably requires, including information about the financial standing and business experience of the proposed assignee.</w:t>
      </w:r>
      <w:r>
        <w:rPr>
          <w:rStyle w:val="FootnoteReference"/>
          <w:rFonts w:ascii="Arial" w:hAnsi="Arial" w:cs="Arial"/>
          <w:sz w:val="20"/>
          <w:szCs w:val="20"/>
        </w:rPr>
        <w:footnoteReference w:id="18"/>
      </w:r>
    </w:p>
    <w:p w:rsidR="00270221" w:rsidRPr="00270221" w:rsidRDefault="00270221" w:rsidP="00270221">
      <w:pPr>
        <w:pBdr>
          <w:top w:val="none" w:sz="0" w:space="0" w:color="auto"/>
          <w:left w:val="none" w:sz="0" w:space="0" w:color="auto"/>
          <w:bottom w:val="none" w:sz="0" w:space="0" w:color="auto"/>
          <w:right w:val="none" w:sz="0" w:space="0" w:color="auto"/>
        </w:pBdr>
        <w:rPr>
          <w:rFonts w:ascii="Arial" w:hAnsi="Arial" w:cs="Arial"/>
          <w:sz w:val="20"/>
          <w:szCs w:val="20"/>
        </w:rPr>
      </w:pPr>
    </w:p>
    <w:p w:rsidR="00270221" w:rsidRPr="00270221" w:rsidRDefault="00270221" w:rsidP="00270221">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The landlord is deemed to have consented to the lease after 42 days without a response, and </w:t>
      </w:r>
      <w:r w:rsidRPr="00270221">
        <w:rPr>
          <w:rFonts w:ascii="Arial" w:hAnsi="Arial" w:cs="Arial"/>
          <w:sz w:val="20"/>
          <w:szCs w:val="20"/>
        </w:rPr>
        <w:t>may only withhold consent to an assignment if:</w:t>
      </w:r>
    </w:p>
    <w:p w:rsidR="00270221" w:rsidRPr="00270221" w:rsidRDefault="00270221" w:rsidP="00270221">
      <w:pPr>
        <w:pStyle w:val="ListParagraph"/>
        <w:numPr>
          <w:ilvl w:val="0"/>
          <w:numId w:val="12"/>
        </w:numPr>
        <w:pBdr>
          <w:top w:val="none" w:sz="0" w:space="0" w:color="auto"/>
          <w:left w:val="none" w:sz="0" w:space="0" w:color="auto"/>
          <w:bottom w:val="none" w:sz="0" w:space="0" w:color="auto"/>
          <w:right w:val="none" w:sz="0" w:space="0" w:color="auto"/>
        </w:pBdr>
        <w:rPr>
          <w:rFonts w:ascii="Arial" w:hAnsi="Arial" w:cs="Arial"/>
          <w:sz w:val="20"/>
          <w:szCs w:val="20"/>
        </w:rPr>
      </w:pPr>
      <w:r w:rsidRPr="00270221">
        <w:rPr>
          <w:rFonts w:ascii="Arial" w:hAnsi="Arial" w:cs="Arial"/>
          <w:sz w:val="20"/>
          <w:szCs w:val="20"/>
        </w:rPr>
        <w:t xml:space="preserve">The proposed assignee proposes to change use; </w:t>
      </w:r>
    </w:p>
    <w:p w:rsidR="00270221" w:rsidRPr="00270221" w:rsidRDefault="00270221" w:rsidP="00270221">
      <w:pPr>
        <w:pStyle w:val="ListParagraph"/>
        <w:numPr>
          <w:ilvl w:val="0"/>
          <w:numId w:val="12"/>
        </w:numPr>
        <w:pBdr>
          <w:top w:val="none" w:sz="0" w:space="0" w:color="auto"/>
          <w:left w:val="none" w:sz="0" w:space="0" w:color="auto"/>
          <w:bottom w:val="none" w:sz="0" w:space="0" w:color="auto"/>
          <w:right w:val="none" w:sz="0" w:space="0" w:color="auto"/>
        </w:pBdr>
        <w:rPr>
          <w:rFonts w:ascii="Arial" w:hAnsi="Arial" w:cs="Arial"/>
          <w:sz w:val="20"/>
          <w:szCs w:val="20"/>
        </w:rPr>
      </w:pPr>
      <w:r w:rsidRPr="00270221">
        <w:rPr>
          <w:rFonts w:ascii="Arial" w:hAnsi="Arial" w:cs="Arial"/>
          <w:sz w:val="20"/>
          <w:szCs w:val="20"/>
        </w:rPr>
        <w:t xml:space="preserve">The proposed assignee is unlikely to be able to meet his/her financial obligations under the lease; </w:t>
      </w:r>
    </w:p>
    <w:p w:rsidR="00270221" w:rsidRPr="00270221" w:rsidRDefault="00270221" w:rsidP="00270221">
      <w:pPr>
        <w:pStyle w:val="ListParagraph"/>
        <w:numPr>
          <w:ilvl w:val="0"/>
          <w:numId w:val="12"/>
        </w:numPr>
        <w:pBdr>
          <w:top w:val="none" w:sz="0" w:space="0" w:color="auto"/>
          <w:left w:val="none" w:sz="0" w:space="0" w:color="auto"/>
          <w:bottom w:val="none" w:sz="0" w:space="0" w:color="auto"/>
          <w:right w:val="none" w:sz="0" w:space="0" w:color="auto"/>
        </w:pBdr>
        <w:rPr>
          <w:rFonts w:ascii="Arial" w:hAnsi="Arial" w:cs="Arial"/>
          <w:sz w:val="20"/>
          <w:szCs w:val="20"/>
        </w:rPr>
      </w:pPr>
      <w:r w:rsidRPr="00270221">
        <w:rPr>
          <w:rFonts w:ascii="Arial" w:hAnsi="Arial" w:cs="Arial"/>
          <w:sz w:val="20"/>
          <w:szCs w:val="20"/>
        </w:rPr>
        <w:t xml:space="preserve">The assignee has inferior retail skills to the current tenant; or </w:t>
      </w:r>
    </w:p>
    <w:p w:rsidR="00270221" w:rsidRPr="00270221" w:rsidRDefault="00270221" w:rsidP="00270221">
      <w:pPr>
        <w:pStyle w:val="ListParagraph"/>
        <w:numPr>
          <w:ilvl w:val="0"/>
          <w:numId w:val="12"/>
        </w:numPr>
        <w:pBdr>
          <w:top w:val="none" w:sz="0" w:space="0" w:color="auto"/>
          <w:left w:val="none" w:sz="0" w:space="0" w:color="auto"/>
          <w:bottom w:val="none" w:sz="0" w:space="0" w:color="auto"/>
          <w:right w:val="none" w:sz="0" w:space="0" w:color="auto"/>
        </w:pBdr>
        <w:rPr>
          <w:rFonts w:ascii="Arial" w:hAnsi="Arial" w:cs="Arial"/>
          <w:sz w:val="20"/>
          <w:szCs w:val="20"/>
        </w:rPr>
      </w:pPr>
      <w:r w:rsidRPr="00270221">
        <w:rPr>
          <w:rFonts w:ascii="Arial" w:hAnsi="Arial" w:cs="Arial"/>
          <w:sz w:val="20"/>
          <w:szCs w:val="20"/>
        </w:rPr>
        <w:t>The tenant has not complie</w:t>
      </w:r>
      <w:r>
        <w:rPr>
          <w:rFonts w:ascii="Arial" w:hAnsi="Arial" w:cs="Arial"/>
          <w:sz w:val="20"/>
          <w:szCs w:val="20"/>
        </w:rPr>
        <w:t>d with procedural requirements.</w:t>
      </w:r>
      <w:r>
        <w:rPr>
          <w:rStyle w:val="FootnoteReference"/>
          <w:rFonts w:ascii="Arial" w:hAnsi="Arial" w:cs="Arial"/>
          <w:sz w:val="20"/>
          <w:szCs w:val="20"/>
        </w:rPr>
        <w:footnoteReference w:id="19"/>
      </w:r>
    </w:p>
    <w:p w:rsidR="00270221" w:rsidRPr="00270221" w:rsidRDefault="00270221" w:rsidP="00270221">
      <w:pPr>
        <w:pBdr>
          <w:top w:val="none" w:sz="0" w:space="0" w:color="auto"/>
          <w:left w:val="none" w:sz="0" w:space="0" w:color="auto"/>
          <w:bottom w:val="none" w:sz="0" w:space="0" w:color="auto"/>
          <w:right w:val="none" w:sz="0" w:space="0" w:color="auto"/>
        </w:pBdr>
        <w:rPr>
          <w:rFonts w:ascii="Arial" w:hAnsi="Arial" w:cs="Arial"/>
          <w:b/>
          <w:sz w:val="20"/>
          <w:szCs w:val="20"/>
        </w:rPr>
      </w:pPr>
    </w:p>
    <w:p w:rsidR="00270221" w:rsidRPr="00174A3C" w:rsidRDefault="00270221" w:rsidP="00174A3C">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Forfeiture</w:t>
      </w:r>
    </w:p>
    <w:p w:rsidR="001B70CC" w:rsidRDefault="001B70CC" w:rsidP="00270221">
      <w:pPr>
        <w:rPr>
          <w:rFonts w:ascii="Arial" w:hAnsi="Arial" w:cs="Arial"/>
          <w:sz w:val="20"/>
          <w:szCs w:val="20"/>
        </w:rPr>
      </w:pPr>
    </w:p>
    <w:p w:rsidR="00547D46" w:rsidRDefault="00174A3C" w:rsidP="00270221">
      <w:pPr>
        <w:rPr>
          <w:rFonts w:ascii="Arial" w:hAnsi="Arial" w:cs="Arial"/>
          <w:sz w:val="20"/>
          <w:szCs w:val="20"/>
        </w:rPr>
      </w:pPr>
      <w:r>
        <w:rPr>
          <w:rFonts w:ascii="Arial" w:hAnsi="Arial" w:cs="Arial"/>
          <w:sz w:val="20"/>
          <w:szCs w:val="20"/>
        </w:rPr>
        <w:t>In South Australia, if the tenant is in arrears for half a year’s rent, and the landlord has the right (under the lease) to enforce a right of re-entry or forfeiture, the landlord may bring proceedings against the tenant to re-enter the premises or forfeit the lease, and seek recovery of the rent.</w:t>
      </w:r>
      <w:r>
        <w:rPr>
          <w:rStyle w:val="FootnoteReference"/>
          <w:rFonts w:ascii="Arial" w:hAnsi="Arial" w:cs="Arial"/>
          <w:sz w:val="20"/>
          <w:szCs w:val="20"/>
        </w:rPr>
        <w:footnoteReference w:id="20"/>
      </w:r>
    </w:p>
    <w:p w:rsidR="00174A3C" w:rsidRDefault="00174A3C" w:rsidP="00270221">
      <w:pPr>
        <w:rPr>
          <w:rFonts w:ascii="Arial" w:hAnsi="Arial" w:cs="Arial"/>
          <w:sz w:val="20"/>
          <w:szCs w:val="20"/>
        </w:rPr>
      </w:pPr>
    </w:p>
    <w:p w:rsidR="00174A3C" w:rsidRDefault="00174A3C" w:rsidP="00270221">
      <w:pPr>
        <w:rPr>
          <w:rFonts w:ascii="Arial" w:hAnsi="Arial" w:cs="Arial"/>
          <w:sz w:val="20"/>
          <w:szCs w:val="20"/>
        </w:rPr>
      </w:pPr>
      <w:r>
        <w:rPr>
          <w:rFonts w:ascii="Arial" w:hAnsi="Arial" w:cs="Arial"/>
          <w:sz w:val="20"/>
          <w:szCs w:val="20"/>
        </w:rPr>
        <w:t>Prior to doing so, the landlord must serve a notice on the tenant specifying the breach, the remedy (if applicable) and compensation for the breach. The tenant must comply within a “reasonable time”.</w:t>
      </w:r>
      <w:r>
        <w:rPr>
          <w:rStyle w:val="FootnoteReference"/>
          <w:rFonts w:ascii="Arial" w:hAnsi="Arial" w:cs="Arial"/>
          <w:sz w:val="20"/>
          <w:szCs w:val="20"/>
        </w:rPr>
        <w:footnoteReference w:id="21"/>
      </w:r>
      <w:r>
        <w:rPr>
          <w:rFonts w:ascii="Arial" w:hAnsi="Arial" w:cs="Arial"/>
          <w:sz w:val="20"/>
          <w:szCs w:val="20"/>
        </w:rPr>
        <w:t xml:space="preserve"> </w:t>
      </w:r>
    </w:p>
    <w:p w:rsidR="00174A3C" w:rsidRPr="00270221" w:rsidRDefault="00174A3C" w:rsidP="00270221">
      <w:pPr>
        <w:rPr>
          <w:rFonts w:ascii="Arial" w:hAnsi="Arial" w:cs="Arial"/>
          <w:sz w:val="20"/>
          <w:szCs w:val="20"/>
        </w:rPr>
      </w:pPr>
    </w:p>
    <w:p w:rsidR="00FC32D4" w:rsidRPr="00174A3C" w:rsidRDefault="00FC32D4" w:rsidP="00174A3C">
      <w:pPr>
        <w:pStyle w:val="ListParagraph"/>
        <w:numPr>
          <w:ilvl w:val="0"/>
          <w:numId w:val="21"/>
        </w:numPr>
        <w:rPr>
          <w:rFonts w:ascii="Arial" w:hAnsi="Arial" w:cs="Arial"/>
          <w:b/>
          <w:sz w:val="20"/>
          <w:szCs w:val="20"/>
        </w:rPr>
      </w:pPr>
      <w:r w:rsidRPr="00174A3C">
        <w:rPr>
          <w:rFonts w:ascii="Arial" w:hAnsi="Arial" w:cs="Arial"/>
          <w:b/>
          <w:sz w:val="20"/>
          <w:szCs w:val="20"/>
        </w:rPr>
        <w:t xml:space="preserve">Western Australia </w:t>
      </w:r>
    </w:p>
    <w:p w:rsidR="00B46724" w:rsidRDefault="00B46724" w:rsidP="00CA7849">
      <w:pPr>
        <w:rPr>
          <w:rFonts w:ascii="Arial" w:hAnsi="Arial" w:cs="Arial"/>
          <w:b/>
          <w:sz w:val="20"/>
          <w:szCs w:val="20"/>
        </w:rPr>
      </w:pPr>
    </w:p>
    <w:p w:rsidR="00B46724" w:rsidRDefault="00B46724" w:rsidP="00B46724">
      <w:pPr>
        <w:rPr>
          <w:rFonts w:ascii="Arial" w:hAnsi="Arial" w:cs="Arial"/>
          <w:sz w:val="20"/>
          <w:szCs w:val="20"/>
        </w:rPr>
      </w:pPr>
      <w:r>
        <w:rPr>
          <w:rFonts w:ascii="Arial" w:hAnsi="Arial" w:cs="Arial"/>
          <w:sz w:val="20"/>
          <w:szCs w:val="20"/>
        </w:rPr>
        <w:t xml:space="preserve">In Western Australia, commercial leases are governed by: </w:t>
      </w:r>
    </w:p>
    <w:p w:rsidR="00B46724" w:rsidRDefault="00B46724" w:rsidP="00B46724">
      <w:pPr>
        <w:pStyle w:val="ListParagraph"/>
        <w:numPr>
          <w:ilvl w:val="0"/>
          <w:numId w:val="13"/>
        </w:numPr>
        <w:rPr>
          <w:rFonts w:ascii="Arial" w:hAnsi="Arial" w:cs="Arial"/>
          <w:sz w:val="20"/>
          <w:szCs w:val="20"/>
        </w:rPr>
      </w:pPr>
      <w:r>
        <w:rPr>
          <w:rFonts w:ascii="Arial" w:hAnsi="Arial" w:cs="Arial"/>
          <w:i/>
          <w:sz w:val="20"/>
          <w:szCs w:val="20"/>
        </w:rPr>
        <w:t>Commercial Tenancy (Retail Shops) Agreements Act 1985</w:t>
      </w:r>
      <w:r w:rsidR="000A3E43">
        <w:rPr>
          <w:rFonts w:ascii="Arial" w:hAnsi="Arial" w:cs="Arial"/>
          <w:sz w:val="20"/>
          <w:szCs w:val="20"/>
        </w:rPr>
        <w:t xml:space="preserve"> for retail shop leases</w:t>
      </w:r>
      <w:r w:rsidRPr="00270221">
        <w:rPr>
          <w:rFonts w:ascii="Arial" w:hAnsi="Arial" w:cs="Arial"/>
          <w:sz w:val="20"/>
          <w:szCs w:val="20"/>
        </w:rPr>
        <w:t>;</w:t>
      </w:r>
      <w:r>
        <w:rPr>
          <w:rStyle w:val="FootnoteReference"/>
          <w:rFonts w:ascii="Arial" w:hAnsi="Arial" w:cs="Arial"/>
          <w:sz w:val="20"/>
          <w:szCs w:val="20"/>
        </w:rPr>
        <w:footnoteReference w:id="22"/>
      </w:r>
    </w:p>
    <w:p w:rsidR="00E178C6" w:rsidRDefault="00E178C6" w:rsidP="00B46724">
      <w:pPr>
        <w:pStyle w:val="ListParagraph"/>
        <w:numPr>
          <w:ilvl w:val="0"/>
          <w:numId w:val="13"/>
        </w:numPr>
        <w:rPr>
          <w:rFonts w:ascii="Arial" w:hAnsi="Arial" w:cs="Arial"/>
          <w:sz w:val="20"/>
          <w:szCs w:val="20"/>
        </w:rPr>
      </w:pPr>
      <w:r>
        <w:rPr>
          <w:rFonts w:ascii="Arial" w:hAnsi="Arial" w:cs="Arial"/>
          <w:i/>
          <w:sz w:val="20"/>
          <w:szCs w:val="20"/>
        </w:rPr>
        <w:t>Property Law Act 1969;</w:t>
      </w:r>
      <w:r>
        <w:rPr>
          <w:rStyle w:val="FootnoteReference"/>
          <w:rFonts w:ascii="Arial" w:hAnsi="Arial" w:cs="Arial"/>
          <w:i/>
          <w:sz w:val="20"/>
          <w:szCs w:val="20"/>
        </w:rPr>
        <w:footnoteReference w:id="23"/>
      </w:r>
      <w:r>
        <w:rPr>
          <w:rFonts w:ascii="Arial" w:hAnsi="Arial" w:cs="Arial"/>
          <w:i/>
          <w:sz w:val="20"/>
          <w:szCs w:val="20"/>
        </w:rPr>
        <w:t xml:space="preserve"> and</w:t>
      </w:r>
    </w:p>
    <w:p w:rsidR="00B46724" w:rsidRDefault="00E178C6" w:rsidP="00B46724">
      <w:pPr>
        <w:pStyle w:val="ListParagraph"/>
        <w:numPr>
          <w:ilvl w:val="0"/>
          <w:numId w:val="13"/>
        </w:numPr>
        <w:rPr>
          <w:rFonts w:ascii="Arial" w:hAnsi="Arial" w:cs="Arial"/>
          <w:sz w:val="20"/>
          <w:szCs w:val="20"/>
        </w:rPr>
      </w:pPr>
      <w:r>
        <w:rPr>
          <w:rFonts w:ascii="Arial" w:hAnsi="Arial" w:cs="Arial"/>
          <w:sz w:val="20"/>
          <w:szCs w:val="20"/>
        </w:rPr>
        <w:t>the c</w:t>
      </w:r>
      <w:r w:rsidR="00B46724">
        <w:rPr>
          <w:rFonts w:ascii="Arial" w:hAnsi="Arial" w:cs="Arial"/>
          <w:sz w:val="20"/>
          <w:szCs w:val="20"/>
        </w:rPr>
        <w:t xml:space="preserve">ommon law. </w:t>
      </w:r>
    </w:p>
    <w:p w:rsidR="00B46724" w:rsidRDefault="00B46724" w:rsidP="00CA7849">
      <w:pPr>
        <w:rPr>
          <w:rFonts w:ascii="Arial" w:hAnsi="Arial" w:cs="Arial"/>
          <w:b/>
          <w:sz w:val="20"/>
          <w:szCs w:val="20"/>
        </w:rPr>
      </w:pPr>
    </w:p>
    <w:p w:rsidR="00B46724" w:rsidRPr="00174A3C" w:rsidRDefault="00B46724" w:rsidP="00E178C6">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Term of a retail lease</w:t>
      </w:r>
    </w:p>
    <w:p w:rsidR="00B46724" w:rsidRDefault="00B46724" w:rsidP="00B46724">
      <w:pPr>
        <w:pBdr>
          <w:top w:val="none" w:sz="0" w:space="0" w:color="auto"/>
          <w:left w:val="none" w:sz="0" w:space="0" w:color="auto"/>
          <w:bottom w:val="none" w:sz="0" w:space="0" w:color="auto"/>
          <w:right w:val="none" w:sz="0" w:space="0" w:color="auto"/>
        </w:pBdr>
        <w:rPr>
          <w:rFonts w:ascii="Arial" w:hAnsi="Arial" w:cs="Arial"/>
          <w:b/>
          <w:sz w:val="20"/>
          <w:szCs w:val="20"/>
        </w:rPr>
      </w:pPr>
    </w:p>
    <w:p w:rsidR="00DE3351" w:rsidRDefault="00DE3351" w:rsidP="00DE3351">
      <w:pPr>
        <w:rPr>
          <w:rFonts w:ascii="Arial" w:hAnsi="Arial" w:cs="Arial"/>
          <w:sz w:val="20"/>
          <w:szCs w:val="20"/>
        </w:rPr>
      </w:pPr>
      <w:r>
        <w:rPr>
          <w:rFonts w:ascii="Arial" w:hAnsi="Arial" w:cs="Arial"/>
          <w:sz w:val="20"/>
          <w:szCs w:val="20"/>
        </w:rPr>
        <w:t>As with most other States (except for Queensland), the minimum term of a retail lease in Western Australia must be five years.</w:t>
      </w:r>
      <w:r>
        <w:rPr>
          <w:rStyle w:val="FootnoteReference"/>
          <w:rFonts w:ascii="Arial" w:hAnsi="Arial" w:cs="Arial"/>
          <w:sz w:val="20"/>
          <w:szCs w:val="20"/>
        </w:rPr>
        <w:footnoteReference w:id="24"/>
      </w:r>
      <w:r>
        <w:rPr>
          <w:rFonts w:ascii="Arial" w:hAnsi="Arial" w:cs="Arial"/>
          <w:sz w:val="20"/>
          <w:szCs w:val="20"/>
        </w:rPr>
        <w:t xml:space="preserve"> </w:t>
      </w:r>
      <w:r w:rsidR="00394EEE">
        <w:rPr>
          <w:rFonts w:ascii="Arial" w:hAnsi="Arial" w:cs="Arial"/>
          <w:sz w:val="20"/>
          <w:szCs w:val="20"/>
        </w:rPr>
        <w:t xml:space="preserve">However, Western Australia differs from other State </w:t>
      </w:r>
      <w:r w:rsidR="00145181">
        <w:rPr>
          <w:rFonts w:ascii="Arial" w:hAnsi="Arial" w:cs="Arial"/>
          <w:sz w:val="20"/>
          <w:szCs w:val="20"/>
        </w:rPr>
        <w:t xml:space="preserve">in that </w:t>
      </w:r>
      <w:r w:rsidR="00394EEE">
        <w:rPr>
          <w:rFonts w:ascii="Arial" w:hAnsi="Arial" w:cs="Arial"/>
          <w:sz w:val="20"/>
          <w:szCs w:val="20"/>
        </w:rPr>
        <w:t xml:space="preserve">if the term of a lease is more than 6 months </w:t>
      </w:r>
      <w:r w:rsidR="00145181">
        <w:rPr>
          <w:rFonts w:ascii="Arial" w:hAnsi="Arial" w:cs="Arial"/>
          <w:sz w:val="20"/>
          <w:szCs w:val="20"/>
        </w:rPr>
        <w:t xml:space="preserve">but </w:t>
      </w:r>
      <w:r w:rsidR="00394EEE">
        <w:rPr>
          <w:rFonts w:ascii="Arial" w:hAnsi="Arial" w:cs="Arial"/>
          <w:sz w:val="20"/>
          <w:szCs w:val="20"/>
        </w:rPr>
        <w:t xml:space="preserve">less than 5 years, then the lease is deemed to give an option to the tenant </w:t>
      </w:r>
      <w:r w:rsidR="00145181">
        <w:rPr>
          <w:rFonts w:ascii="Arial" w:hAnsi="Arial" w:cs="Arial"/>
          <w:sz w:val="20"/>
          <w:szCs w:val="20"/>
        </w:rPr>
        <w:t xml:space="preserve">extend the term so that </w:t>
      </w:r>
      <w:r w:rsidR="00394EEE">
        <w:rPr>
          <w:rFonts w:ascii="Arial" w:hAnsi="Arial" w:cs="Arial"/>
          <w:sz w:val="20"/>
          <w:szCs w:val="20"/>
        </w:rPr>
        <w:t xml:space="preserve">the total </w:t>
      </w:r>
      <w:r w:rsidR="00145181">
        <w:rPr>
          <w:rFonts w:ascii="Arial" w:hAnsi="Arial" w:cs="Arial"/>
          <w:sz w:val="20"/>
          <w:szCs w:val="20"/>
        </w:rPr>
        <w:t xml:space="preserve">length of the </w:t>
      </w:r>
      <w:r w:rsidR="00394EEE">
        <w:rPr>
          <w:rFonts w:ascii="Arial" w:hAnsi="Arial" w:cs="Arial"/>
          <w:sz w:val="20"/>
          <w:szCs w:val="20"/>
        </w:rPr>
        <w:t>term</w:t>
      </w:r>
      <w:r w:rsidR="00145181">
        <w:rPr>
          <w:rFonts w:ascii="Arial" w:hAnsi="Arial" w:cs="Arial"/>
          <w:sz w:val="20"/>
          <w:szCs w:val="20"/>
        </w:rPr>
        <w:t>s</w:t>
      </w:r>
      <w:r w:rsidR="00394EEE">
        <w:rPr>
          <w:rFonts w:ascii="Arial" w:hAnsi="Arial" w:cs="Arial"/>
          <w:sz w:val="20"/>
          <w:szCs w:val="20"/>
        </w:rPr>
        <w:t xml:space="preserve"> </w:t>
      </w:r>
      <w:r w:rsidR="00145181">
        <w:rPr>
          <w:rFonts w:ascii="Arial" w:hAnsi="Arial" w:cs="Arial"/>
          <w:sz w:val="20"/>
          <w:szCs w:val="20"/>
        </w:rPr>
        <w:t xml:space="preserve">amount </w:t>
      </w:r>
      <w:r w:rsidR="00394EEE">
        <w:rPr>
          <w:rFonts w:ascii="Arial" w:hAnsi="Arial" w:cs="Arial"/>
          <w:sz w:val="20"/>
          <w:szCs w:val="20"/>
        </w:rPr>
        <w:t xml:space="preserve">to five years. </w:t>
      </w:r>
    </w:p>
    <w:p w:rsidR="00DE3351" w:rsidRDefault="00DE3351" w:rsidP="00DE3351">
      <w:pPr>
        <w:rPr>
          <w:rFonts w:ascii="Arial" w:hAnsi="Arial" w:cs="Arial"/>
          <w:sz w:val="20"/>
          <w:szCs w:val="20"/>
        </w:rPr>
      </w:pPr>
    </w:p>
    <w:p w:rsidR="00DE3351" w:rsidRDefault="00F01925" w:rsidP="00DE3351">
      <w:pPr>
        <w:rPr>
          <w:rFonts w:ascii="Arial" w:hAnsi="Arial" w:cs="Arial"/>
          <w:sz w:val="20"/>
          <w:szCs w:val="20"/>
        </w:rPr>
      </w:pPr>
      <w:r>
        <w:rPr>
          <w:rFonts w:ascii="Arial" w:hAnsi="Arial" w:cs="Arial"/>
          <w:sz w:val="20"/>
          <w:szCs w:val="20"/>
        </w:rPr>
        <w:t>If the lease does not provide for an option to renew, then the tenant may request in writing that the landlord provide a statement of intentions within 12 months before the expiry of the lease.</w:t>
      </w:r>
      <w:r w:rsidR="00394EEE">
        <w:rPr>
          <w:rStyle w:val="FootnoteReference"/>
          <w:rFonts w:ascii="Arial" w:hAnsi="Arial" w:cs="Arial"/>
          <w:sz w:val="20"/>
          <w:szCs w:val="20"/>
        </w:rPr>
        <w:footnoteReference w:id="25"/>
      </w:r>
      <w:r>
        <w:rPr>
          <w:rFonts w:ascii="Arial" w:hAnsi="Arial" w:cs="Arial"/>
          <w:sz w:val="20"/>
          <w:szCs w:val="20"/>
        </w:rPr>
        <w:t xml:space="preserve"> The landlord must giv</w:t>
      </w:r>
      <w:r w:rsidR="00547D46">
        <w:rPr>
          <w:rFonts w:ascii="Arial" w:hAnsi="Arial" w:cs="Arial"/>
          <w:sz w:val="20"/>
          <w:szCs w:val="20"/>
        </w:rPr>
        <w:t>e the statement within 30 days. Failure to provide the statement will result in the lease being extended for the period of the failure to comply. The tenant may terminate during this period by giving written notice of the date of termination.</w:t>
      </w:r>
    </w:p>
    <w:p w:rsidR="00145181" w:rsidRDefault="00145181" w:rsidP="00DE3351">
      <w:pPr>
        <w:rPr>
          <w:rFonts w:ascii="Arial" w:hAnsi="Arial" w:cs="Arial"/>
          <w:sz w:val="20"/>
          <w:szCs w:val="20"/>
        </w:rPr>
      </w:pPr>
    </w:p>
    <w:p w:rsidR="00394EEE" w:rsidRDefault="00394EEE" w:rsidP="00DE3351">
      <w:pPr>
        <w:rPr>
          <w:rFonts w:ascii="Arial" w:hAnsi="Arial" w:cs="Arial"/>
          <w:sz w:val="20"/>
          <w:szCs w:val="20"/>
        </w:rPr>
      </w:pPr>
      <w:r>
        <w:rPr>
          <w:rFonts w:ascii="Arial" w:hAnsi="Arial" w:cs="Arial"/>
          <w:sz w:val="20"/>
          <w:szCs w:val="20"/>
        </w:rPr>
        <w:t xml:space="preserve">If the lease </w:t>
      </w:r>
      <w:r w:rsidR="00145181">
        <w:rPr>
          <w:rFonts w:ascii="Arial" w:hAnsi="Arial" w:cs="Arial"/>
          <w:sz w:val="20"/>
          <w:szCs w:val="20"/>
        </w:rPr>
        <w:t>provides for</w:t>
      </w:r>
      <w:r>
        <w:rPr>
          <w:rFonts w:ascii="Arial" w:hAnsi="Arial" w:cs="Arial"/>
          <w:sz w:val="20"/>
          <w:szCs w:val="20"/>
        </w:rPr>
        <w:t xml:space="preserve"> an option, </w:t>
      </w:r>
      <w:r w:rsidR="00145181">
        <w:rPr>
          <w:rFonts w:ascii="Arial" w:hAnsi="Arial" w:cs="Arial"/>
          <w:sz w:val="20"/>
          <w:szCs w:val="20"/>
        </w:rPr>
        <w:t>the landlord must notify the tenant the date after which the option is no longer exercisable. The timeframe for doing this is between 6 to 12 months before the last day to exercise the option.</w:t>
      </w:r>
      <w:r w:rsidR="00145181">
        <w:rPr>
          <w:rStyle w:val="FootnoteReference"/>
          <w:rFonts w:ascii="Arial" w:hAnsi="Arial" w:cs="Arial"/>
          <w:sz w:val="20"/>
          <w:szCs w:val="20"/>
        </w:rPr>
        <w:footnoteReference w:id="26"/>
      </w:r>
    </w:p>
    <w:p w:rsidR="00145181" w:rsidRDefault="00145181" w:rsidP="00DE3351">
      <w:pPr>
        <w:rPr>
          <w:rFonts w:ascii="Arial" w:hAnsi="Arial" w:cs="Arial"/>
          <w:sz w:val="20"/>
          <w:szCs w:val="20"/>
        </w:rPr>
      </w:pPr>
    </w:p>
    <w:p w:rsidR="00145181" w:rsidRDefault="00145181" w:rsidP="00DE3351">
      <w:pPr>
        <w:rPr>
          <w:rFonts w:ascii="Arial" w:hAnsi="Arial" w:cs="Arial"/>
          <w:sz w:val="20"/>
          <w:szCs w:val="20"/>
        </w:rPr>
      </w:pPr>
      <w:r>
        <w:rPr>
          <w:rFonts w:ascii="Arial" w:hAnsi="Arial" w:cs="Arial"/>
          <w:sz w:val="20"/>
          <w:szCs w:val="20"/>
        </w:rPr>
        <w:t>If a landlord wishes to terminate the lease before the end of the five year period, the landlord must obtain approval from the WA State Administrative Tribunal to include a clause that enables the landlord to do so, e.g. a demolition clause.</w:t>
      </w:r>
      <w:r>
        <w:rPr>
          <w:rStyle w:val="FootnoteReference"/>
          <w:rFonts w:ascii="Arial" w:hAnsi="Arial" w:cs="Arial"/>
          <w:sz w:val="20"/>
          <w:szCs w:val="20"/>
        </w:rPr>
        <w:footnoteReference w:id="27"/>
      </w:r>
    </w:p>
    <w:p w:rsidR="00DE3351" w:rsidRDefault="00DE3351" w:rsidP="00B46724">
      <w:pPr>
        <w:pBdr>
          <w:top w:val="none" w:sz="0" w:space="0" w:color="auto"/>
          <w:left w:val="none" w:sz="0" w:space="0" w:color="auto"/>
          <w:bottom w:val="none" w:sz="0" w:space="0" w:color="auto"/>
          <w:right w:val="none" w:sz="0" w:space="0" w:color="auto"/>
        </w:pBdr>
        <w:rPr>
          <w:rFonts w:ascii="Arial" w:hAnsi="Arial" w:cs="Arial"/>
          <w:b/>
          <w:sz w:val="20"/>
          <w:szCs w:val="20"/>
        </w:rPr>
      </w:pPr>
    </w:p>
    <w:p w:rsidR="00B46724" w:rsidRPr="00174A3C" w:rsidRDefault="00B46724" w:rsidP="00E178C6">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Assignment </w:t>
      </w:r>
    </w:p>
    <w:p w:rsidR="00B46724" w:rsidRDefault="00B46724"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B46724" w:rsidRPr="00270221" w:rsidRDefault="00B46724"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Like other States, a </w:t>
      </w:r>
      <w:r w:rsidRPr="00270221">
        <w:rPr>
          <w:rFonts w:ascii="Arial" w:hAnsi="Arial" w:cs="Arial"/>
          <w:sz w:val="20"/>
          <w:szCs w:val="20"/>
        </w:rPr>
        <w:t xml:space="preserve">tenant </w:t>
      </w:r>
      <w:r>
        <w:rPr>
          <w:rFonts w:ascii="Arial" w:hAnsi="Arial" w:cs="Arial"/>
          <w:sz w:val="20"/>
          <w:szCs w:val="20"/>
        </w:rPr>
        <w:t xml:space="preserve">in Western Australia </w:t>
      </w:r>
      <w:r w:rsidRPr="00270221">
        <w:rPr>
          <w:rFonts w:ascii="Arial" w:hAnsi="Arial" w:cs="Arial"/>
          <w:sz w:val="20"/>
          <w:szCs w:val="20"/>
        </w:rPr>
        <w:t>must seek the landlord’</w:t>
      </w:r>
      <w:r>
        <w:rPr>
          <w:rFonts w:ascii="Arial" w:hAnsi="Arial" w:cs="Arial"/>
          <w:sz w:val="20"/>
          <w:szCs w:val="20"/>
        </w:rPr>
        <w:t>s consent to an assignment in writing.</w:t>
      </w:r>
      <w:r>
        <w:rPr>
          <w:rStyle w:val="FootnoteReference"/>
          <w:rFonts w:ascii="Arial" w:hAnsi="Arial" w:cs="Arial"/>
          <w:sz w:val="20"/>
          <w:szCs w:val="20"/>
        </w:rPr>
        <w:footnoteReference w:id="28"/>
      </w:r>
      <w:r>
        <w:rPr>
          <w:rFonts w:ascii="Arial" w:hAnsi="Arial" w:cs="Arial"/>
          <w:sz w:val="20"/>
          <w:szCs w:val="20"/>
        </w:rPr>
        <w:t xml:space="preserve"> The only difference is that the landlord is only able to withhold consent on “reasonable grounds”. While the Act gives no guidance as to what “reasonable grounds” might be, these are likely to be similar to the grounds in other States. In general, the landlord must be able to show that it had taken into account all the information before it, that there was a logic to the decision and that the refusal was not arbitrary.</w:t>
      </w:r>
      <w:r>
        <w:rPr>
          <w:rStyle w:val="FootnoteReference"/>
          <w:rFonts w:ascii="Arial" w:hAnsi="Arial" w:cs="Arial"/>
          <w:sz w:val="20"/>
          <w:szCs w:val="20"/>
        </w:rPr>
        <w:footnoteReference w:id="29"/>
      </w:r>
    </w:p>
    <w:p w:rsidR="00B46724" w:rsidRPr="00CA7849" w:rsidRDefault="00B46724" w:rsidP="00B46724">
      <w:pPr>
        <w:pBdr>
          <w:top w:val="none" w:sz="0" w:space="0" w:color="auto"/>
          <w:left w:val="none" w:sz="0" w:space="0" w:color="auto"/>
          <w:bottom w:val="none" w:sz="0" w:space="0" w:color="auto"/>
          <w:right w:val="none" w:sz="0" w:space="0" w:color="auto"/>
        </w:pBdr>
        <w:rPr>
          <w:rFonts w:ascii="Arial" w:hAnsi="Arial" w:cs="Arial"/>
          <w:b/>
          <w:sz w:val="20"/>
          <w:szCs w:val="20"/>
        </w:rPr>
      </w:pPr>
    </w:p>
    <w:p w:rsidR="00B46724" w:rsidRPr="00174A3C" w:rsidRDefault="00B46724" w:rsidP="00E178C6">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Forfeiture</w:t>
      </w:r>
    </w:p>
    <w:p w:rsidR="00B46724" w:rsidRDefault="00B46724" w:rsidP="00CA7849">
      <w:pPr>
        <w:rPr>
          <w:rFonts w:ascii="Arial" w:hAnsi="Arial" w:cs="Arial"/>
          <w:b/>
          <w:sz w:val="20"/>
          <w:szCs w:val="20"/>
        </w:rPr>
      </w:pPr>
    </w:p>
    <w:p w:rsidR="00E178C6" w:rsidRDefault="00E178C6" w:rsidP="00CA7849">
      <w:pPr>
        <w:rPr>
          <w:rFonts w:ascii="Arial" w:hAnsi="Arial" w:cs="Arial"/>
          <w:sz w:val="20"/>
          <w:szCs w:val="20"/>
        </w:rPr>
      </w:pPr>
      <w:r>
        <w:rPr>
          <w:rFonts w:ascii="Arial" w:hAnsi="Arial" w:cs="Arial"/>
          <w:sz w:val="20"/>
          <w:szCs w:val="20"/>
        </w:rPr>
        <w:t>A landlord in Western Australia may forfeit a lease after serving a notice on the tenant specifying the breach, and any remedy or compensation applicable. The tenant has an obligation to remedy the breach or make reasonable compensation within a “reasonable time” after service of the notice.</w:t>
      </w:r>
      <w:r>
        <w:rPr>
          <w:rStyle w:val="FootnoteReference"/>
          <w:rFonts w:ascii="Arial" w:hAnsi="Arial" w:cs="Arial"/>
          <w:sz w:val="20"/>
          <w:szCs w:val="20"/>
        </w:rPr>
        <w:footnoteReference w:id="30"/>
      </w:r>
    </w:p>
    <w:p w:rsidR="00E178C6" w:rsidRPr="00E178C6" w:rsidRDefault="00E178C6" w:rsidP="00CA7849">
      <w:pPr>
        <w:rPr>
          <w:rFonts w:ascii="Arial" w:hAnsi="Arial" w:cs="Arial"/>
          <w:sz w:val="20"/>
          <w:szCs w:val="20"/>
        </w:rPr>
      </w:pPr>
    </w:p>
    <w:p w:rsidR="00FC32D4" w:rsidRPr="00174A3C" w:rsidRDefault="00FC32D4" w:rsidP="00174A3C">
      <w:pPr>
        <w:pStyle w:val="ListParagraph"/>
        <w:numPr>
          <w:ilvl w:val="0"/>
          <w:numId w:val="21"/>
        </w:numPr>
        <w:rPr>
          <w:rFonts w:ascii="Arial" w:hAnsi="Arial" w:cs="Arial"/>
          <w:b/>
          <w:sz w:val="20"/>
          <w:szCs w:val="20"/>
        </w:rPr>
      </w:pPr>
      <w:r w:rsidRPr="00174A3C">
        <w:rPr>
          <w:rFonts w:ascii="Arial" w:hAnsi="Arial" w:cs="Arial"/>
          <w:b/>
          <w:sz w:val="20"/>
          <w:szCs w:val="20"/>
        </w:rPr>
        <w:t xml:space="preserve">Tasmania </w:t>
      </w:r>
    </w:p>
    <w:p w:rsidR="00B46724" w:rsidRDefault="00B46724" w:rsidP="00CA7849">
      <w:pPr>
        <w:rPr>
          <w:rFonts w:ascii="Arial" w:hAnsi="Arial" w:cs="Arial"/>
          <w:b/>
          <w:sz w:val="20"/>
          <w:szCs w:val="20"/>
        </w:rPr>
      </w:pPr>
    </w:p>
    <w:p w:rsidR="000A3E43" w:rsidRDefault="000A3E43" w:rsidP="000A3E43">
      <w:pPr>
        <w:rPr>
          <w:rFonts w:ascii="Arial" w:hAnsi="Arial" w:cs="Arial"/>
          <w:sz w:val="20"/>
          <w:szCs w:val="20"/>
        </w:rPr>
      </w:pPr>
      <w:r>
        <w:rPr>
          <w:rFonts w:ascii="Arial" w:hAnsi="Arial" w:cs="Arial"/>
          <w:sz w:val="20"/>
          <w:szCs w:val="20"/>
        </w:rPr>
        <w:t xml:space="preserve">In Tasmania, commercial leases are governed by: </w:t>
      </w:r>
    </w:p>
    <w:p w:rsidR="000A3E43" w:rsidRDefault="000A3E43" w:rsidP="000A3E43">
      <w:pPr>
        <w:pStyle w:val="ListParagraph"/>
        <w:numPr>
          <w:ilvl w:val="0"/>
          <w:numId w:val="15"/>
        </w:numPr>
        <w:rPr>
          <w:rFonts w:ascii="Arial" w:hAnsi="Arial" w:cs="Arial"/>
          <w:sz w:val="20"/>
          <w:szCs w:val="20"/>
        </w:rPr>
      </w:pPr>
      <w:r>
        <w:rPr>
          <w:rFonts w:ascii="Arial" w:hAnsi="Arial" w:cs="Arial"/>
          <w:i/>
          <w:sz w:val="20"/>
          <w:szCs w:val="20"/>
        </w:rPr>
        <w:t xml:space="preserve">Fair Trading (Code of Practice for Retail Tenancies) Regulations 1998 </w:t>
      </w:r>
      <w:r>
        <w:rPr>
          <w:rFonts w:ascii="Arial" w:hAnsi="Arial" w:cs="Arial"/>
          <w:sz w:val="20"/>
          <w:szCs w:val="20"/>
        </w:rPr>
        <w:t>for retail premises</w:t>
      </w:r>
      <w:r w:rsidRPr="00270221">
        <w:rPr>
          <w:rFonts w:ascii="Arial" w:hAnsi="Arial" w:cs="Arial"/>
          <w:sz w:val="20"/>
          <w:szCs w:val="20"/>
        </w:rPr>
        <w:t>;</w:t>
      </w:r>
      <w:r>
        <w:rPr>
          <w:rStyle w:val="FootnoteReference"/>
          <w:rFonts w:ascii="Arial" w:hAnsi="Arial" w:cs="Arial"/>
          <w:sz w:val="20"/>
          <w:szCs w:val="20"/>
        </w:rPr>
        <w:footnoteReference w:id="31"/>
      </w:r>
    </w:p>
    <w:p w:rsidR="000D53D1" w:rsidRPr="000D53D1" w:rsidRDefault="000D53D1" w:rsidP="000D53D1">
      <w:pPr>
        <w:pStyle w:val="ListParagraph"/>
        <w:numPr>
          <w:ilvl w:val="0"/>
          <w:numId w:val="15"/>
        </w:numPr>
        <w:rPr>
          <w:rFonts w:ascii="Arial" w:hAnsi="Arial" w:cs="Arial"/>
          <w:sz w:val="20"/>
          <w:szCs w:val="20"/>
        </w:rPr>
      </w:pPr>
      <w:r w:rsidRPr="000D53D1">
        <w:rPr>
          <w:rFonts w:ascii="Arial" w:hAnsi="Arial" w:cs="Arial"/>
          <w:i/>
          <w:sz w:val="20"/>
          <w:szCs w:val="20"/>
          <w:lang w:val="en-AU"/>
        </w:rPr>
        <w:t>Conveyancing and Law of Property Act 1884</w:t>
      </w:r>
      <w:r w:rsidRPr="000D53D1">
        <w:rPr>
          <w:rFonts w:ascii="Arial" w:hAnsi="Arial" w:cs="Arial"/>
          <w:sz w:val="20"/>
          <w:szCs w:val="20"/>
          <w:lang w:val="en-AU"/>
        </w:rPr>
        <w:t>;</w:t>
      </w:r>
      <w:r w:rsidRPr="000D53D1">
        <w:rPr>
          <w:rStyle w:val="FootnoteReference"/>
          <w:rFonts w:ascii="Arial" w:hAnsi="Arial" w:cs="Arial"/>
          <w:sz w:val="20"/>
          <w:szCs w:val="20"/>
          <w:lang w:val="en-AU"/>
        </w:rPr>
        <w:footnoteReference w:id="32"/>
      </w:r>
      <w:r w:rsidRPr="000D53D1">
        <w:rPr>
          <w:rFonts w:ascii="Arial" w:hAnsi="Arial" w:cs="Arial"/>
          <w:sz w:val="20"/>
          <w:szCs w:val="20"/>
          <w:lang w:val="en-AU"/>
        </w:rPr>
        <w:t xml:space="preserve"> and</w:t>
      </w:r>
    </w:p>
    <w:p w:rsidR="000A3E43" w:rsidRDefault="000D53D1" w:rsidP="000A3E43">
      <w:pPr>
        <w:pStyle w:val="ListParagraph"/>
        <w:numPr>
          <w:ilvl w:val="0"/>
          <w:numId w:val="15"/>
        </w:numPr>
        <w:rPr>
          <w:rFonts w:ascii="Arial" w:hAnsi="Arial" w:cs="Arial"/>
          <w:sz w:val="20"/>
          <w:szCs w:val="20"/>
        </w:rPr>
      </w:pPr>
      <w:r>
        <w:rPr>
          <w:rFonts w:ascii="Arial" w:hAnsi="Arial" w:cs="Arial"/>
          <w:sz w:val="20"/>
          <w:szCs w:val="20"/>
        </w:rPr>
        <w:t>the c</w:t>
      </w:r>
      <w:r w:rsidR="000A3E43">
        <w:rPr>
          <w:rFonts w:ascii="Arial" w:hAnsi="Arial" w:cs="Arial"/>
          <w:sz w:val="20"/>
          <w:szCs w:val="20"/>
        </w:rPr>
        <w:t xml:space="preserve">ommon law. </w:t>
      </w:r>
    </w:p>
    <w:p w:rsidR="000A3E43" w:rsidRDefault="000A3E43" w:rsidP="00CA7849">
      <w:pPr>
        <w:rPr>
          <w:rFonts w:ascii="Arial" w:hAnsi="Arial" w:cs="Arial"/>
          <w:b/>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Term of a retail lease</w:t>
      </w: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Like other State (except for Queensland), the minimum term for a retail lease is five years.</w:t>
      </w:r>
      <w:r>
        <w:rPr>
          <w:rStyle w:val="FootnoteReference"/>
          <w:rFonts w:ascii="Arial" w:hAnsi="Arial" w:cs="Arial"/>
          <w:sz w:val="20"/>
          <w:szCs w:val="20"/>
        </w:rPr>
        <w:footnoteReference w:id="33"/>
      </w: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If the lease provides for an option, the tenant must exercise the option between four to six months prior to the end of the term by putting in a request in writing to the landlord.</w:t>
      </w:r>
      <w:r>
        <w:rPr>
          <w:rStyle w:val="FootnoteReference"/>
          <w:rFonts w:ascii="Arial" w:hAnsi="Arial" w:cs="Arial"/>
          <w:sz w:val="20"/>
          <w:szCs w:val="20"/>
        </w:rPr>
        <w:footnoteReference w:id="34"/>
      </w: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A74647"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At least three months prior to the end of term, the landlord must give written notice to the tenant as to their intentions in relation to the lease, e.g. whether the lease may be renewed, or whether the tenant will remain as a per</w:t>
      </w:r>
      <w:r w:rsidR="00A74647">
        <w:rPr>
          <w:rFonts w:ascii="Arial" w:hAnsi="Arial" w:cs="Arial"/>
          <w:sz w:val="20"/>
          <w:szCs w:val="20"/>
        </w:rPr>
        <w:t>iodical tenant under the lease or continue to occupy on a monthly tenancy.</w:t>
      </w:r>
      <w:r w:rsidR="00A74647">
        <w:rPr>
          <w:rStyle w:val="FootnoteReference"/>
          <w:rFonts w:ascii="Arial" w:hAnsi="Arial" w:cs="Arial"/>
          <w:sz w:val="20"/>
          <w:szCs w:val="20"/>
        </w:rPr>
        <w:footnoteReference w:id="35"/>
      </w:r>
    </w:p>
    <w:p w:rsidR="00A74647" w:rsidRDefault="00A74647"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0A3E43" w:rsidRDefault="00A74647"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Within 30 days of the landlord’s notice, the tenant must inform the landlord in writing what their respective intentions are. If the tenant does not respond, the lease is not renewed.</w:t>
      </w:r>
      <w:r w:rsidR="000A3E43">
        <w:rPr>
          <w:rFonts w:ascii="Arial" w:hAnsi="Arial" w:cs="Arial"/>
          <w:sz w:val="20"/>
          <w:szCs w:val="20"/>
        </w:rPr>
        <w:t xml:space="preserve"> </w:t>
      </w:r>
    </w:p>
    <w:p w:rsidR="000A3E43" w:rsidRP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Assignment </w:t>
      </w:r>
    </w:p>
    <w:p w:rsid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0A3E43" w:rsidRDefault="000A3E43" w:rsidP="000A3E43">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A tenant must apply to the landlord for consent to assign a lease. The landlord must advise the tenant what information he/she needs to make a decision on the assignment within 14 days. </w:t>
      </w:r>
      <w:bookmarkStart w:id="1" w:name="JS1@HS2@EN"/>
      <w:r>
        <w:rPr>
          <w:rFonts w:ascii="Arial" w:hAnsi="Arial" w:cs="Arial"/>
          <w:sz w:val="20"/>
          <w:szCs w:val="20"/>
        </w:rPr>
        <w:t>This may include information relating to the proposed assignee’s financial standing, relevant business skills, proposed use of the premises, and two references.</w:t>
      </w:r>
      <w:bookmarkEnd w:id="1"/>
    </w:p>
    <w:p w:rsidR="000A3E43" w:rsidRDefault="000A3E43" w:rsidP="000A3E43">
      <w:pPr>
        <w:pBdr>
          <w:top w:val="none" w:sz="0" w:space="0" w:color="auto"/>
          <w:left w:val="none" w:sz="0" w:space="0" w:color="auto"/>
          <w:bottom w:val="none" w:sz="0" w:space="0" w:color="auto"/>
          <w:right w:val="none" w:sz="0" w:space="0" w:color="auto"/>
        </w:pBdr>
        <w:rPr>
          <w:rFonts w:ascii="Arial" w:hAnsi="Arial" w:cs="Arial"/>
          <w:sz w:val="20"/>
          <w:szCs w:val="20"/>
        </w:rPr>
      </w:pPr>
    </w:p>
    <w:p w:rsidR="000A3E43" w:rsidRDefault="000A3E43" w:rsidP="000A3E43">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The assignment is taken to be consented to if the landlord does not object within 21 days. The landlord must not withhold consent “unreasonably”.</w:t>
      </w:r>
      <w:r>
        <w:rPr>
          <w:rStyle w:val="FootnoteReference"/>
          <w:rFonts w:ascii="Arial" w:hAnsi="Arial" w:cs="Arial"/>
          <w:sz w:val="20"/>
          <w:szCs w:val="20"/>
        </w:rPr>
        <w:footnoteReference w:id="36"/>
      </w:r>
      <w:r>
        <w:rPr>
          <w:rFonts w:ascii="Arial" w:hAnsi="Arial" w:cs="Arial"/>
          <w:sz w:val="20"/>
          <w:szCs w:val="20"/>
        </w:rPr>
        <w:t xml:space="preserve"> As with WA, reasonableness is likely to be determined on a case-by-case basis in light of the landlord’s reasons for withholding consent to the assignment.</w:t>
      </w:r>
    </w:p>
    <w:p w:rsidR="000A3E43" w:rsidRPr="000A3E43" w:rsidRDefault="000A3E43"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Forfeiture</w:t>
      </w:r>
    </w:p>
    <w:p w:rsidR="00B46724" w:rsidRDefault="00B46724" w:rsidP="00CA7849">
      <w:pPr>
        <w:rPr>
          <w:rFonts w:ascii="Arial" w:hAnsi="Arial" w:cs="Arial"/>
          <w:b/>
          <w:sz w:val="20"/>
          <w:szCs w:val="20"/>
        </w:rPr>
      </w:pPr>
    </w:p>
    <w:p w:rsidR="00733E9B" w:rsidRDefault="00825F84" w:rsidP="00CA7849">
      <w:pPr>
        <w:rPr>
          <w:rFonts w:ascii="Arial" w:hAnsi="Arial" w:cs="Arial"/>
          <w:sz w:val="20"/>
          <w:szCs w:val="20"/>
        </w:rPr>
      </w:pPr>
      <w:r w:rsidRPr="00825F84">
        <w:rPr>
          <w:rFonts w:ascii="Arial" w:hAnsi="Arial" w:cs="Arial"/>
          <w:sz w:val="20"/>
          <w:szCs w:val="20"/>
        </w:rPr>
        <w:t xml:space="preserve">As with all other States, </w:t>
      </w:r>
      <w:r>
        <w:rPr>
          <w:rFonts w:ascii="Arial" w:hAnsi="Arial" w:cs="Arial"/>
          <w:sz w:val="20"/>
          <w:szCs w:val="20"/>
        </w:rPr>
        <w:t xml:space="preserve">a landlord may only exercise a right of re-entry and forfeiture if he or she has first served a notify on the tenant, specifying the breach, the applicable remedy and compensation, </w:t>
      </w:r>
      <w:r w:rsidR="000D53D1">
        <w:rPr>
          <w:rFonts w:ascii="Arial" w:hAnsi="Arial" w:cs="Arial"/>
          <w:sz w:val="20"/>
          <w:szCs w:val="20"/>
        </w:rPr>
        <w:t>and the tenant has failed to comply within a reasonable time.</w:t>
      </w:r>
      <w:r w:rsidR="000D53D1">
        <w:rPr>
          <w:rStyle w:val="FootnoteReference"/>
          <w:rFonts w:ascii="Arial" w:hAnsi="Arial" w:cs="Arial"/>
          <w:sz w:val="20"/>
          <w:szCs w:val="20"/>
        </w:rPr>
        <w:footnoteReference w:id="37"/>
      </w:r>
    </w:p>
    <w:p w:rsidR="000D53D1" w:rsidRPr="00825F84" w:rsidRDefault="000D53D1" w:rsidP="00CA7849">
      <w:pPr>
        <w:rPr>
          <w:rFonts w:ascii="Arial" w:hAnsi="Arial" w:cs="Arial"/>
          <w:sz w:val="20"/>
          <w:szCs w:val="20"/>
        </w:rPr>
      </w:pPr>
    </w:p>
    <w:p w:rsidR="00FC32D4" w:rsidRPr="00174A3C" w:rsidRDefault="00733E9B" w:rsidP="00174A3C">
      <w:pPr>
        <w:pStyle w:val="ListParagraph"/>
        <w:numPr>
          <w:ilvl w:val="0"/>
          <w:numId w:val="21"/>
        </w:numPr>
        <w:rPr>
          <w:rFonts w:ascii="Arial" w:hAnsi="Arial" w:cs="Arial"/>
          <w:b/>
          <w:sz w:val="20"/>
          <w:szCs w:val="20"/>
        </w:rPr>
      </w:pPr>
      <w:r>
        <w:rPr>
          <w:rFonts w:ascii="Arial" w:hAnsi="Arial" w:cs="Arial"/>
          <w:b/>
          <w:sz w:val="20"/>
          <w:szCs w:val="20"/>
        </w:rPr>
        <w:t>Australian Capital Territory (ACT)</w:t>
      </w:r>
    </w:p>
    <w:p w:rsidR="00A74647" w:rsidRPr="000D53D1" w:rsidRDefault="00A74647" w:rsidP="00A74647">
      <w:pPr>
        <w:rPr>
          <w:rFonts w:ascii="Arial" w:hAnsi="Arial" w:cs="Arial"/>
          <w:sz w:val="20"/>
          <w:szCs w:val="20"/>
        </w:rPr>
      </w:pPr>
    </w:p>
    <w:p w:rsidR="00A74647" w:rsidRPr="000D53D1" w:rsidRDefault="00A74647" w:rsidP="00A74647">
      <w:pPr>
        <w:rPr>
          <w:rFonts w:ascii="Arial" w:hAnsi="Arial" w:cs="Arial"/>
          <w:sz w:val="20"/>
          <w:szCs w:val="20"/>
        </w:rPr>
      </w:pPr>
      <w:r w:rsidRPr="000D53D1">
        <w:rPr>
          <w:rFonts w:ascii="Arial" w:hAnsi="Arial" w:cs="Arial"/>
          <w:sz w:val="20"/>
          <w:szCs w:val="20"/>
        </w:rPr>
        <w:t xml:space="preserve">In the ACT, commercial leases are governed by: </w:t>
      </w:r>
    </w:p>
    <w:p w:rsidR="00A74647" w:rsidRDefault="00A74647" w:rsidP="00A74647">
      <w:pPr>
        <w:pStyle w:val="ListParagraph"/>
        <w:numPr>
          <w:ilvl w:val="0"/>
          <w:numId w:val="17"/>
        </w:numPr>
        <w:rPr>
          <w:rFonts w:ascii="Arial" w:hAnsi="Arial" w:cs="Arial"/>
          <w:sz w:val="20"/>
          <w:szCs w:val="20"/>
        </w:rPr>
      </w:pPr>
      <w:r w:rsidRPr="000D53D1">
        <w:rPr>
          <w:rFonts w:ascii="Arial" w:hAnsi="Arial" w:cs="Arial"/>
          <w:i/>
          <w:sz w:val="20"/>
          <w:szCs w:val="20"/>
        </w:rPr>
        <w:t xml:space="preserve">Lease (Commercial and Retail) Act 2001, </w:t>
      </w:r>
      <w:r w:rsidRPr="000D53D1">
        <w:rPr>
          <w:rFonts w:ascii="Arial" w:hAnsi="Arial" w:cs="Arial"/>
          <w:sz w:val="20"/>
          <w:szCs w:val="20"/>
        </w:rPr>
        <w:t>which applies to both retail premises and a specific number of commercial leases;</w:t>
      </w:r>
      <w:r w:rsidRPr="000D53D1">
        <w:rPr>
          <w:rStyle w:val="FootnoteReference"/>
          <w:rFonts w:ascii="Arial" w:hAnsi="Arial" w:cs="Arial"/>
          <w:sz w:val="20"/>
          <w:szCs w:val="20"/>
        </w:rPr>
        <w:footnoteReference w:id="38"/>
      </w:r>
    </w:p>
    <w:p w:rsidR="00EA1669" w:rsidRPr="000D53D1" w:rsidRDefault="00EA1669" w:rsidP="00A74647">
      <w:pPr>
        <w:pStyle w:val="ListParagraph"/>
        <w:numPr>
          <w:ilvl w:val="0"/>
          <w:numId w:val="17"/>
        </w:numPr>
        <w:rPr>
          <w:rFonts w:ascii="Arial" w:hAnsi="Arial" w:cs="Arial"/>
          <w:sz w:val="20"/>
          <w:szCs w:val="20"/>
        </w:rPr>
      </w:pPr>
      <w:r w:rsidRPr="00EA1669">
        <w:rPr>
          <w:rFonts w:ascii="Arial" w:hAnsi="Arial" w:cs="Arial"/>
          <w:i/>
          <w:sz w:val="20"/>
          <w:szCs w:val="20"/>
        </w:rPr>
        <w:t>Civil Law (Property) Act 2006</w:t>
      </w:r>
      <w:r>
        <w:rPr>
          <w:rFonts w:ascii="Arial" w:hAnsi="Arial" w:cs="Arial"/>
          <w:sz w:val="20"/>
          <w:szCs w:val="20"/>
        </w:rPr>
        <w:t>;</w:t>
      </w:r>
      <w:r>
        <w:rPr>
          <w:rStyle w:val="FootnoteReference"/>
          <w:rFonts w:ascii="Arial" w:hAnsi="Arial" w:cs="Arial"/>
          <w:sz w:val="20"/>
          <w:szCs w:val="20"/>
        </w:rPr>
        <w:footnoteReference w:id="39"/>
      </w:r>
      <w:r>
        <w:rPr>
          <w:rFonts w:ascii="Arial" w:hAnsi="Arial" w:cs="Arial"/>
          <w:sz w:val="20"/>
          <w:szCs w:val="20"/>
        </w:rPr>
        <w:t xml:space="preserve"> and</w:t>
      </w:r>
    </w:p>
    <w:p w:rsidR="00A74647" w:rsidRPr="000D53D1" w:rsidRDefault="000D53D1" w:rsidP="00A74647">
      <w:pPr>
        <w:pStyle w:val="ListParagraph"/>
        <w:numPr>
          <w:ilvl w:val="0"/>
          <w:numId w:val="17"/>
        </w:numPr>
        <w:rPr>
          <w:rFonts w:ascii="Arial" w:hAnsi="Arial" w:cs="Arial"/>
          <w:sz w:val="20"/>
          <w:szCs w:val="20"/>
        </w:rPr>
      </w:pPr>
      <w:r w:rsidRPr="000D53D1">
        <w:rPr>
          <w:rFonts w:ascii="Arial" w:hAnsi="Arial" w:cs="Arial"/>
          <w:sz w:val="20"/>
          <w:szCs w:val="20"/>
        </w:rPr>
        <w:t>the c</w:t>
      </w:r>
      <w:r w:rsidR="00A74647" w:rsidRPr="000D53D1">
        <w:rPr>
          <w:rFonts w:ascii="Arial" w:hAnsi="Arial" w:cs="Arial"/>
          <w:sz w:val="20"/>
          <w:szCs w:val="20"/>
        </w:rPr>
        <w:t xml:space="preserve">ommon law. </w:t>
      </w:r>
    </w:p>
    <w:p w:rsidR="00B46724" w:rsidRDefault="00B46724" w:rsidP="00CA7849">
      <w:pPr>
        <w:rPr>
          <w:rFonts w:ascii="Arial" w:hAnsi="Arial" w:cs="Arial"/>
          <w:b/>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Term of </w:t>
      </w:r>
      <w:r w:rsidR="00A74647" w:rsidRPr="00174A3C">
        <w:rPr>
          <w:rFonts w:ascii="Arial" w:hAnsi="Arial" w:cs="Arial"/>
          <w:b/>
          <w:sz w:val="20"/>
          <w:szCs w:val="20"/>
        </w:rPr>
        <w:t xml:space="preserve">the </w:t>
      </w:r>
      <w:r w:rsidRPr="00174A3C">
        <w:rPr>
          <w:rFonts w:ascii="Arial" w:hAnsi="Arial" w:cs="Arial"/>
          <w:b/>
          <w:sz w:val="20"/>
          <w:szCs w:val="20"/>
        </w:rPr>
        <w:t>lease</w:t>
      </w:r>
    </w:p>
    <w:p w:rsidR="00A74647" w:rsidRDefault="00A74647" w:rsidP="00B46724">
      <w:pPr>
        <w:pBdr>
          <w:top w:val="none" w:sz="0" w:space="0" w:color="auto"/>
          <w:left w:val="none" w:sz="0" w:space="0" w:color="auto"/>
          <w:bottom w:val="none" w:sz="0" w:space="0" w:color="auto"/>
          <w:right w:val="none" w:sz="0" w:space="0" w:color="auto"/>
        </w:pBdr>
        <w:rPr>
          <w:rFonts w:ascii="Arial" w:hAnsi="Arial" w:cs="Arial"/>
          <w:b/>
          <w:sz w:val="20"/>
          <w:szCs w:val="20"/>
        </w:rPr>
      </w:pP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r w:rsidRPr="005D64CD">
        <w:rPr>
          <w:rFonts w:ascii="Arial" w:hAnsi="Arial" w:cs="Arial"/>
          <w:sz w:val="20"/>
          <w:szCs w:val="20"/>
        </w:rPr>
        <w:t>As with all other States except for Queenslan</w:t>
      </w:r>
      <w:r>
        <w:rPr>
          <w:rFonts w:ascii="Arial" w:hAnsi="Arial" w:cs="Arial"/>
          <w:sz w:val="20"/>
          <w:szCs w:val="20"/>
        </w:rPr>
        <w:t>d, the minimum term is 5 years.</w:t>
      </w:r>
      <w:r>
        <w:rPr>
          <w:rStyle w:val="FootnoteReference"/>
          <w:rFonts w:ascii="Arial" w:hAnsi="Arial" w:cs="Arial"/>
          <w:sz w:val="20"/>
          <w:szCs w:val="20"/>
        </w:rPr>
        <w:footnoteReference w:id="40"/>
      </w:r>
      <w:r>
        <w:rPr>
          <w:rFonts w:ascii="Arial" w:hAnsi="Arial" w:cs="Arial"/>
          <w:sz w:val="20"/>
          <w:szCs w:val="20"/>
        </w:rPr>
        <w:t xml:space="preserve"> The ACT legislation expressly allows the parties to terminate earlier by mutual agreement.</w:t>
      </w:r>
      <w:r>
        <w:rPr>
          <w:rStyle w:val="FootnoteReference"/>
          <w:rFonts w:ascii="Arial" w:hAnsi="Arial" w:cs="Arial"/>
          <w:sz w:val="20"/>
          <w:szCs w:val="20"/>
        </w:rPr>
        <w:footnoteReference w:id="41"/>
      </w: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Between three to six months prior to the end of the term, the tenant may ask the landlord to advise of his or her intentions in relation to the lease. The landlord must advise the tenant within one month if the tenant makes this request.</w:t>
      </w:r>
      <w:r>
        <w:rPr>
          <w:rStyle w:val="FootnoteReference"/>
          <w:rFonts w:ascii="Arial" w:hAnsi="Arial" w:cs="Arial"/>
          <w:sz w:val="20"/>
          <w:szCs w:val="20"/>
        </w:rPr>
        <w:footnoteReference w:id="42"/>
      </w: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152F9B" w:rsidRPr="00174A3C" w:rsidRDefault="00152F9B"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Termination by landlord </w:t>
      </w:r>
    </w:p>
    <w:p w:rsidR="00152F9B" w:rsidRDefault="00152F9B"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If the landlord wishes to terminate the lease and has the right to do so, the landlord must give termination notice to the tenant. The tenant may agree to the termination or contest the termination in the Magistrates Court within 14 days.</w:t>
      </w:r>
      <w:r>
        <w:rPr>
          <w:rStyle w:val="FootnoteReference"/>
          <w:rFonts w:ascii="Arial" w:hAnsi="Arial" w:cs="Arial"/>
          <w:sz w:val="20"/>
          <w:szCs w:val="20"/>
        </w:rPr>
        <w:footnoteReference w:id="43"/>
      </w:r>
      <w:r w:rsidR="00152F9B">
        <w:rPr>
          <w:rFonts w:ascii="Arial" w:hAnsi="Arial" w:cs="Arial"/>
          <w:sz w:val="20"/>
          <w:szCs w:val="20"/>
        </w:rPr>
        <w:t xml:space="preserve"> If the tenant does not vacate the premises following a termination order from the Magistrates Court, the landlord may apply to the Court for a warrant for eviction.</w:t>
      </w:r>
      <w:r w:rsidR="00152F9B">
        <w:rPr>
          <w:rStyle w:val="FootnoteReference"/>
          <w:rFonts w:ascii="Arial" w:hAnsi="Arial" w:cs="Arial"/>
          <w:sz w:val="20"/>
          <w:szCs w:val="20"/>
        </w:rPr>
        <w:footnoteReference w:id="44"/>
      </w: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ACT laws also provide that if the tenant abandons the premise, the lease terminates on abandonment. If the tenant abandons the premise before the end of the lease, the landlord may apply to the Magistrates Court to recover possession, and seek compensation for any damage caused, include any reasonable costs of advertising and re-letting to someone else.</w:t>
      </w:r>
      <w:r>
        <w:rPr>
          <w:rStyle w:val="FootnoteReference"/>
          <w:rFonts w:ascii="Arial" w:hAnsi="Arial" w:cs="Arial"/>
          <w:sz w:val="20"/>
          <w:szCs w:val="20"/>
        </w:rPr>
        <w:footnoteReference w:id="45"/>
      </w:r>
    </w:p>
    <w:p w:rsidR="005D64CD" w:rsidRDefault="005D64CD"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5D64CD" w:rsidRPr="00174A3C" w:rsidRDefault="00152F9B"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Termination by tenant </w:t>
      </w:r>
    </w:p>
    <w:p w:rsidR="00152F9B" w:rsidRDefault="00152F9B"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152F9B" w:rsidRDefault="00152F9B"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A tenant may terminate the lease by giving the landlord one month notice after the lease has expired.</w:t>
      </w:r>
      <w:r>
        <w:rPr>
          <w:rStyle w:val="FootnoteReference"/>
          <w:rFonts w:ascii="Arial" w:hAnsi="Arial" w:cs="Arial"/>
          <w:sz w:val="20"/>
          <w:szCs w:val="20"/>
        </w:rPr>
        <w:footnoteReference w:id="46"/>
      </w:r>
      <w:r>
        <w:rPr>
          <w:rFonts w:ascii="Arial" w:hAnsi="Arial" w:cs="Arial"/>
          <w:sz w:val="20"/>
          <w:szCs w:val="20"/>
        </w:rPr>
        <w:t xml:space="preserve"> The tenant may also terminate for failure to provide a disclosure statement (or an accurate disclosure statement),</w:t>
      </w:r>
      <w:r>
        <w:rPr>
          <w:rStyle w:val="FootnoteReference"/>
          <w:rFonts w:ascii="Arial" w:hAnsi="Arial" w:cs="Arial"/>
          <w:sz w:val="20"/>
          <w:szCs w:val="20"/>
        </w:rPr>
        <w:footnoteReference w:id="47"/>
      </w:r>
      <w:r>
        <w:rPr>
          <w:rFonts w:ascii="Arial" w:hAnsi="Arial" w:cs="Arial"/>
          <w:sz w:val="20"/>
          <w:szCs w:val="20"/>
        </w:rPr>
        <w:t xml:space="preserve"> or a failure by the landlord to notify a material change in the disclosure statement within three months of entering into the lease.</w:t>
      </w:r>
      <w:r>
        <w:rPr>
          <w:rStyle w:val="FootnoteReference"/>
          <w:rFonts w:ascii="Arial" w:hAnsi="Arial" w:cs="Arial"/>
          <w:sz w:val="20"/>
          <w:szCs w:val="20"/>
        </w:rPr>
        <w:footnoteReference w:id="48"/>
      </w:r>
      <w:r>
        <w:rPr>
          <w:rFonts w:ascii="Arial" w:hAnsi="Arial" w:cs="Arial"/>
          <w:sz w:val="20"/>
          <w:szCs w:val="20"/>
        </w:rPr>
        <w:t xml:space="preserve"> The landlord may contest the termination in the Magistrates Court within 14 days.</w:t>
      </w:r>
      <w:r>
        <w:rPr>
          <w:rStyle w:val="FootnoteReference"/>
          <w:rFonts w:ascii="Arial" w:hAnsi="Arial" w:cs="Arial"/>
          <w:sz w:val="20"/>
          <w:szCs w:val="20"/>
        </w:rPr>
        <w:footnoteReference w:id="49"/>
      </w:r>
      <w:r>
        <w:rPr>
          <w:rFonts w:ascii="Arial" w:hAnsi="Arial" w:cs="Arial"/>
          <w:sz w:val="20"/>
          <w:szCs w:val="20"/>
        </w:rPr>
        <w:t xml:space="preserve"> A termination takes effect 15 days after being served with an uncontested notice of termination.</w:t>
      </w:r>
    </w:p>
    <w:p w:rsidR="00152F9B" w:rsidRPr="005D64CD" w:rsidRDefault="00152F9B"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Assignment </w:t>
      </w:r>
    </w:p>
    <w:p w:rsidR="00152F9B" w:rsidRDefault="00152F9B"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91010A" w:rsidRDefault="0091010A"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As with other States, a tenant must seek the landlord’s consent for an assignment in writing.</w:t>
      </w:r>
      <w:r>
        <w:rPr>
          <w:rStyle w:val="FootnoteReference"/>
          <w:rFonts w:ascii="Arial" w:hAnsi="Arial" w:cs="Arial"/>
          <w:sz w:val="20"/>
          <w:szCs w:val="20"/>
        </w:rPr>
        <w:footnoteReference w:id="50"/>
      </w:r>
      <w:r>
        <w:rPr>
          <w:rFonts w:ascii="Arial" w:hAnsi="Arial" w:cs="Arial"/>
          <w:sz w:val="20"/>
          <w:szCs w:val="20"/>
        </w:rPr>
        <w:t xml:space="preserve"> A landlord may only withhold consent reasonably on the following grounds:</w:t>
      </w:r>
      <w:r w:rsidR="00296B47">
        <w:rPr>
          <w:rStyle w:val="FootnoteReference"/>
          <w:rFonts w:ascii="Arial" w:hAnsi="Arial" w:cs="Arial"/>
          <w:sz w:val="20"/>
          <w:szCs w:val="20"/>
        </w:rPr>
        <w:footnoteReference w:id="51"/>
      </w:r>
      <w:r>
        <w:rPr>
          <w:rFonts w:ascii="Arial" w:hAnsi="Arial" w:cs="Arial"/>
          <w:sz w:val="20"/>
          <w:szCs w:val="20"/>
        </w:rPr>
        <w:t xml:space="preserve"> </w:t>
      </w:r>
    </w:p>
    <w:p w:rsidR="0091010A" w:rsidRDefault="0091010A"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91010A"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The proposed assignee intends to use the premises for a purpose not allowed under the lease; </w:t>
      </w:r>
    </w:p>
    <w:p w:rsidR="006341DC"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The proposed assignee does not have the financial resources to run the business;</w:t>
      </w:r>
    </w:p>
    <w:p w:rsidR="006341DC"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The tenant cannot produce a certificate of occupancy for the premises; </w:t>
      </w:r>
    </w:p>
    <w:p w:rsidR="006341DC"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The proposed assignee does not have the adequate skills to run the business; </w:t>
      </w:r>
    </w:p>
    <w:p w:rsidR="006341DC"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 xml:space="preserve">The proposed assignee will not be compatible with other tenants in the building; or </w:t>
      </w:r>
    </w:p>
    <w:p w:rsidR="006341DC" w:rsidRPr="00296B47" w:rsidRDefault="006341DC" w:rsidP="00296B47">
      <w:pPr>
        <w:pStyle w:val="ListParagraph"/>
        <w:numPr>
          <w:ilvl w:val="0"/>
          <w:numId w:val="18"/>
        </w:num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The tenant has failed to rectify a breach of the lease.</w:t>
      </w:r>
    </w:p>
    <w:p w:rsidR="0091010A" w:rsidRDefault="0091010A"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EA1669" w:rsidRPr="00174A3C" w:rsidRDefault="00EA1669" w:rsidP="00EA1669">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Pr>
          <w:rFonts w:ascii="Arial" w:hAnsi="Arial" w:cs="Arial"/>
          <w:b/>
          <w:sz w:val="20"/>
          <w:szCs w:val="20"/>
        </w:rPr>
        <w:t>Forfeiture</w:t>
      </w:r>
    </w:p>
    <w:p w:rsidR="00EA1669" w:rsidRDefault="00EA1669"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EA1669" w:rsidRDefault="00EA1669"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In the ACT, a landlord may re-enter or forfeit a lease upon a tenant’s breach if the landlord has given the tenant notice specifying the breach, and any applicable remedy or compensation. However, this does not apply to re-entry and forfeiture for nonpayment of rent.</w:t>
      </w:r>
      <w:r>
        <w:rPr>
          <w:rStyle w:val="FootnoteReference"/>
          <w:rFonts w:ascii="Arial" w:hAnsi="Arial" w:cs="Arial"/>
          <w:sz w:val="20"/>
          <w:szCs w:val="20"/>
        </w:rPr>
        <w:footnoteReference w:id="52"/>
      </w:r>
    </w:p>
    <w:p w:rsidR="00EA1669" w:rsidRDefault="00EA1669"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FC32D4" w:rsidRPr="00174A3C" w:rsidRDefault="00FC32D4" w:rsidP="00174A3C">
      <w:pPr>
        <w:pStyle w:val="ListParagraph"/>
        <w:numPr>
          <w:ilvl w:val="0"/>
          <w:numId w:val="21"/>
        </w:numPr>
        <w:rPr>
          <w:rFonts w:ascii="Arial" w:hAnsi="Arial" w:cs="Arial"/>
          <w:b/>
          <w:sz w:val="20"/>
          <w:szCs w:val="20"/>
        </w:rPr>
      </w:pPr>
      <w:r w:rsidRPr="00174A3C">
        <w:rPr>
          <w:rFonts w:ascii="Arial" w:hAnsi="Arial" w:cs="Arial"/>
          <w:b/>
          <w:sz w:val="20"/>
          <w:szCs w:val="20"/>
        </w:rPr>
        <w:t xml:space="preserve">Northern Territory </w:t>
      </w:r>
    </w:p>
    <w:p w:rsidR="00FC32D4" w:rsidRDefault="00FC32D4" w:rsidP="00CA7849">
      <w:pPr>
        <w:rPr>
          <w:rFonts w:ascii="Arial" w:hAnsi="Arial" w:cs="Arial"/>
          <w:b/>
          <w:sz w:val="20"/>
          <w:szCs w:val="20"/>
        </w:rPr>
      </w:pPr>
    </w:p>
    <w:p w:rsidR="006341DC" w:rsidRDefault="006341DC" w:rsidP="006341DC">
      <w:pPr>
        <w:rPr>
          <w:rFonts w:ascii="Arial" w:hAnsi="Arial" w:cs="Arial"/>
          <w:sz w:val="20"/>
          <w:szCs w:val="20"/>
        </w:rPr>
      </w:pPr>
      <w:r>
        <w:rPr>
          <w:rFonts w:ascii="Arial" w:hAnsi="Arial" w:cs="Arial"/>
          <w:sz w:val="20"/>
          <w:szCs w:val="20"/>
        </w:rPr>
        <w:t xml:space="preserve">In the Northern Territory, commercial leases are governed by: </w:t>
      </w:r>
    </w:p>
    <w:p w:rsidR="006341DC" w:rsidRDefault="006341DC" w:rsidP="006341DC">
      <w:pPr>
        <w:pStyle w:val="ListParagraph"/>
        <w:numPr>
          <w:ilvl w:val="0"/>
          <w:numId w:val="19"/>
        </w:numPr>
        <w:rPr>
          <w:rFonts w:ascii="Arial" w:hAnsi="Arial" w:cs="Arial"/>
          <w:sz w:val="20"/>
          <w:szCs w:val="20"/>
        </w:rPr>
      </w:pPr>
      <w:r>
        <w:rPr>
          <w:rFonts w:ascii="Arial" w:hAnsi="Arial" w:cs="Arial"/>
          <w:i/>
          <w:sz w:val="20"/>
          <w:szCs w:val="20"/>
        </w:rPr>
        <w:t xml:space="preserve">Business Tenancies (Fair Dealings) Act 2003, </w:t>
      </w:r>
      <w:r>
        <w:rPr>
          <w:rFonts w:ascii="Arial" w:hAnsi="Arial" w:cs="Arial"/>
          <w:sz w:val="20"/>
          <w:szCs w:val="20"/>
        </w:rPr>
        <w:t>which applies to retail shop leases</w:t>
      </w:r>
      <w:r w:rsidRPr="00270221">
        <w:rPr>
          <w:rFonts w:ascii="Arial" w:hAnsi="Arial" w:cs="Arial"/>
          <w:sz w:val="20"/>
          <w:szCs w:val="20"/>
        </w:rPr>
        <w:t>;</w:t>
      </w:r>
      <w:r>
        <w:rPr>
          <w:rStyle w:val="FootnoteReference"/>
          <w:rFonts w:ascii="Arial" w:hAnsi="Arial" w:cs="Arial"/>
          <w:sz w:val="20"/>
          <w:szCs w:val="20"/>
        </w:rPr>
        <w:footnoteReference w:id="53"/>
      </w:r>
    </w:p>
    <w:p w:rsidR="00A00CED" w:rsidRPr="00A00CED" w:rsidRDefault="00A00CED" w:rsidP="006341DC">
      <w:pPr>
        <w:pStyle w:val="ListParagraph"/>
        <w:numPr>
          <w:ilvl w:val="0"/>
          <w:numId w:val="19"/>
        </w:numPr>
        <w:rPr>
          <w:rFonts w:ascii="Arial" w:hAnsi="Arial" w:cs="Arial"/>
          <w:sz w:val="20"/>
          <w:szCs w:val="20"/>
        </w:rPr>
      </w:pPr>
      <w:r w:rsidRPr="00A00CED">
        <w:rPr>
          <w:rFonts w:ascii="Arial" w:hAnsi="Arial" w:cs="Arial"/>
          <w:i/>
          <w:sz w:val="20"/>
          <w:szCs w:val="20"/>
        </w:rPr>
        <w:t>Law of Property Act</w:t>
      </w:r>
      <w:r>
        <w:rPr>
          <w:rFonts w:ascii="Arial" w:hAnsi="Arial" w:cs="Arial"/>
          <w:i/>
          <w:sz w:val="20"/>
          <w:szCs w:val="20"/>
        </w:rPr>
        <w:t>;</w:t>
      </w:r>
      <w:r>
        <w:rPr>
          <w:rStyle w:val="FootnoteReference"/>
          <w:rFonts w:ascii="Arial" w:hAnsi="Arial" w:cs="Arial"/>
          <w:i/>
          <w:sz w:val="20"/>
          <w:szCs w:val="20"/>
        </w:rPr>
        <w:footnoteReference w:id="54"/>
      </w:r>
      <w:r>
        <w:rPr>
          <w:rFonts w:ascii="Arial" w:hAnsi="Arial" w:cs="Arial"/>
          <w:i/>
          <w:sz w:val="20"/>
          <w:szCs w:val="20"/>
        </w:rPr>
        <w:t xml:space="preserve"> </w:t>
      </w:r>
      <w:r w:rsidRPr="00A00CED">
        <w:rPr>
          <w:rFonts w:ascii="Arial" w:hAnsi="Arial" w:cs="Arial"/>
          <w:sz w:val="20"/>
          <w:szCs w:val="20"/>
        </w:rPr>
        <w:t xml:space="preserve">and </w:t>
      </w:r>
    </w:p>
    <w:p w:rsidR="006341DC" w:rsidRDefault="006341DC" w:rsidP="006341DC">
      <w:pPr>
        <w:pStyle w:val="ListParagraph"/>
        <w:numPr>
          <w:ilvl w:val="0"/>
          <w:numId w:val="19"/>
        </w:numPr>
        <w:rPr>
          <w:rFonts w:ascii="Arial" w:hAnsi="Arial" w:cs="Arial"/>
          <w:sz w:val="20"/>
          <w:szCs w:val="20"/>
        </w:rPr>
      </w:pPr>
      <w:r>
        <w:rPr>
          <w:rFonts w:ascii="Arial" w:hAnsi="Arial" w:cs="Arial"/>
          <w:sz w:val="20"/>
          <w:szCs w:val="20"/>
        </w:rPr>
        <w:t xml:space="preserve">Common law. </w:t>
      </w:r>
    </w:p>
    <w:p w:rsidR="006341DC" w:rsidRDefault="006341DC" w:rsidP="00CA7849">
      <w:pPr>
        <w:rPr>
          <w:rFonts w:ascii="Arial" w:hAnsi="Arial" w:cs="Arial"/>
          <w:b/>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Term of a retail lease</w:t>
      </w:r>
    </w:p>
    <w:p w:rsidR="00402696" w:rsidRDefault="00402696" w:rsidP="00B46724">
      <w:pPr>
        <w:pBdr>
          <w:top w:val="none" w:sz="0" w:space="0" w:color="auto"/>
          <w:left w:val="none" w:sz="0" w:space="0" w:color="auto"/>
          <w:bottom w:val="none" w:sz="0" w:space="0" w:color="auto"/>
          <w:right w:val="none" w:sz="0" w:space="0" w:color="auto"/>
        </w:pBdr>
        <w:rPr>
          <w:rFonts w:ascii="Arial" w:hAnsi="Arial" w:cs="Arial"/>
          <w:b/>
          <w:sz w:val="20"/>
          <w:szCs w:val="20"/>
        </w:rPr>
      </w:pPr>
    </w:p>
    <w:p w:rsidR="001268CA" w:rsidRDefault="001268CA" w:rsidP="00B46724">
      <w:pPr>
        <w:pBdr>
          <w:top w:val="none" w:sz="0" w:space="0" w:color="auto"/>
          <w:left w:val="none" w:sz="0" w:space="0" w:color="auto"/>
          <w:bottom w:val="none" w:sz="0" w:space="0" w:color="auto"/>
          <w:right w:val="none" w:sz="0" w:space="0" w:color="auto"/>
        </w:pBdr>
        <w:rPr>
          <w:rFonts w:ascii="Arial" w:hAnsi="Arial" w:cs="Arial"/>
          <w:sz w:val="20"/>
          <w:szCs w:val="20"/>
        </w:rPr>
      </w:pPr>
      <w:r w:rsidRPr="001268CA">
        <w:rPr>
          <w:rFonts w:ascii="Arial" w:hAnsi="Arial" w:cs="Arial"/>
          <w:sz w:val="20"/>
          <w:szCs w:val="20"/>
        </w:rPr>
        <w:t>The minimum term in Northern Territory is at least five years.</w:t>
      </w:r>
      <w:r>
        <w:rPr>
          <w:rStyle w:val="FootnoteReference"/>
          <w:rFonts w:ascii="Arial" w:hAnsi="Arial" w:cs="Arial"/>
          <w:sz w:val="20"/>
          <w:szCs w:val="20"/>
        </w:rPr>
        <w:footnoteReference w:id="55"/>
      </w:r>
      <w:r>
        <w:rPr>
          <w:rFonts w:ascii="Arial" w:hAnsi="Arial" w:cs="Arial"/>
          <w:sz w:val="20"/>
          <w:szCs w:val="20"/>
        </w:rPr>
        <w:t xml:space="preserve"> </w:t>
      </w:r>
      <w:r w:rsidRPr="001268CA">
        <w:rPr>
          <w:rFonts w:ascii="Arial" w:hAnsi="Arial" w:cs="Arial"/>
          <w:sz w:val="20"/>
          <w:szCs w:val="20"/>
        </w:rPr>
        <w:t xml:space="preserve">The landlord must give written notice </w:t>
      </w:r>
      <w:r w:rsidR="00966309">
        <w:rPr>
          <w:rFonts w:ascii="Arial" w:hAnsi="Arial" w:cs="Arial"/>
          <w:sz w:val="20"/>
          <w:szCs w:val="20"/>
        </w:rPr>
        <w:t xml:space="preserve">of his or </w:t>
      </w:r>
      <w:r>
        <w:rPr>
          <w:rFonts w:ascii="Arial" w:hAnsi="Arial" w:cs="Arial"/>
          <w:sz w:val="20"/>
          <w:szCs w:val="20"/>
        </w:rPr>
        <w:t>her intentions in relation to the lease between 6 to 12 months prior to the end of term. Failure to comply with this timeframe extends the lease by six months from the date the landlord does give notice.</w:t>
      </w:r>
      <w:r>
        <w:rPr>
          <w:rStyle w:val="FootnoteReference"/>
          <w:rFonts w:ascii="Arial" w:hAnsi="Arial" w:cs="Arial"/>
          <w:sz w:val="20"/>
          <w:szCs w:val="20"/>
        </w:rPr>
        <w:footnoteReference w:id="56"/>
      </w:r>
      <w:r w:rsidR="0011634E">
        <w:rPr>
          <w:rFonts w:ascii="Arial" w:hAnsi="Arial" w:cs="Arial"/>
          <w:sz w:val="20"/>
          <w:szCs w:val="20"/>
        </w:rPr>
        <w:t xml:space="preserve"> </w:t>
      </w:r>
    </w:p>
    <w:p w:rsidR="001268CA" w:rsidRPr="001268CA" w:rsidRDefault="001268CA"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B46724" w:rsidRPr="00174A3C" w:rsidRDefault="00B46724" w:rsidP="00733E9B">
      <w:pPr>
        <w:pStyle w:val="ListParagraph"/>
        <w:numPr>
          <w:ilvl w:val="1"/>
          <w:numId w:val="21"/>
        </w:numPr>
        <w:pBdr>
          <w:top w:val="none" w:sz="0" w:space="0" w:color="auto"/>
          <w:left w:val="none" w:sz="0" w:space="0" w:color="auto"/>
          <w:bottom w:val="none" w:sz="0" w:space="0" w:color="auto"/>
          <w:right w:val="none" w:sz="0" w:space="0" w:color="auto"/>
        </w:pBdr>
        <w:rPr>
          <w:rFonts w:ascii="Arial" w:hAnsi="Arial" w:cs="Arial"/>
          <w:b/>
          <w:sz w:val="20"/>
          <w:szCs w:val="20"/>
        </w:rPr>
      </w:pPr>
      <w:r w:rsidRPr="00174A3C">
        <w:rPr>
          <w:rFonts w:ascii="Arial" w:hAnsi="Arial" w:cs="Arial"/>
          <w:b/>
          <w:sz w:val="20"/>
          <w:szCs w:val="20"/>
        </w:rPr>
        <w:t xml:space="preserve">Assignment </w:t>
      </w:r>
    </w:p>
    <w:p w:rsidR="006341DC" w:rsidRDefault="006341DC"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1268CA" w:rsidRDefault="001268CA" w:rsidP="00B46724">
      <w:pPr>
        <w:pBdr>
          <w:top w:val="none" w:sz="0" w:space="0" w:color="auto"/>
          <w:left w:val="none" w:sz="0" w:space="0" w:color="auto"/>
          <w:bottom w:val="none" w:sz="0" w:space="0" w:color="auto"/>
          <w:right w:val="none" w:sz="0" w:space="0" w:color="auto"/>
        </w:pBdr>
        <w:rPr>
          <w:rFonts w:ascii="Arial" w:hAnsi="Arial" w:cs="Arial"/>
          <w:sz w:val="20"/>
          <w:szCs w:val="20"/>
        </w:rPr>
      </w:pPr>
      <w:r>
        <w:rPr>
          <w:rFonts w:ascii="Arial" w:hAnsi="Arial" w:cs="Arial"/>
          <w:sz w:val="20"/>
          <w:szCs w:val="20"/>
        </w:rPr>
        <w:t>The tenant must request the landlord’s consent to an assignment in writing. If the landlord fails to respond to the tenant’s request within 42 days, consent is taken to have been given.</w:t>
      </w:r>
      <w:r>
        <w:rPr>
          <w:rStyle w:val="FootnoteReference"/>
          <w:rFonts w:ascii="Arial" w:hAnsi="Arial" w:cs="Arial"/>
          <w:sz w:val="20"/>
          <w:szCs w:val="20"/>
        </w:rPr>
        <w:footnoteReference w:id="57"/>
      </w:r>
    </w:p>
    <w:p w:rsidR="001268CA" w:rsidRPr="00402696" w:rsidRDefault="001268CA"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402696" w:rsidRDefault="00402696" w:rsidP="00B46724">
      <w:pPr>
        <w:pBdr>
          <w:top w:val="none" w:sz="0" w:space="0" w:color="auto"/>
          <w:left w:val="none" w:sz="0" w:space="0" w:color="auto"/>
          <w:bottom w:val="none" w:sz="0" w:space="0" w:color="auto"/>
          <w:right w:val="none" w:sz="0" w:space="0" w:color="auto"/>
        </w:pBdr>
        <w:rPr>
          <w:rFonts w:ascii="Arial" w:hAnsi="Arial" w:cs="Arial"/>
          <w:sz w:val="20"/>
          <w:szCs w:val="20"/>
        </w:rPr>
      </w:pPr>
      <w:r w:rsidRPr="00402696">
        <w:rPr>
          <w:rFonts w:ascii="Arial" w:hAnsi="Arial" w:cs="Arial"/>
          <w:sz w:val="20"/>
          <w:szCs w:val="20"/>
        </w:rPr>
        <w:t xml:space="preserve">The tenant must provide to the assignee a recent copy of the disclosure statement, details of any changes since the disclosure </w:t>
      </w:r>
      <w:r>
        <w:rPr>
          <w:rFonts w:ascii="Arial" w:hAnsi="Arial" w:cs="Arial"/>
          <w:sz w:val="20"/>
          <w:szCs w:val="20"/>
        </w:rPr>
        <w:t>statement. The tenant must also give the landlord an assignor’s disclosure statement.</w:t>
      </w:r>
      <w:r>
        <w:rPr>
          <w:rStyle w:val="FootnoteReference"/>
          <w:rFonts w:ascii="Arial" w:hAnsi="Arial" w:cs="Arial"/>
          <w:sz w:val="20"/>
          <w:szCs w:val="20"/>
        </w:rPr>
        <w:footnoteReference w:id="58"/>
      </w:r>
    </w:p>
    <w:p w:rsidR="00402696" w:rsidRPr="00402696" w:rsidRDefault="00402696"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6341DC" w:rsidRDefault="006341DC" w:rsidP="00B46724">
      <w:pPr>
        <w:pBdr>
          <w:top w:val="none" w:sz="0" w:space="0" w:color="auto"/>
          <w:left w:val="none" w:sz="0" w:space="0" w:color="auto"/>
          <w:bottom w:val="none" w:sz="0" w:space="0" w:color="auto"/>
          <w:right w:val="none" w:sz="0" w:space="0" w:color="auto"/>
        </w:pBdr>
        <w:rPr>
          <w:rFonts w:ascii="Arial" w:hAnsi="Arial" w:cs="Arial"/>
          <w:sz w:val="20"/>
          <w:szCs w:val="20"/>
        </w:rPr>
      </w:pPr>
      <w:r w:rsidRPr="006341DC">
        <w:rPr>
          <w:rFonts w:ascii="Arial" w:hAnsi="Arial" w:cs="Arial"/>
          <w:sz w:val="20"/>
          <w:szCs w:val="20"/>
        </w:rPr>
        <w:t xml:space="preserve">The </w:t>
      </w:r>
      <w:r>
        <w:rPr>
          <w:rFonts w:ascii="Arial" w:hAnsi="Arial" w:cs="Arial"/>
          <w:sz w:val="20"/>
          <w:szCs w:val="20"/>
        </w:rPr>
        <w:t>landlord may withhol</w:t>
      </w:r>
      <w:r w:rsidR="00402696">
        <w:rPr>
          <w:rFonts w:ascii="Arial" w:hAnsi="Arial" w:cs="Arial"/>
          <w:sz w:val="20"/>
          <w:szCs w:val="20"/>
        </w:rPr>
        <w:t>d consent to the assignment if:</w:t>
      </w:r>
      <w:r w:rsidR="00402696">
        <w:rPr>
          <w:rStyle w:val="FootnoteReference"/>
          <w:rFonts w:ascii="Arial" w:hAnsi="Arial" w:cs="Arial"/>
          <w:sz w:val="20"/>
          <w:szCs w:val="20"/>
        </w:rPr>
        <w:footnoteReference w:id="59"/>
      </w:r>
    </w:p>
    <w:p w:rsidR="006341DC" w:rsidRPr="006341DC" w:rsidRDefault="006341DC" w:rsidP="00B46724">
      <w:pPr>
        <w:pBdr>
          <w:top w:val="none" w:sz="0" w:space="0" w:color="auto"/>
          <w:left w:val="none" w:sz="0" w:space="0" w:color="auto"/>
          <w:bottom w:val="none" w:sz="0" w:space="0" w:color="auto"/>
          <w:right w:val="none" w:sz="0" w:space="0" w:color="auto"/>
        </w:pBdr>
        <w:rPr>
          <w:rFonts w:ascii="Arial" w:hAnsi="Arial" w:cs="Arial"/>
          <w:sz w:val="20"/>
          <w:szCs w:val="20"/>
        </w:rPr>
      </w:pPr>
    </w:p>
    <w:p w:rsidR="006341DC" w:rsidRPr="00402696" w:rsidRDefault="006341DC" w:rsidP="00402696">
      <w:pPr>
        <w:pStyle w:val="ListParagraph"/>
        <w:numPr>
          <w:ilvl w:val="0"/>
          <w:numId w:val="20"/>
        </w:numPr>
        <w:rPr>
          <w:rFonts w:ascii="Arial" w:hAnsi="Arial" w:cs="Arial"/>
          <w:sz w:val="20"/>
          <w:szCs w:val="20"/>
        </w:rPr>
      </w:pPr>
      <w:r w:rsidRPr="00402696">
        <w:rPr>
          <w:rFonts w:ascii="Arial" w:hAnsi="Arial" w:cs="Arial"/>
          <w:sz w:val="20"/>
          <w:szCs w:val="20"/>
        </w:rPr>
        <w:t xml:space="preserve">the proposed assignee proposes to change the use of the shop premises; </w:t>
      </w:r>
    </w:p>
    <w:p w:rsidR="006341DC" w:rsidRPr="00402696" w:rsidRDefault="006341DC" w:rsidP="00402696">
      <w:pPr>
        <w:pStyle w:val="ListParagraph"/>
        <w:numPr>
          <w:ilvl w:val="0"/>
          <w:numId w:val="20"/>
        </w:numPr>
        <w:rPr>
          <w:rFonts w:ascii="Arial" w:hAnsi="Arial" w:cs="Arial"/>
          <w:sz w:val="20"/>
          <w:szCs w:val="20"/>
        </w:rPr>
      </w:pPr>
      <w:r w:rsidRPr="00402696">
        <w:rPr>
          <w:rFonts w:ascii="Arial" w:hAnsi="Arial" w:cs="Arial"/>
          <w:sz w:val="20"/>
          <w:szCs w:val="20"/>
        </w:rPr>
        <w:t>the proposed assignee does not have the financial resources or retailing skills to fulfil obligations under the lease;</w:t>
      </w:r>
      <w:r w:rsidR="00402696" w:rsidRPr="00402696">
        <w:rPr>
          <w:rFonts w:ascii="Arial" w:hAnsi="Arial" w:cs="Arial"/>
          <w:sz w:val="20"/>
          <w:szCs w:val="20"/>
        </w:rPr>
        <w:t xml:space="preserve"> or </w:t>
      </w:r>
    </w:p>
    <w:p w:rsidR="006341DC" w:rsidRDefault="00402696" w:rsidP="00402696">
      <w:pPr>
        <w:pStyle w:val="ListParagraph"/>
        <w:numPr>
          <w:ilvl w:val="0"/>
          <w:numId w:val="20"/>
        </w:numPr>
        <w:rPr>
          <w:rFonts w:ascii="Arial" w:hAnsi="Arial" w:cs="Arial"/>
          <w:sz w:val="20"/>
          <w:szCs w:val="20"/>
        </w:rPr>
      </w:pPr>
      <w:r w:rsidRPr="00446EA3">
        <w:rPr>
          <w:rFonts w:ascii="Arial" w:hAnsi="Arial" w:cs="Arial"/>
          <w:sz w:val="20"/>
          <w:szCs w:val="20"/>
        </w:rPr>
        <w:t>the tenant has not supplied the required information.</w:t>
      </w:r>
    </w:p>
    <w:p w:rsidR="00446EA3" w:rsidRDefault="00446EA3" w:rsidP="00446EA3">
      <w:pPr>
        <w:rPr>
          <w:rFonts w:ascii="Arial" w:hAnsi="Arial" w:cs="Arial"/>
          <w:sz w:val="20"/>
          <w:szCs w:val="20"/>
        </w:rPr>
      </w:pPr>
    </w:p>
    <w:p w:rsidR="00A00CED" w:rsidRDefault="00A00CED" w:rsidP="00446EA3">
      <w:pPr>
        <w:rPr>
          <w:rFonts w:ascii="Arial" w:hAnsi="Arial" w:cs="Arial"/>
          <w:sz w:val="20"/>
          <w:szCs w:val="20"/>
        </w:rPr>
      </w:pPr>
      <w:r>
        <w:rPr>
          <w:rFonts w:ascii="Arial" w:hAnsi="Arial" w:cs="Arial"/>
          <w:sz w:val="20"/>
          <w:szCs w:val="20"/>
        </w:rPr>
        <w:t>A landlord in the Northern Territory may re-enter and forfeit a lease only if he or she has applied to the Court for an order to do so, or if the tenant has abandoned or voluntarily given up possession of the premises.</w:t>
      </w:r>
      <w:r>
        <w:rPr>
          <w:rStyle w:val="FootnoteReference"/>
          <w:rFonts w:ascii="Arial" w:hAnsi="Arial" w:cs="Arial"/>
          <w:sz w:val="20"/>
          <w:szCs w:val="20"/>
        </w:rPr>
        <w:footnoteReference w:id="60"/>
      </w:r>
    </w:p>
    <w:p w:rsidR="00A00CED" w:rsidRDefault="00A00CED" w:rsidP="00446EA3">
      <w:pPr>
        <w:rPr>
          <w:rFonts w:ascii="Arial" w:hAnsi="Arial" w:cs="Arial"/>
          <w:sz w:val="20"/>
          <w:szCs w:val="20"/>
        </w:rPr>
      </w:pPr>
    </w:p>
    <w:p w:rsidR="00A00CED" w:rsidRDefault="00A00CED" w:rsidP="00446EA3">
      <w:pPr>
        <w:rPr>
          <w:rFonts w:ascii="Arial" w:hAnsi="Arial" w:cs="Arial"/>
          <w:sz w:val="20"/>
          <w:szCs w:val="20"/>
        </w:rPr>
      </w:pPr>
      <w:r>
        <w:rPr>
          <w:rFonts w:ascii="Arial" w:hAnsi="Arial" w:cs="Arial"/>
          <w:sz w:val="20"/>
          <w:szCs w:val="20"/>
        </w:rPr>
        <w:t>Where a tenant has breached the lease agreement and the landlord wishes to enforce a right of re-entry or forfeiture, the landlord must serve a notice on the tenant specifying the breach, and any applicable remedy or compensation. The tenant has a reasonable time to comply with the notice before the landlord may apply to the Court for re-possession of the premises. The Court will grant the applicant if the Court is satisfied that the lease has terminated.</w:t>
      </w:r>
      <w:r>
        <w:rPr>
          <w:rStyle w:val="FootnoteReference"/>
          <w:rFonts w:ascii="Arial" w:hAnsi="Arial" w:cs="Arial"/>
          <w:sz w:val="20"/>
          <w:szCs w:val="20"/>
        </w:rPr>
        <w:footnoteReference w:id="61"/>
      </w:r>
      <w:r>
        <w:rPr>
          <w:rFonts w:ascii="Arial" w:hAnsi="Arial" w:cs="Arial"/>
          <w:sz w:val="20"/>
          <w:szCs w:val="20"/>
        </w:rPr>
        <w:t xml:space="preserve"> </w:t>
      </w:r>
    </w:p>
    <w:p w:rsidR="00A00CED" w:rsidRDefault="00A00CED" w:rsidP="00446EA3">
      <w:pPr>
        <w:rPr>
          <w:rFonts w:ascii="Arial" w:hAnsi="Arial" w:cs="Arial"/>
          <w:sz w:val="20"/>
          <w:szCs w:val="20"/>
        </w:rPr>
      </w:pPr>
    </w:p>
    <w:p w:rsidR="00446EA3" w:rsidRDefault="00A00CED" w:rsidP="00446EA3">
      <w:pPr>
        <w:pStyle w:val="ListParagraph"/>
        <w:numPr>
          <w:ilvl w:val="0"/>
          <w:numId w:val="21"/>
        </w:numPr>
        <w:rPr>
          <w:rFonts w:ascii="Arial" w:hAnsi="Arial" w:cs="Arial"/>
          <w:b/>
          <w:sz w:val="20"/>
          <w:szCs w:val="20"/>
        </w:rPr>
      </w:pPr>
      <w:r>
        <w:rPr>
          <w:rFonts w:ascii="Arial" w:hAnsi="Arial" w:cs="Arial"/>
          <w:b/>
          <w:sz w:val="20"/>
          <w:szCs w:val="20"/>
        </w:rPr>
        <w:t xml:space="preserve">Concluding remarks </w:t>
      </w:r>
    </w:p>
    <w:p w:rsidR="00A00CED" w:rsidRDefault="00A00CED" w:rsidP="00A00CED">
      <w:pPr>
        <w:rPr>
          <w:rFonts w:ascii="Arial" w:hAnsi="Arial" w:cs="Arial"/>
          <w:b/>
          <w:sz w:val="20"/>
          <w:szCs w:val="20"/>
        </w:rPr>
      </w:pPr>
    </w:p>
    <w:p w:rsidR="00A00CED" w:rsidRDefault="00A00CED" w:rsidP="00A00CED">
      <w:pPr>
        <w:rPr>
          <w:rFonts w:ascii="Arial" w:hAnsi="Arial" w:cs="Arial"/>
          <w:sz w:val="20"/>
          <w:szCs w:val="20"/>
        </w:rPr>
      </w:pPr>
      <w:r>
        <w:rPr>
          <w:rFonts w:ascii="Arial" w:hAnsi="Arial" w:cs="Arial"/>
          <w:sz w:val="20"/>
          <w:szCs w:val="20"/>
        </w:rPr>
        <w:t>As shown above, most States and Territories in Australia have similar laws around termination of retail and commercial leases. Notably:</w:t>
      </w:r>
    </w:p>
    <w:p w:rsidR="00A00CED" w:rsidRDefault="00A00CED" w:rsidP="00A00CED">
      <w:pPr>
        <w:rPr>
          <w:rFonts w:ascii="Arial" w:hAnsi="Arial" w:cs="Arial"/>
          <w:sz w:val="20"/>
          <w:szCs w:val="20"/>
        </w:rPr>
      </w:pPr>
    </w:p>
    <w:p w:rsidR="00A00CED" w:rsidRDefault="00A00CED" w:rsidP="00A00CED">
      <w:pPr>
        <w:pStyle w:val="ListParagraph"/>
        <w:numPr>
          <w:ilvl w:val="0"/>
          <w:numId w:val="24"/>
        </w:numPr>
        <w:rPr>
          <w:rFonts w:ascii="Arial" w:hAnsi="Arial" w:cs="Arial"/>
          <w:sz w:val="20"/>
          <w:szCs w:val="20"/>
        </w:rPr>
      </w:pPr>
      <w:r>
        <w:rPr>
          <w:rFonts w:ascii="Arial" w:hAnsi="Arial" w:cs="Arial"/>
          <w:sz w:val="20"/>
          <w:szCs w:val="20"/>
        </w:rPr>
        <w:t xml:space="preserve">Most States and Territories regulate retail leases separately from other types of commercial leases; </w:t>
      </w:r>
    </w:p>
    <w:p w:rsidR="00A00CED" w:rsidRDefault="00A00CED" w:rsidP="00A00CED">
      <w:pPr>
        <w:pStyle w:val="ListParagraph"/>
        <w:numPr>
          <w:ilvl w:val="0"/>
          <w:numId w:val="24"/>
        </w:numPr>
        <w:rPr>
          <w:rFonts w:ascii="Arial" w:hAnsi="Arial" w:cs="Arial"/>
          <w:sz w:val="20"/>
          <w:szCs w:val="20"/>
        </w:rPr>
      </w:pPr>
      <w:r>
        <w:rPr>
          <w:rFonts w:ascii="Arial" w:hAnsi="Arial" w:cs="Arial"/>
          <w:sz w:val="20"/>
          <w:szCs w:val="20"/>
        </w:rPr>
        <w:t xml:space="preserve">All States and Territories except for Queensland have a minimum term requirement of 5 years for retail leases; </w:t>
      </w:r>
    </w:p>
    <w:p w:rsidR="00A00CED" w:rsidRDefault="00A00CED" w:rsidP="00A00CED">
      <w:pPr>
        <w:pStyle w:val="ListParagraph"/>
        <w:numPr>
          <w:ilvl w:val="0"/>
          <w:numId w:val="24"/>
        </w:numPr>
        <w:rPr>
          <w:rFonts w:ascii="Arial" w:hAnsi="Arial" w:cs="Arial"/>
          <w:sz w:val="20"/>
          <w:szCs w:val="20"/>
        </w:rPr>
      </w:pPr>
      <w:r>
        <w:rPr>
          <w:rFonts w:ascii="Arial" w:hAnsi="Arial" w:cs="Arial"/>
          <w:sz w:val="20"/>
          <w:szCs w:val="20"/>
        </w:rPr>
        <w:t xml:space="preserve">All States require the landlord to inform the tenant of his or her intentions within a reasonable period of time prior to the end of the lease, and failure to do so will extend the lease until the landlord has given the tenant the proper notice;  </w:t>
      </w:r>
    </w:p>
    <w:p w:rsidR="00A00CED" w:rsidRDefault="00A00CED" w:rsidP="00A00CED">
      <w:pPr>
        <w:pStyle w:val="ListParagraph"/>
        <w:numPr>
          <w:ilvl w:val="0"/>
          <w:numId w:val="24"/>
        </w:numPr>
        <w:rPr>
          <w:rFonts w:ascii="Arial" w:hAnsi="Arial" w:cs="Arial"/>
          <w:sz w:val="20"/>
          <w:szCs w:val="20"/>
        </w:rPr>
      </w:pPr>
      <w:r>
        <w:rPr>
          <w:rFonts w:ascii="Arial" w:hAnsi="Arial" w:cs="Arial"/>
          <w:sz w:val="20"/>
          <w:szCs w:val="20"/>
        </w:rPr>
        <w:t>While timeframes and forms may differ, most States require the landlord to serve a notice on the tenant before forfeiting a lease.</w:t>
      </w:r>
    </w:p>
    <w:p w:rsidR="00930FC6" w:rsidRDefault="00930FC6" w:rsidP="00930FC6">
      <w:pPr>
        <w:rPr>
          <w:rFonts w:ascii="Arial" w:hAnsi="Arial" w:cs="Arial"/>
          <w:sz w:val="20"/>
          <w:szCs w:val="20"/>
        </w:rPr>
      </w:pPr>
    </w:p>
    <w:p w:rsidR="00930FC6" w:rsidRPr="00930FC6" w:rsidRDefault="00930FC6" w:rsidP="00930FC6">
      <w:pPr>
        <w:rPr>
          <w:rFonts w:ascii="Arial" w:hAnsi="Arial" w:cs="Arial"/>
          <w:sz w:val="20"/>
          <w:szCs w:val="20"/>
        </w:rPr>
      </w:pPr>
      <w:r>
        <w:rPr>
          <w:rFonts w:ascii="Arial" w:hAnsi="Arial" w:cs="Arial"/>
          <w:sz w:val="20"/>
          <w:szCs w:val="20"/>
        </w:rPr>
        <w:t xml:space="preserve">When working with leases in different States and Territories, it is important to firstly work out what type of lease you are dealing with, then consult the relevant Acts and authorities for what is required to effectively terminate the lease. </w:t>
      </w:r>
    </w:p>
    <w:p w:rsidR="00446EA3" w:rsidRDefault="00446EA3" w:rsidP="00446EA3">
      <w:pPr>
        <w:rPr>
          <w:rFonts w:ascii="Arial" w:hAnsi="Arial" w:cs="Arial"/>
          <w:sz w:val="20"/>
          <w:szCs w:val="20"/>
        </w:rPr>
      </w:pPr>
    </w:p>
    <w:p w:rsidR="00446EA3" w:rsidRPr="00446EA3" w:rsidRDefault="00446EA3" w:rsidP="00446EA3">
      <w:pPr>
        <w:rPr>
          <w:rFonts w:ascii="Arial" w:hAnsi="Arial" w:cs="Arial"/>
          <w:sz w:val="20"/>
          <w:szCs w:val="20"/>
        </w:rPr>
      </w:pPr>
    </w:p>
    <w:sectPr w:rsidR="00446EA3" w:rsidRPr="00446EA3">
      <w:headerReference w:type="default" r:id="rId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434" w:rsidRDefault="00476434">
      <w:r>
        <w:separator/>
      </w:r>
    </w:p>
  </w:endnote>
  <w:endnote w:type="continuationSeparator" w:id="0">
    <w:p w:rsidR="00476434" w:rsidRDefault="00476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1DC" w:rsidRDefault="006341D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434" w:rsidRDefault="00476434">
      <w:r>
        <w:separator/>
      </w:r>
    </w:p>
  </w:footnote>
  <w:footnote w:type="continuationSeparator" w:id="0">
    <w:p w:rsidR="00476434" w:rsidRDefault="00476434">
      <w:r>
        <w:continuationSeparator/>
      </w:r>
    </w:p>
  </w:footnote>
  <w:footnote w:id="1">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lang w:val="en-AU"/>
        </w:rPr>
        <w:t xml:space="preserve">See definition of “retail premises” at </w:t>
      </w:r>
      <w:r w:rsidRPr="00533D0C">
        <w:rPr>
          <w:rFonts w:ascii="Arial" w:hAnsi="Arial" w:cs="Arial"/>
          <w:i/>
          <w:lang w:val="en-AU"/>
        </w:rPr>
        <w:t>Retail Leases Act 2003</w:t>
      </w:r>
      <w:r w:rsidRPr="00533D0C">
        <w:rPr>
          <w:rFonts w:ascii="Arial" w:hAnsi="Arial" w:cs="Arial"/>
          <w:lang w:val="en-AU"/>
        </w:rPr>
        <w:t xml:space="preserve"> (Vic) s 4.</w:t>
      </w:r>
    </w:p>
  </w:footnote>
  <w:footnote w:id="2">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Leases Act 2003</w:t>
      </w:r>
      <w:r w:rsidRPr="00533D0C">
        <w:rPr>
          <w:rFonts w:ascii="Arial" w:hAnsi="Arial" w:cs="Arial"/>
          <w:lang w:val="en-AU"/>
        </w:rPr>
        <w:t xml:space="preserve"> (Vic)  s 21.</w:t>
      </w:r>
    </w:p>
  </w:footnote>
  <w:footnote w:id="3">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See note to </w:t>
      </w:r>
      <w:r w:rsidRPr="00533D0C">
        <w:rPr>
          <w:rFonts w:ascii="Arial" w:hAnsi="Arial" w:cs="Arial"/>
          <w:i/>
          <w:lang w:val="en-AU"/>
        </w:rPr>
        <w:t>Retail Leases Act 2003</w:t>
      </w:r>
      <w:r w:rsidRPr="00533D0C">
        <w:rPr>
          <w:rFonts w:ascii="Arial" w:hAnsi="Arial" w:cs="Arial"/>
          <w:lang w:val="en-AU"/>
        </w:rPr>
        <w:t xml:space="preserve"> (Vic) s 21(1).</w:t>
      </w:r>
    </w:p>
  </w:footnote>
  <w:footnote w:id="4">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Leases Act 2003</w:t>
      </w:r>
      <w:r w:rsidRPr="00533D0C">
        <w:rPr>
          <w:rFonts w:ascii="Arial" w:hAnsi="Arial" w:cs="Arial"/>
          <w:lang w:val="en-AU"/>
        </w:rPr>
        <w:t xml:space="preserve"> (Vic) s 64(2).</w:t>
      </w:r>
    </w:p>
  </w:footnote>
  <w:footnote w:id="5">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Leases Act 2003</w:t>
      </w:r>
      <w:r w:rsidRPr="00533D0C">
        <w:rPr>
          <w:rFonts w:ascii="Arial" w:hAnsi="Arial" w:cs="Arial"/>
          <w:lang w:val="en-AU"/>
        </w:rPr>
        <w:t xml:space="preserve"> (Vic) s 64(4).</w:t>
      </w:r>
    </w:p>
  </w:footnote>
  <w:footnote w:id="6">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Leases Act 2003</w:t>
      </w:r>
      <w:r w:rsidRPr="00533D0C">
        <w:rPr>
          <w:rFonts w:ascii="Arial" w:hAnsi="Arial" w:cs="Arial"/>
          <w:lang w:val="en-AU"/>
        </w:rPr>
        <w:t xml:space="preserve"> (Vic) s 64(5).</w:t>
      </w:r>
    </w:p>
  </w:footnote>
  <w:footnote w:id="7">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Leases Act 2003</w:t>
      </w:r>
      <w:r w:rsidRPr="00533D0C">
        <w:rPr>
          <w:rFonts w:ascii="Arial" w:hAnsi="Arial" w:cs="Arial"/>
          <w:lang w:val="en-AU"/>
        </w:rPr>
        <w:t xml:space="preserve"> (Vic) s </w:t>
      </w:r>
      <w:r w:rsidRPr="00533D0C">
        <w:rPr>
          <w:rFonts w:ascii="Arial" w:hAnsi="Arial" w:cs="Arial"/>
        </w:rPr>
        <w:t xml:space="preserve">61. </w:t>
      </w:r>
    </w:p>
  </w:footnote>
  <w:footnote w:id="8">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Property Law Act 1958</w:t>
      </w:r>
      <w:r w:rsidRPr="00533D0C">
        <w:rPr>
          <w:rFonts w:ascii="Arial" w:hAnsi="Arial" w:cs="Arial"/>
        </w:rPr>
        <w:t xml:space="preserve"> (Vic) s</w:t>
      </w:r>
      <w:r w:rsidRPr="00533D0C">
        <w:rPr>
          <w:rFonts w:ascii="Arial" w:hAnsi="Arial" w:cs="Arial"/>
          <w:lang w:val="en-AU"/>
        </w:rPr>
        <w:t xml:space="preserve"> 146.</w:t>
      </w:r>
    </w:p>
  </w:footnote>
  <w:footnote w:id="9">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Shop Leases Act 1994</w:t>
      </w:r>
      <w:r w:rsidRPr="00533D0C">
        <w:rPr>
          <w:rFonts w:ascii="Arial" w:hAnsi="Arial" w:cs="Arial"/>
          <w:lang w:val="en-AU"/>
        </w:rPr>
        <w:t xml:space="preserve"> (Qld) s 46.</w:t>
      </w:r>
    </w:p>
  </w:footnote>
  <w:footnote w:id="10">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Shop Leases Act 1994</w:t>
      </w:r>
      <w:r w:rsidRPr="00533D0C">
        <w:rPr>
          <w:rFonts w:ascii="Arial" w:hAnsi="Arial" w:cs="Arial"/>
          <w:lang w:val="en-AU"/>
        </w:rPr>
        <w:t xml:space="preserve"> (Qld) s 46AA.</w:t>
      </w:r>
    </w:p>
  </w:footnote>
  <w:footnote w:id="11">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Shop Leases Act 1994</w:t>
      </w:r>
      <w:r w:rsidRPr="00533D0C">
        <w:rPr>
          <w:rFonts w:ascii="Arial" w:hAnsi="Arial" w:cs="Arial"/>
          <w:lang w:val="en-AU"/>
        </w:rPr>
        <w:t xml:space="preserve"> (Qld) s 22B.</w:t>
      </w:r>
    </w:p>
  </w:footnote>
  <w:footnote w:id="12">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Retail Shop Leases Act 1994</w:t>
      </w:r>
      <w:r w:rsidRPr="00533D0C">
        <w:rPr>
          <w:rFonts w:ascii="Arial" w:hAnsi="Arial" w:cs="Arial"/>
          <w:lang w:val="en-AU"/>
        </w:rPr>
        <w:t xml:space="preserve"> (Qld) s 22C.</w:t>
      </w:r>
    </w:p>
  </w:footnote>
  <w:footnote w:id="13">
    <w:p w:rsidR="006341DC" w:rsidRPr="00533D0C" w:rsidRDefault="006341DC" w:rsidP="00152F9B">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Property Law Act 1974</w:t>
      </w:r>
      <w:r w:rsidRPr="00533D0C">
        <w:rPr>
          <w:rFonts w:ascii="Arial" w:hAnsi="Arial" w:cs="Arial"/>
        </w:rPr>
        <w:t xml:space="preserve"> (Qld) s</w:t>
      </w:r>
      <w:r w:rsidRPr="00533D0C">
        <w:rPr>
          <w:rFonts w:ascii="Arial" w:hAnsi="Arial" w:cs="Arial"/>
          <w:lang w:val="en-AU"/>
        </w:rPr>
        <w:t xml:space="preserve"> 124.</w:t>
      </w:r>
    </w:p>
  </w:footnote>
  <w:footnote w:id="14">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Retail and Commercial Leases Act 1995 </w:t>
      </w:r>
      <w:r w:rsidRPr="00533D0C">
        <w:rPr>
          <w:rFonts w:ascii="Arial" w:hAnsi="Arial" w:cs="Arial"/>
        </w:rPr>
        <w:t>(SA)</w:t>
      </w:r>
      <w:r w:rsidRPr="00533D0C">
        <w:rPr>
          <w:rFonts w:ascii="Arial" w:hAnsi="Arial" w:cs="Arial"/>
          <w:i/>
        </w:rPr>
        <w:t>.</w:t>
      </w:r>
    </w:p>
  </w:footnote>
  <w:footnote w:id="15">
    <w:p w:rsidR="00174A3C" w:rsidRPr="00533D0C" w:rsidRDefault="00174A3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Landlord and Tenant Act 1936</w:t>
      </w:r>
      <w:r w:rsidRPr="00533D0C">
        <w:rPr>
          <w:rFonts w:ascii="Arial" w:hAnsi="Arial" w:cs="Arial"/>
          <w:lang w:val="en-AU"/>
        </w:rPr>
        <w:t xml:space="preserve"> (SA).</w:t>
      </w:r>
    </w:p>
  </w:footnote>
  <w:footnote w:id="16">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Retail and Commercial Leases Act 1995</w:t>
      </w:r>
      <w:r w:rsidRPr="00533D0C">
        <w:rPr>
          <w:rFonts w:ascii="Arial" w:hAnsi="Arial" w:cs="Arial"/>
        </w:rPr>
        <w:t xml:space="preserve"> (SA) s 20B.</w:t>
      </w:r>
    </w:p>
  </w:footnote>
  <w:footnote w:id="17">
    <w:p w:rsidR="006341DC" w:rsidRPr="00533D0C" w:rsidRDefault="006341DC" w:rsidP="002B2388">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Retail and Commercial Leases Act 1995</w:t>
      </w:r>
      <w:r w:rsidRPr="00533D0C">
        <w:rPr>
          <w:rFonts w:ascii="Arial" w:hAnsi="Arial" w:cs="Arial"/>
        </w:rPr>
        <w:t xml:space="preserve"> (SA) s 20J.</w:t>
      </w:r>
    </w:p>
  </w:footnote>
  <w:footnote w:id="18">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Retail and Commercial Leases Act 1995</w:t>
      </w:r>
      <w:r w:rsidRPr="00533D0C">
        <w:rPr>
          <w:rFonts w:ascii="Arial" w:hAnsi="Arial" w:cs="Arial"/>
        </w:rPr>
        <w:t xml:space="preserve"> (SA) s 45.</w:t>
      </w:r>
    </w:p>
  </w:footnote>
  <w:footnote w:id="19">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Retail and Commercial Leases Act 1995</w:t>
      </w:r>
      <w:r w:rsidRPr="00533D0C">
        <w:rPr>
          <w:rFonts w:ascii="Arial" w:hAnsi="Arial" w:cs="Arial"/>
        </w:rPr>
        <w:t xml:space="preserve"> (SA) s 45.</w:t>
      </w:r>
    </w:p>
  </w:footnote>
  <w:footnote w:id="20">
    <w:p w:rsidR="00174A3C" w:rsidRPr="00533D0C" w:rsidRDefault="00174A3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Landlord and Tenant Act 1936</w:t>
      </w:r>
      <w:r w:rsidRPr="00533D0C">
        <w:rPr>
          <w:rFonts w:ascii="Arial" w:hAnsi="Arial" w:cs="Arial"/>
          <w:lang w:val="en-AU"/>
        </w:rPr>
        <w:t xml:space="preserve"> (SA) s 4.</w:t>
      </w:r>
    </w:p>
  </w:footnote>
  <w:footnote w:id="21">
    <w:p w:rsidR="00174A3C" w:rsidRPr="00533D0C" w:rsidRDefault="00174A3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Landlord and Tenant Act 1936</w:t>
      </w:r>
      <w:r w:rsidRPr="00533D0C">
        <w:rPr>
          <w:rFonts w:ascii="Arial" w:hAnsi="Arial" w:cs="Arial"/>
          <w:lang w:val="en-AU"/>
        </w:rPr>
        <w:t xml:space="preserve"> (SA) s 10.</w:t>
      </w:r>
    </w:p>
  </w:footnote>
  <w:footnote w:id="22">
    <w:p w:rsidR="006341DC" w:rsidRPr="00533D0C" w:rsidRDefault="006341DC" w:rsidP="00B46724">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(WA)</w:t>
      </w:r>
      <w:r w:rsidRPr="00533D0C">
        <w:rPr>
          <w:rFonts w:ascii="Arial" w:hAnsi="Arial" w:cs="Arial"/>
          <w:lang w:val="en-AU"/>
        </w:rPr>
        <w:t xml:space="preserve">. </w:t>
      </w:r>
    </w:p>
  </w:footnote>
  <w:footnote w:id="23">
    <w:p w:rsidR="00E178C6" w:rsidRPr="00533D0C" w:rsidRDefault="00E178C6">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Property Law Act 1969</w:t>
      </w:r>
      <w:r w:rsidRPr="00533D0C">
        <w:rPr>
          <w:rFonts w:ascii="Arial" w:hAnsi="Arial" w:cs="Arial"/>
          <w:lang w:val="en-AU"/>
        </w:rPr>
        <w:t xml:space="preserve"> (WA).</w:t>
      </w:r>
    </w:p>
  </w:footnote>
  <w:footnote w:id="24">
    <w:p w:rsidR="006341DC" w:rsidRPr="00533D0C" w:rsidRDefault="006341DC" w:rsidP="00DE3351">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(WA) s 13.</w:t>
      </w:r>
    </w:p>
  </w:footnote>
  <w:footnote w:id="25">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(WA) s 13B.</w:t>
      </w:r>
    </w:p>
  </w:footnote>
  <w:footnote w:id="26">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(WA) s 13C.</w:t>
      </w:r>
    </w:p>
  </w:footnote>
  <w:footnote w:id="27">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 xml:space="preserve">(WA) s 13. </w:t>
      </w:r>
    </w:p>
  </w:footnote>
  <w:footnote w:id="28">
    <w:p w:rsidR="006341DC" w:rsidRPr="00533D0C" w:rsidRDefault="006341DC" w:rsidP="00B46724">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Commercial Tenancy (Retail Shops) Agreements Act 1985 </w:t>
      </w:r>
      <w:r w:rsidRPr="00533D0C">
        <w:rPr>
          <w:rFonts w:ascii="Arial" w:hAnsi="Arial" w:cs="Arial"/>
        </w:rPr>
        <w:t>(WA) s 10.</w:t>
      </w:r>
    </w:p>
  </w:footnote>
  <w:footnote w:id="29">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lang w:val="en-AU"/>
        </w:rPr>
        <w:t xml:space="preserve">See, for example, </w:t>
      </w:r>
      <w:r w:rsidRPr="00533D0C">
        <w:rPr>
          <w:rFonts w:ascii="Arial" w:hAnsi="Arial" w:cs="Arial"/>
          <w:i/>
          <w:lang w:val="en-AU"/>
        </w:rPr>
        <w:t>Taj Coffee Company Pty Ltd and Plaza Arcade</w:t>
      </w:r>
      <w:r w:rsidRPr="00533D0C">
        <w:rPr>
          <w:rFonts w:ascii="Arial" w:hAnsi="Arial" w:cs="Arial"/>
          <w:lang w:val="en-AU"/>
        </w:rPr>
        <w:t xml:space="preserve"> [2009] WASAT 107. </w:t>
      </w:r>
    </w:p>
  </w:footnote>
  <w:footnote w:id="30">
    <w:p w:rsidR="00E178C6" w:rsidRPr="00533D0C" w:rsidRDefault="00E178C6">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Property Law Act 1969</w:t>
      </w:r>
      <w:r w:rsidRPr="00533D0C">
        <w:rPr>
          <w:rFonts w:ascii="Arial" w:hAnsi="Arial" w:cs="Arial"/>
          <w:lang w:val="en-AU"/>
        </w:rPr>
        <w:t xml:space="preserve"> (WA) s 81.</w:t>
      </w:r>
    </w:p>
  </w:footnote>
  <w:footnote w:id="31">
    <w:p w:rsidR="006341DC" w:rsidRPr="00533D0C" w:rsidRDefault="006341DC" w:rsidP="000A3E43">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Fair Trading (Code of Practice for Retail Tenancies) Regulations 1998</w:t>
      </w:r>
      <w:r w:rsidRPr="00533D0C">
        <w:rPr>
          <w:rFonts w:ascii="Arial" w:hAnsi="Arial" w:cs="Arial"/>
        </w:rPr>
        <w:t xml:space="preserve"> (TAS)</w:t>
      </w:r>
      <w:r w:rsidRPr="00533D0C">
        <w:rPr>
          <w:rFonts w:ascii="Arial" w:hAnsi="Arial" w:cs="Arial"/>
          <w:lang w:val="en-AU"/>
        </w:rPr>
        <w:t xml:space="preserve">. </w:t>
      </w:r>
    </w:p>
  </w:footnote>
  <w:footnote w:id="32">
    <w:p w:rsidR="000D53D1" w:rsidRPr="00533D0C" w:rsidRDefault="000D53D1" w:rsidP="000D53D1">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Conveyancing and Law of Property Act 1884</w:t>
      </w:r>
      <w:r w:rsidRPr="00533D0C">
        <w:rPr>
          <w:rFonts w:ascii="Arial" w:hAnsi="Arial" w:cs="Arial"/>
          <w:lang w:val="en-AU"/>
        </w:rPr>
        <w:t xml:space="preserve"> (TAS).</w:t>
      </w:r>
    </w:p>
  </w:footnote>
  <w:footnote w:id="33">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Fair Trading (Code of Practice for Retail Tenancies) Regulations 1998</w:t>
      </w:r>
      <w:r w:rsidRPr="00533D0C">
        <w:rPr>
          <w:rFonts w:ascii="Arial" w:hAnsi="Arial" w:cs="Arial"/>
        </w:rPr>
        <w:t xml:space="preserve"> (TAS) s 10.</w:t>
      </w:r>
    </w:p>
  </w:footnote>
  <w:footnote w:id="34">
    <w:p w:rsidR="006341DC" w:rsidRPr="00533D0C" w:rsidRDefault="006341DC">
      <w:pPr>
        <w:pStyle w:val="FootnoteText"/>
        <w:rPr>
          <w:rFonts w:ascii="Arial" w:hAnsi="Arial" w:cs="Arial"/>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Fair Trading (Code of Practice for Retail Tenancies) Regulations 1998</w:t>
      </w:r>
      <w:r w:rsidRPr="00533D0C">
        <w:rPr>
          <w:rFonts w:ascii="Arial" w:hAnsi="Arial" w:cs="Arial"/>
        </w:rPr>
        <w:t xml:space="preserve"> (TAS) s 20.</w:t>
      </w:r>
    </w:p>
  </w:footnote>
  <w:footnote w:id="35">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Fair Trading (Code of Practice for Retail Tenancies) Regulations 1998</w:t>
      </w:r>
      <w:r w:rsidRPr="00533D0C">
        <w:rPr>
          <w:rFonts w:ascii="Arial" w:hAnsi="Arial" w:cs="Arial"/>
        </w:rPr>
        <w:t xml:space="preserve"> (TAS) s 29.</w:t>
      </w:r>
    </w:p>
  </w:footnote>
  <w:footnote w:id="36">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Fair Trading (Code of Practice for Retail Tenancies) Regulations 1998</w:t>
      </w:r>
      <w:r w:rsidRPr="00533D0C">
        <w:rPr>
          <w:rFonts w:ascii="Arial" w:hAnsi="Arial" w:cs="Arial"/>
        </w:rPr>
        <w:t xml:space="preserve"> (TAS) s 28.</w:t>
      </w:r>
    </w:p>
  </w:footnote>
  <w:footnote w:id="37">
    <w:p w:rsidR="000D53D1" w:rsidRPr="00533D0C" w:rsidRDefault="000D53D1">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lang w:val="en-AU"/>
        </w:rPr>
        <w:t>Conveyancing and Law of Property Act 1884</w:t>
      </w:r>
      <w:r w:rsidRPr="00533D0C">
        <w:rPr>
          <w:rFonts w:ascii="Arial" w:hAnsi="Arial" w:cs="Arial"/>
          <w:lang w:val="en-AU"/>
        </w:rPr>
        <w:t xml:space="preserve"> (TAS) s 15.</w:t>
      </w:r>
    </w:p>
  </w:footnote>
  <w:footnote w:id="38">
    <w:p w:rsidR="006341DC" w:rsidRPr="00533D0C" w:rsidRDefault="006341DC" w:rsidP="00A74647">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w:t>
      </w:r>
    </w:p>
  </w:footnote>
  <w:footnote w:id="39">
    <w:p w:rsidR="00EA1669" w:rsidRPr="00533D0C" w:rsidRDefault="00EA1669">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Civil Law (Property) Act 2006 </w:t>
      </w:r>
      <w:r w:rsidRPr="00533D0C">
        <w:rPr>
          <w:rFonts w:ascii="Arial" w:hAnsi="Arial" w:cs="Arial"/>
        </w:rPr>
        <w:t>(ACT).</w:t>
      </w:r>
    </w:p>
  </w:footnote>
  <w:footnote w:id="40">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104.</w:t>
      </w:r>
    </w:p>
  </w:footnote>
  <w:footnote w:id="41">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114.</w:t>
      </w:r>
    </w:p>
  </w:footnote>
  <w:footnote w:id="42">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107. </w:t>
      </w:r>
    </w:p>
  </w:footnote>
  <w:footnote w:id="43">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122.</w:t>
      </w:r>
    </w:p>
  </w:footnote>
  <w:footnote w:id="44">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127.</w:t>
      </w:r>
    </w:p>
  </w:footnote>
  <w:footnote w:id="45">
    <w:p w:rsidR="006341DC" w:rsidRPr="00533D0C" w:rsidRDefault="006341DC" w:rsidP="005D64CD">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115.</w:t>
      </w:r>
    </w:p>
  </w:footnote>
  <w:footnote w:id="46">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116.</w:t>
      </w:r>
    </w:p>
  </w:footnote>
  <w:footnote w:id="47">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117.</w:t>
      </w:r>
    </w:p>
  </w:footnote>
  <w:footnote w:id="48">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118.</w:t>
      </w:r>
    </w:p>
  </w:footnote>
  <w:footnote w:id="49">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119.</w:t>
      </w:r>
    </w:p>
  </w:footnote>
  <w:footnote w:id="50">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95.</w:t>
      </w:r>
    </w:p>
  </w:footnote>
  <w:footnote w:id="51">
    <w:p w:rsidR="006341DC" w:rsidRPr="00533D0C" w:rsidRDefault="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Leases (Commercial and Retail) Act 2001</w:t>
      </w:r>
      <w:r w:rsidRPr="00533D0C">
        <w:rPr>
          <w:rFonts w:ascii="Arial" w:hAnsi="Arial" w:cs="Arial"/>
        </w:rPr>
        <w:t>(ACT)</w:t>
      </w:r>
      <w:r w:rsidRPr="00533D0C">
        <w:rPr>
          <w:rFonts w:ascii="Arial" w:hAnsi="Arial" w:cs="Arial"/>
          <w:lang w:val="en-AU"/>
        </w:rPr>
        <w:t xml:space="preserve"> s 100.</w:t>
      </w:r>
    </w:p>
  </w:footnote>
  <w:footnote w:id="52">
    <w:p w:rsidR="00EA1669" w:rsidRPr="00533D0C" w:rsidRDefault="00EA1669">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Civil Law (Property) Act 2006 </w:t>
      </w:r>
      <w:r w:rsidRPr="00533D0C">
        <w:rPr>
          <w:rFonts w:ascii="Arial" w:hAnsi="Arial" w:cs="Arial"/>
        </w:rPr>
        <w:t>(ACT) s 426.</w:t>
      </w:r>
    </w:p>
  </w:footnote>
  <w:footnote w:id="53">
    <w:p w:rsidR="006341DC" w:rsidRPr="00533D0C" w:rsidRDefault="006341DC" w:rsidP="006341DC">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w:t>
      </w:r>
      <w:r w:rsidRPr="00533D0C">
        <w:rPr>
          <w:rFonts w:ascii="Arial" w:hAnsi="Arial" w:cs="Arial"/>
          <w:lang w:val="en-AU"/>
        </w:rPr>
        <w:t>.</w:t>
      </w:r>
    </w:p>
  </w:footnote>
  <w:footnote w:id="54">
    <w:p w:rsidR="00A00CED" w:rsidRPr="00533D0C" w:rsidRDefault="00A00CED">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Law of Property Act </w:t>
      </w:r>
      <w:r w:rsidRPr="00533D0C">
        <w:rPr>
          <w:rFonts w:ascii="Arial" w:hAnsi="Arial" w:cs="Arial"/>
        </w:rPr>
        <w:t>(NT).</w:t>
      </w:r>
    </w:p>
  </w:footnote>
  <w:footnote w:id="55">
    <w:p w:rsidR="001268CA" w:rsidRPr="00533D0C" w:rsidRDefault="001268CA">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w:t>
      </w:r>
      <w:r w:rsidRPr="00533D0C">
        <w:rPr>
          <w:rFonts w:ascii="Arial" w:hAnsi="Arial" w:cs="Arial"/>
          <w:lang w:val="en-AU"/>
        </w:rPr>
        <w:t xml:space="preserve"> s 26.</w:t>
      </w:r>
    </w:p>
  </w:footnote>
  <w:footnote w:id="56">
    <w:p w:rsidR="001268CA" w:rsidRPr="00533D0C" w:rsidRDefault="001268CA">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w:t>
      </w:r>
      <w:r w:rsidRPr="00533D0C">
        <w:rPr>
          <w:rFonts w:ascii="Arial" w:hAnsi="Arial" w:cs="Arial"/>
          <w:lang w:val="en-AU"/>
        </w:rPr>
        <w:t xml:space="preserve"> s 60.</w:t>
      </w:r>
    </w:p>
  </w:footnote>
  <w:footnote w:id="57">
    <w:p w:rsidR="001268CA" w:rsidRPr="00533D0C" w:rsidRDefault="001268CA">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 s 55.</w:t>
      </w:r>
    </w:p>
  </w:footnote>
  <w:footnote w:id="58">
    <w:p w:rsidR="00402696" w:rsidRPr="00533D0C" w:rsidRDefault="00402696">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w:t>
      </w:r>
      <w:r w:rsidRPr="00533D0C">
        <w:rPr>
          <w:rFonts w:ascii="Arial" w:hAnsi="Arial" w:cs="Arial"/>
          <w:lang w:val="en-AU"/>
        </w:rPr>
        <w:t xml:space="preserve"> s 56.</w:t>
      </w:r>
    </w:p>
  </w:footnote>
  <w:footnote w:id="59">
    <w:p w:rsidR="00402696" w:rsidRPr="00533D0C" w:rsidRDefault="00402696">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Business Tenancies (Fair Dealings) Act 2003 </w:t>
      </w:r>
      <w:r w:rsidRPr="00533D0C">
        <w:rPr>
          <w:rFonts w:ascii="Arial" w:hAnsi="Arial" w:cs="Arial"/>
        </w:rPr>
        <w:t>(NT)</w:t>
      </w:r>
      <w:r w:rsidRPr="00533D0C">
        <w:rPr>
          <w:rFonts w:ascii="Arial" w:hAnsi="Arial" w:cs="Arial"/>
          <w:lang w:val="en-AU"/>
        </w:rPr>
        <w:t xml:space="preserve"> s 53.</w:t>
      </w:r>
    </w:p>
  </w:footnote>
  <w:footnote w:id="60">
    <w:p w:rsidR="00A00CED" w:rsidRPr="00533D0C" w:rsidRDefault="00A00CED">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i/>
        </w:rPr>
        <w:t xml:space="preserve">Law of Property Act </w:t>
      </w:r>
      <w:r w:rsidRPr="00533D0C">
        <w:rPr>
          <w:rFonts w:ascii="Arial" w:hAnsi="Arial" w:cs="Arial"/>
        </w:rPr>
        <w:t>(NT) s 137.</w:t>
      </w:r>
    </w:p>
  </w:footnote>
  <w:footnote w:id="61">
    <w:p w:rsidR="00A00CED" w:rsidRPr="00533D0C" w:rsidRDefault="00A00CED">
      <w:pPr>
        <w:pStyle w:val="FootnoteText"/>
        <w:rPr>
          <w:rFonts w:ascii="Arial" w:hAnsi="Arial" w:cs="Arial"/>
          <w:lang w:val="en-AU"/>
        </w:rPr>
      </w:pPr>
      <w:r w:rsidRPr="00533D0C">
        <w:rPr>
          <w:rStyle w:val="FootnoteReference"/>
          <w:rFonts w:ascii="Arial" w:hAnsi="Arial" w:cs="Arial"/>
        </w:rPr>
        <w:footnoteRef/>
      </w:r>
      <w:r w:rsidRPr="00533D0C">
        <w:rPr>
          <w:rFonts w:ascii="Arial" w:hAnsi="Arial" w:cs="Arial"/>
        </w:rPr>
        <w:t xml:space="preserve"> </w:t>
      </w:r>
      <w:r w:rsidRPr="00533D0C">
        <w:rPr>
          <w:rFonts w:ascii="Arial" w:hAnsi="Arial" w:cs="Arial"/>
          <w:lang w:val="en-AU"/>
        </w:rPr>
        <w:t xml:space="preserve">Ibid.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1DC" w:rsidRDefault="006341D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C185D"/>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6E21711"/>
    <w:multiLevelType w:val="hybridMultilevel"/>
    <w:tmpl w:val="3F6464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1D22643"/>
    <w:multiLevelType w:val="hybridMultilevel"/>
    <w:tmpl w:val="13D0871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25F261C8"/>
    <w:multiLevelType w:val="hybridMultilevel"/>
    <w:tmpl w:val="FA8C606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2EA955ED"/>
    <w:multiLevelType w:val="hybridMultilevel"/>
    <w:tmpl w:val="7FEAB1C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F562FC6"/>
    <w:multiLevelType w:val="hybridMultilevel"/>
    <w:tmpl w:val="F3C6AE32"/>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2FD6607C"/>
    <w:multiLevelType w:val="hybridMultilevel"/>
    <w:tmpl w:val="91DACDA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3F222EE6"/>
    <w:multiLevelType w:val="hybridMultilevel"/>
    <w:tmpl w:val="D172B1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3F26619C"/>
    <w:multiLevelType w:val="hybridMultilevel"/>
    <w:tmpl w:val="D176413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40320C8A"/>
    <w:multiLevelType w:val="hybridMultilevel"/>
    <w:tmpl w:val="6FCA14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4861CCD"/>
    <w:multiLevelType w:val="hybridMultilevel"/>
    <w:tmpl w:val="24D43C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778027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C384AD5"/>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2D44379"/>
    <w:multiLevelType w:val="hybridMultilevel"/>
    <w:tmpl w:val="91DACDA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619520E"/>
    <w:multiLevelType w:val="hybridMultilevel"/>
    <w:tmpl w:val="A2D8B1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57FB0901"/>
    <w:multiLevelType w:val="hybridMultilevel"/>
    <w:tmpl w:val="2BE0BA0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5E2C0347"/>
    <w:multiLevelType w:val="hybridMultilevel"/>
    <w:tmpl w:val="E7C2B7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6011472B"/>
    <w:multiLevelType w:val="hybridMultilevel"/>
    <w:tmpl w:val="A2D8B1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64E0302F"/>
    <w:multiLevelType w:val="hybridMultilevel"/>
    <w:tmpl w:val="A2D8B1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687F0ACE"/>
    <w:multiLevelType w:val="hybridMultilevel"/>
    <w:tmpl w:val="A2D8B1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6BBC6A95"/>
    <w:multiLevelType w:val="hybridMultilevel"/>
    <w:tmpl w:val="4ED016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73C362FD"/>
    <w:multiLevelType w:val="hybridMultilevel"/>
    <w:tmpl w:val="EF24DCC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7A893354"/>
    <w:multiLevelType w:val="hybridMultilevel"/>
    <w:tmpl w:val="A2D8B12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7C550C99"/>
    <w:multiLevelType w:val="hybridMultilevel"/>
    <w:tmpl w:val="EF24DCC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5"/>
  </w:num>
  <w:num w:numId="2">
    <w:abstractNumId w:val="5"/>
  </w:num>
  <w:num w:numId="3">
    <w:abstractNumId w:val="16"/>
  </w:num>
  <w:num w:numId="4">
    <w:abstractNumId w:val="2"/>
  </w:num>
  <w:num w:numId="5">
    <w:abstractNumId w:val="20"/>
  </w:num>
  <w:num w:numId="6">
    <w:abstractNumId w:val="23"/>
  </w:num>
  <w:num w:numId="7">
    <w:abstractNumId w:val="9"/>
  </w:num>
  <w:num w:numId="8">
    <w:abstractNumId w:val="7"/>
  </w:num>
  <w:num w:numId="9">
    <w:abstractNumId w:val="1"/>
  </w:num>
  <w:num w:numId="10">
    <w:abstractNumId w:val="21"/>
  </w:num>
  <w:num w:numId="11">
    <w:abstractNumId w:val="22"/>
  </w:num>
  <w:num w:numId="12">
    <w:abstractNumId w:val="6"/>
  </w:num>
  <w:num w:numId="13">
    <w:abstractNumId w:val="14"/>
  </w:num>
  <w:num w:numId="14">
    <w:abstractNumId w:val="13"/>
  </w:num>
  <w:num w:numId="15">
    <w:abstractNumId w:val="17"/>
  </w:num>
  <w:num w:numId="16">
    <w:abstractNumId w:val="8"/>
  </w:num>
  <w:num w:numId="17">
    <w:abstractNumId w:val="18"/>
  </w:num>
  <w:num w:numId="18">
    <w:abstractNumId w:val="3"/>
  </w:num>
  <w:num w:numId="19">
    <w:abstractNumId w:val="19"/>
  </w:num>
  <w:num w:numId="20">
    <w:abstractNumId w:val="4"/>
  </w:num>
  <w:num w:numId="21">
    <w:abstractNumId w:val="12"/>
  </w:num>
  <w:num w:numId="22">
    <w:abstractNumId w:val="11"/>
  </w:num>
  <w:num w:numId="23">
    <w:abstractNumId w:val="0"/>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47E2D"/>
    <w:rsid w:val="00084487"/>
    <w:rsid w:val="000A3E43"/>
    <w:rsid w:val="000D53D1"/>
    <w:rsid w:val="0011634E"/>
    <w:rsid w:val="001268CA"/>
    <w:rsid w:val="00145181"/>
    <w:rsid w:val="00152F9B"/>
    <w:rsid w:val="00174A3C"/>
    <w:rsid w:val="001B70CC"/>
    <w:rsid w:val="001C2D1E"/>
    <w:rsid w:val="0026374D"/>
    <w:rsid w:val="00270221"/>
    <w:rsid w:val="00280A2B"/>
    <w:rsid w:val="00286AB7"/>
    <w:rsid w:val="00296B47"/>
    <w:rsid w:val="002B2388"/>
    <w:rsid w:val="00307DAA"/>
    <w:rsid w:val="003443EC"/>
    <w:rsid w:val="00394EEE"/>
    <w:rsid w:val="00402696"/>
    <w:rsid w:val="00446EA3"/>
    <w:rsid w:val="00476434"/>
    <w:rsid w:val="004F131A"/>
    <w:rsid w:val="00521614"/>
    <w:rsid w:val="00533D0C"/>
    <w:rsid w:val="00547D46"/>
    <w:rsid w:val="005A5045"/>
    <w:rsid w:val="005D64CD"/>
    <w:rsid w:val="006341DC"/>
    <w:rsid w:val="00733E9B"/>
    <w:rsid w:val="00825F84"/>
    <w:rsid w:val="0091010A"/>
    <w:rsid w:val="00917D71"/>
    <w:rsid w:val="00930FC6"/>
    <w:rsid w:val="00966309"/>
    <w:rsid w:val="009A46C8"/>
    <w:rsid w:val="009D7D4E"/>
    <w:rsid w:val="00A00CED"/>
    <w:rsid w:val="00A74647"/>
    <w:rsid w:val="00B46724"/>
    <w:rsid w:val="00B47E2D"/>
    <w:rsid w:val="00BA28AF"/>
    <w:rsid w:val="00CA7849"/>
    <w:rsid w:val="00D24C68"/>
    <w:rsid w:val="00DE3351"/>
    <w:rsid w:val="00E178C6"/>
    <w:rsid w:val="00EA1669"/>
    <w:rsid w:val="00F01925"/>
    <w:rsid w:val="00F76181"/>
    <w:rsid w:val="00FA076D"/>
    <w:rsid w:val="00FC32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lang w:val="en-US"/>
    </w:rPr>
  </w:style>
  <w:style w:type="paragraph" w:styleId="FootnoteText">
    <w:name w:val="footnote text"/>
    <w:basedOn w:val="Normal"/>
    <w:link w:val="FootnoteTextChar"/>
    <w:uiPriority w:val="99"/>
    <w:semiHidden/>
    <w:unhideWhenUsed/>
    <w:rsid w:val="00CA7849"/>
    <w:rPr>
      <w:sz w:val="20"/>
      <w:szCs w:val="20"/>
    </w:rPr>
  </w:style>
  <w:style w:type="character" w:customStyle="1" w:styleId="FootnoteTextChar">
    <w:name w:val="Footnote Text Char"/>
    <w:basedOn w:val="DefaultParagraphFont"/>
    <w:link w:val="FootnoteText"/>
    <w:uiPriority w:val="99"/>
    <w:semiHidden/>
    <w:rsid w:val="00CA7849"/>
    <w:rPr>
      <w:lang w:val="en-US" w:eastAsia="en-US"/>
    </w:rPr>
  </w:style>
  <w:style w:type="character" w:styleId="FootnoteReference">
    <w:name w:val="footnote reference"/>
    <w:basedOn w:val="DefaultParagraphFont"/>
    <w:uiPriority w:val="99"/>
    <w:semiHidden/>
    <w:unhideWhenUsed/>
    <w:rsid w:val="00CA7849"/>
    <w:rPr>
      <w:vertAlign w:val="superscript"/>
    </w:rPr>
  </w:style>
  <w:style w:type="paragraph" w:styleId="ListParagraph">
    <w:name w:val="List Paragraph"/>
    <w:basedOn w:val="Normal"/>
    <w:uiPriority w:val="34"/>
    <w:qFormat/>
    <w:rsid w:val="00BA28AF"/>
    <w:pPr>
      <w:ind w:left="720"/>
      <w:contextualSpacing/>
    </w:pPr>
  </w:style>
  <w:style w:type="paragraph" w:styleId="NormalWeb">
    <w:name w:val="Normal (Web)"/>
    <w:basedOn w:val="Normal"/>
    <w:uiPriority w:val="99"/>
    <w:semiHidden/>
    <w:unhideWhenUsed/>
    <w:rsid w:val="003443E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AU" w:eastAsia="en-AU"/>
    </w:rPr>
  </w:style>
  <w:style w:type="character" w:customStyle="1" w:styleId="apple-converted-space">
    <w:name w:val="apple-converted-space"/>
    <w:basedOn w:val="DefaultParagraphFont"/>
    <w:rsid w:val="005216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lang w:val="en-US"/>
    </w:rPr>
  </w:style>
  <w:style w:type="paragraph" w:styleId="FootnoteText">
    <w:name w:val="footnote text"/>
    <w:basedOn w:val="Normal"/>
    <w:link w:val="FootnoteTextChar"/>
    <w:uiPriority w:val="99"/>
    <w:semiHidden/>
    <w:unhideWhenUsed/>
    <w:rsid w:val="00CA7849"/>
    <w:rPr>
      <w:sz w:val="20"/>
      <w:szCs w:val="20"/>
    </w:rPr>
  </w:style>
  <w:style w:type="character" w:customStyle="1" w:styleId="FootnoteTextChar">
    <w:name w:val="Footnote Text Char"/>
    <w:basedOn w:val="DefaultParagraphFont"/>
    <w:link w:val="FootnoteText"/>
    <w:uiPriority w:val="99"/>
    <w:semiHidden/>
    <w:rsid w:val="00CA7849"/>
    <w:rPr>
      <w:lang w:val="en-US" w:eastAsia="en-US"/>
    </w:rPr>
  </w:style>
  <w:style w:type="character" w:styleId="FootnoteReference">
    <w:name w:val="footnote reference"/>
    <w:basedOn w:val="DefaultParagraphFont"/>
    <w:uiPriority w:val="99"/>
    <w:semiHidden/>
    <w:unhideWhenUsed/>
    <w:rsid w:val="00CA7849"/>
    <w:rPr>
      <w:vertAlign w:val="superscript"/>
    </w:rPr>
  </w:style>
  <w:style w:type="paragraph" w:styleId="ListParagraph">
    <w:name w:val="List Paragraph"/>
    <w:basedOn w:val="Normal"/>
    <w:uiPriority w:val="34"/>
    <w:qFormat/>
    <w:rsid w:val="00BA28AF"/>
    <w:pPr>
      <w:ind w:left="720"/>
      <w:contextualSpacing/>
    </w:pPr>
  </w:style>
  <w:style w:type="paragraph" w:styleId="NormalWeb">
    <w:name w:val="Normal (Web)"/>
    <w:basedOn w:val="Normal"/>
    <w:uiPriority w:val="99"/>
    <w:semiHidden/>
    <w:unhideWhenUsed/>
    <w:rsid w:val="003443E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AU" w:eastAsia="en-AU"/>
    </w:rPr>
  </w:style>
  <w:style w:type="character" w:customStyle="1" w:styleId="apple-converted-space">
    <w:name w:val="apple-converted-space"/>
    <w:basedOn w:val="DefaultParagraphFont"/>
    <w:rsid w:val="00521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818655">
      <w:bodyDiv w:val="1"/>
      <w:marLeft w:val="0"/>
      <w:marRight w:val="0"/>
      <w:marTop w:val="0"/>
      <w:marBottom w:val="0"/>
      <w:divBdr>
        <w:top w:val="none" w:sz="0" w:space="0" w:color="auto"/>
        <w:left w:val="none" w:sz="0" w:space="0" w:color="auto"/>
        <w:bottom w:val="none" w:sz="0" w:space="0" w:color="auto"/>
        <w:right w:val="none" w:sz="0" w:space="0" w:color="auto"/>
      </w:divBdr>
      <w:divsChild>
        <w:div w:id="12562836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94759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2680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88939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46509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69716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614366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43893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41996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15884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5604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7616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8053395">
      <w:bodyDiv w:val="1"/>
      <w:marLeft w:val="0"/>
      <w:marRight w:val="0"/>
      <w:marTop w:val="0"/>
      <w:marBottom w:val="0"/>
      <w:divBdr>
        <w:top w:val="none" w:sz="0" w:space="0" w:color="auto"/>
        <w:left w:val="none" w:sz="0" w:space="0" w:color="auto"/>
        <w:bottom w:val="none" w:sz="0" w:space="0" w:color="auto"/>
        <w:right w:val="none" w:sz="0" w:space="0" w:color="auto"/>
      </w:divBdr>
    </w:div>
    <w:div w:id="434599108">
      <w:bodyDiv w:val="1"/>
      <w:marLeft w:val="0"/>
      <w:marRight w:val="0"/>
      <w:marTop w:val="0"/>
      <w:marBottom w:val="0"/>
      <w:divBdr>
        <w:top w:val="none" w:sz="0" w:space="0" w:color="auto"/>
        <w:left w:val="none" w:sz="0" w:space="0" w:color="auto"/>
        <w:bottom w:val="none" w:sz="0" w:space="0" w:color="auto"/>
        <w:right w:val="none" w:sz="0" w:space="0" w:color="auto"/>
      </w:divBdr>
    </w:div>
    <w:div w:id="455833306">
      <w:bodyDiv w:val="1"/>
      <w:marLeft w:val="0"/>
      <w:marRight w:val="0"/>
      <w:marTop w:val="0"/>
      <w:marBottom w:val="0"/>
      <w:divBdr>
        <w:top w:val="none" w:sz="0" w:space="0" w:color="auto"/>
        <w:left w:val="none" w:sz="0" w:space="0" w:color="auto"/>
        <w:bottom w:val="none" w:sz="0" w:space="0" w:color="auto"/>
        <w:right w:val="none" w:sz="0" w:space="0" w:color="auto"/>
      </w:divBdr>
    </w:div>
    <w:div w:id="506795645">
      <w:bodyDiv w:val="1"/>
      <w:marLeft w:val="0"/>
      <w:marRight w:val="0"/>
      <w:marTop w:val="0"/>
      <w:marBottom w:val="0"/>
      <w:divBdr>
        <w:top w:val="none" w:sz="0" w:space="0" w:color="auto"/>
        <w:left w:val="none" w:sz="0" w:space="0" w:color="auto"/>
        <w:bottom w:val="none" w:sz="0" w:space="0" w:color="auto"/>
        <w:right w:val="none" w:sz="0" w:space="0" w:color="auto"/>
      </w:divBdr>
      <w:divsChild>
        <w:div w:id="353772063">
          <w:blockQuote w:val="1"/>
          <w:marLeft w:val="720"/>
          <w:marRight w:val="720"/>
          <w:marTop w:val="100"/>
          <w:marBottom w:val="100"/>
          <w:divBdr>
            <w:top w:val="none" w:sz="0" w:space="0" w:color="auto"/>
            <w:left w:val="none" w:sz="0" w:space="0" w:color="auto"/>
            <w:bottom w:val="none" w:sz="0" w:space="0" w:color="auto"/>
            <w:right w:val="none" w:sz="0" w:space="0" w:color="auto"/>
          </w:divBdr>
        </w:div>
        <w:div w:id="512381639">
          <w:blockQuote w:val="1"/>
          <w:marLeft w:val="720"/>
          <w:marRight w:val="720"/>
          <w:marTop w:val="100"/>
          <w:marBottom w:val="100"/>
          <w:divBdr>
            <w:top w:val="none" w:sz="0" w:space="0" w:color="auto"/>
            <w:left w:val="none" w:sz="0" w:space="0" w:color="auto"/>
            <w:bottom w:val="none" w:sz="0" w:space="0" w:color="auto"/>
            <w:right w:val="none" w:sz="0" w:space="0" w:color="auto"/>
          </w:divBdr>
        </w:div>
        <w:div w:id="1159880740">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406829">
          <w:blockQuote w:val="1"/>
          <w:marLeft w:val="720"/>
          <w:marRight w:val="720"/>
          <w:marTop w:val="100"/>
          <w:marBottom w:val="100"/>
          <w:divBdr>
            <w:top w:val="none" w:sz="0" w:space="0" w:color="auto"/>
            <w:left w:val="none" w:sz="0" w:space="0" w:color="auto"/>
            <w:bottom w:val="none" w:sz="0" w:space="0" w:color="auto"/>
            <w:right w:val="none" w:sz="0" w:space="0" w:color="auto"/>
          </w:divBdr>
        </w:div>
        <w:div w:id="2202129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091808">
          <w:blockQuote w:val="1"/>
          <w:marLeft w:val="720"/>
          <w:marRight w:val="720"/>
          <w:marTop w:val="100"/>
          <w:marBottom w:val="100"/>
          <w:divBdr>
            <w:top w:val="none" w:sz="0" w:space="0" w:color="auto"/>
            <w:left w:val="none" w:sz="0" w:space="0" w:color="auto"/>
            <w:bottom w:val="none" w:sz="0" w:space="0" w:color="auto"/>
            <w:right w:val="none" w:sz="0" w:space="0" w:color="auto"/>
          </w:divBdr>
        </w:div>
        <w:div w:id="1505165473">
          <w:blockQuote w:val="1"/>
          <w:marLeft w:val="720"/>
          <w:marRight w:val="720"/>
          <w:marTop w:val="100"/>
          <w:marBottom w:val="100"/>
          <w:divBdr>
            <w:top w:val="none" w:sz="0" w:space="0" w:color="auto"/>
            <w:left w:val="none" w:sz="0" w:space="0" w:color="auto"/>
            <w:bottom w:val="none" w:sz="0" w:space="0" w:color="auto"/>
            <w:right w:val="none" w:sz="0" w:space="0" w:color="auto"/>
          </w:divBdr>
        </w:div>
        <w:div w:id="873926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0939380">
      <w:bodyDiv w:val="1"/>
      <w:marLeft w:val="0"/>
      <w:marRight w:val="0"/>
      <w:marTop w:val="0"/>
      <w:marBottom w:val="0"/>
      <w:divBdr>
        <w:top w:val="none" w:sz="0" w:space="0" w:color="auto"/>
        <w:left w:val="none" w:sz="0" w:space="0" w:color="auto"/>
        <w:bottom w:val="none" w:sz="0" w:space="0" w:color="auto"/>
        <w:right w:val="none" w:sz="0" w:space="0" w:color="auto"/>
      </w:divBdr>
    </w:div>
    <w:div w:id="647437203">
      <w:bodyDiv w:val="1"/>
      <w:marLeft w:val="0"/>
      <w:marRight w:val="0"/>
      <w:marTop w:val="0"/>
      <w:marBottom w:val="0"/>
      <w:divBdr>
        <w:top w:val="none" w:sz="0" w:space="0" w:color="auto"/>
        <w:left w:val="none" w:sz="0" w:space="0" w:color="auto"/>
        <w:bottom w:val="none" w:sz="0" w:space="0" w:color="auto"/>
        <w:right w:val="none" w:sz="0" w:space="0" w:color="auto"/>
      </w:divBdr>
    </w:div>
    <w:div w:id="696124094">
      <w:bodyDiv w:val="1"/>
      <w:marLeft w:val="0"/>
      <w:marRight w:val="0"/>
      <w:marTop w:val="0"/>
      <w:marBottom w:val="0"/>
      <w:divBdr>
        <w:top w:val="none" w:sz="0" w:space="0" w:color="auto"/>
        <w:left w:val="none" w:sz="0" w:space="0" w:color="auto"/>
        <w:bottom w:val="none" w:sz="0" w:space="0" w:color="auto"/>
        <w:right w:val="none" w:sz="0" w:space="0" w:color="auto"/>
      </w:divBdr>
    </w:div>
    <w:div w:id="812529767">
      <w:bodyDiv w:val="1"/>
      <w:marLeft w:val="0"/>
      <w:marRight w:val="0"/>
      <w:marTop w:val="0"/>
      <w:marBottom w:val="0"/>
      <w:divBdr>
        <w:top w:val="none" w:sz="0" w:space="0" w:color="auto"/>
        <w:left w:val="none" w:sz="0" w:space="0" w:color="auto"/>
        <w:bottom w:val="none" w:sz="0" w:space="0" w:color="auto"/>
        <w:right w:val="none" w:sz="0" w:space="0" w:color="auto"/>
      </w:divBdr>
      <w:divsChild>
        <w:div w:id="1171875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3835387">
      <w:bodyDiv w:val="1"/>
      <w:marLeft w:val="0"/>
      <w:marRight w:val="0"/>
      <w:marTop w:val="0"/>
      <w:marBottom w:val="0"/>
      <w:divBdr>
        <w:top w:val="none" w:sz="0" w:space="0" w:color="auto"/>
        <w:left w:val="none" w:sz="0" w:space="0" w:color="auto"/>
        <w:bottom w:val="none" w:sz="0" w:space="0" w:color="auto"/>
        <w:right w:val="none" w:sz="0" w:space="0" w:color="auto"/>
      </w:divBdr>
      <w:divsChild>
        <w:div w:id="1691514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5615291">
      <w:bodyDiv w:val="1"/>
      <w:marLeft w:val="0"/>
      <w:marRight w:val="0"/>
      <w:marTop w:val="0"/>
      <w:marBottom w:val="0"/>
      <w:divBdr>
        <w:top w:val="none" w:sz="0" w:space="0" w:color="auto"/>
        <w:left w:val="none" w:sz="0" w:space="0" w:color="auto"/>
        <w:bottom w:val="none" w:sz="0" w:space="0" w:color="auto"/>
        <w:right w:val="none" w:sz="0" w:space="0" w:color="auto"/>
      </w:divBdr>
      <w:divsChild>
        <w:div w:id="1291129348">
          <w:blockQuote w:val="1"/>
          <w:marLeft w:val="720"/>
          <w:marRight w:val="720"/>
          <w:marTop w:val="100"/>
          <w:marBottom w:val="100"/>
          <w:divBdr>
            <w:top w:val="none" w:sz="0" w:space="0" w:color="auto"/>
            <w:left w:val="none" w:sz="0" w:space="0" w:color="auto"/>
            <w:bottom w:val="none" w:sz="0" w:space="0" w:color="auto"/>
            <w:right w:val="none" w:sz="0" w:space="0" w:color="auto"/>
          </w:divBdr>
        </w:div>
        <w:div w:id="847721822">
          <w:blockQuote w:val="1"/>
          <w:marLeft w:val="720"/>
          <w:marRight w:val="720"/>
          <w:marTop w:val="100"/>
          <w:marBottom w:val="100"/>
          <w:divBdr>
            <w:top w:val="none" w:sz="0" w:space="0" w:color="auto"/>
            <w:left w:val="none" w:sz="0" w:space="0" w:color="auto"/>
            <w:bottom w:val="none" w:sz="0" w:space="0" w:color="auto"/>
            <w:right w:val="none" w:sz="0" w:space="0" w:color="auto"/>
          </w:divBdr>
        </w:div>
        <w:div w:id="1589458141">
          <w:blockQuote w:val="1"/>
          <w:marLeft w:val="720"/>
          <w:marRight w:val="720"/>
          <w:marTop w:val="100"/>
          <w:marBottom w:val="100"/>
          <w:divBdr>
            <w:top w:val="none" w:sz="0" w:space="0" w:color="auto"/>
            <w:left w:val="none" w:sz="0" w:space="0" w:color="auto"/>
            <w:bottom w:val="none" w:sz="0" w:space="0" w:color="auto"/>
            <w:right w:val="none" w:sz="0" w:space="0" w:color="auto"/>
          </w:divBdr>
        </w:div>
        <w:div w:id="591863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616600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466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8310893">
          <w:blockQuote w:val="1"/>
          <w:marLeft w:val="720"/>
          <w:marRight w:val="720"/>
          <w:marTop w:val="100"/>
          <w:marBottom w:val="100"/>
          <w:divBdr>
            <w:top w:val="none" w:sz="0" w:space="0" w:color="auto"/>
            <w:left w:val="none" w:sz="0" w:space="0" w:color="auto"/>
            <w:bottom w:val="none" w:sz="0" w:space="0" w:color="auto"/>
            <w:right w:val="none" w:sz="0" w:space="0" w:color="auto"/>
          </w:divBdr>
        </w:div>
        <w:div w:id="544029683">
          <w:blockQuote w:val="1"/>
          <w:marLeft w:val="720"/>
          <w:marRight w:val="720"/>
          <w:marTop w:val="100"/>
          <w:marBottom w:val="100"/>
          <w:divBdr>
            <w:top w:val="none" w:sz="0" w:space="0" w:color="auto"/>
            <w:left w:val="none" w:sz="0" w:space="0" w:color="auto"/>
            <w:bottom w:val="none" w:sz="0" w:space="0" w:color="auto"/>
            <w:right w:val="none" w:sz="0" w:space="0" w:color="auto"/>
          </w:divBdr>
        </w:div>
        <w:div w:id="610937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5014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008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4342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13525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4505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53012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9907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28129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36177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3136071">
          <w:blockQuote w:val="1"/>
          <w:marLeft w:val="720"/>
          <w:marRight w:val="720"/>
          <w:marTop w:val="100"/>
          <w:marBottom w:val="100"/>
          <w:divBdr>
            <w:top w:val="none" w:sz="0" w:space="0" w:color="auto"/>
            <w:left w:val="none" w:sz="0" w:space="0" w:color="auto"/>
            <w:bottom w:val="none" w:sz="0" w:space="0" w:color="auto"/>
            <w:right w:val="none" w:sz="0" w:space="0" w:color="auto"/>
          </w:divBdr>
        </w:div>
        <w:div w:id="21168983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3325162">
      <w:bodyDiv w:val="1"/>
      <w:marLeft w:val="0"/>
      <w:marRight w:val="0"/>
      <w:marTop w:val="0"/>
      <w:marBottom w:val="0"/>
      <w:divBdr>
        <w:top w:val="none" w:sz="0" w:space="0" w:color="auto"/>
        <w:left w:val="none" w:sz="0" w:space="0" w:color="auto"/>
        <w:bottom w:val="none" w:sz="0" w:space="0" w:color="auto"/>
        <w:right w:val="none" w:sz="0" w:space="0" w:color="auto"/>
      </w:divBdr>
    </w:div>
    <w:div w:id="1671716266">
      <w:bodyDiv w:val="1"/>
      <w:marLeft w:val="0"/>
      <w:marRight w:val="0"/>
      <w:marTop w:val="0"/>
      <w:marBottom w:val="0"/>
      <w:divBdr>
        <w:top w:val="none" w:sz="0" w:space="0" w:color="auto"/>
        <w:left w:val="none" w:sz="0" w:space="0" w:color="auto"/>
        <w:bottom w:val="none" w:sz="0" w:space="0" w:color="auto"/>
        <w:right w:val="none" w:sz="0" w:space="0" w:color="auto"/>
      </w:divBdr>
    </w:div>
    <w:div w:id="17183127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F74D7-43C0-4C83-8439-10D8F78C3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2735</Words>
  <Characters>15594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 T Wang</cp:lastModifiedBy>
  <cp:revision>2</cp:revision>
  <dcterms:created xsi:type="dcterms:W3CDTF">2016-09-03T03:24:00Z</dcterms:created>
  <dcterms:modified xsi:type="dcterms:W3CDTF">2016-09-03T03:24:00Z</dcterms:modified>
</cp:coreProperties>
</file>