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2D0" w:rsidRPr="003E1C77" w:rsidRDefault="003E1C77">
      <w:pPr>
        <w:rPr>
          <w:sz w:val="28"/>
          <w:szCs w:val="28"/>
        </w:rPr>
      </w:pPr>
      <w:r w:rsidRPr="003E1C77">
        <w:rPr>
          <w:sz w:val="28"/>
          <w:szCs w:val="28"/>
        </w:rPr>
        <w:t>How to terminate a commercial lease for non-payment of rent or other breach</w:t>
      </w:r>
    </w:p>
    <w:p w:rsidR="003E1C77" w:rsidRPr="003E1C77" w:rsidRDefault="003E1C77">
      <w:pPr>
        <w:rPr>
          <w:i/>
        </w:rPr>
      </w:pPr>
      <w:bookmarkStart w:id="0" w:name="_GoBack"/>
      <w:r w:rsidRPr="003E1C77">
        <w:rPr>
          <w:i/>
        </w:rPr>
        <w:t>http://www.findlaw.com.au/articles/5642/how-to-terminate-a-commercial-lease-for-non-paymen.aspx</w:t>
      </w:r>
    </w:p>
    <w:bookmarkEnd w:id="0"/>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It is a situation landlords hope they will never experience. Their tenant has stopped paying rent and they need to take action to mitigate the damage to their bottom line.</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But how does a commercial investor go about evicting a tenant who has stopped paying the rent (financial breach) or breaches the lease in another way (non-financial breach)?</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 xml:space="preserve">Unfortunately for landlords (but fortunately for tenants!), if you have a problem with your tenants, you can’t just issue an eviction notice, </w:t>
      </w:r>
      <w:proofErr w:type="spellStart"/>
      <w:r w:rsidRPr="003E1C77">
        <w:rPr>
          <w:rFonts w:ascii="Arial" w:eastAsia="Times New Roman" w:hAnsi="Arial" w:cs="Arial"/>
          <w:color w:val="333333"/>
          <w:sz w:val="19"/>
          <w:szCs w:val="19"/>
        </w:rPr>
        <w:t>minimise</w:t>
      </w:r>
      <w:proofErr w:type="spellEnd"/>
      <w:r w:rsidRPr="003E1C77">
        <w:rPr>
          <w:rFonts w:ascii="Arial" w:eastAsia="Times New Roman" w:hAnsi="Arial" w:cs="Arial"/>
          <w:color w:val="333333"/>
          <w:sz w:val="19"/>
          <w:szCs w:val="19"/>
        </w:rPr>
        <w:t xml:space="preserve"> your losses and move on.</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There are certain procedures that must be followed, </w:t>
      </w:r>
      <w:r w:rsidRPr="003E1C77">
        <w:rPr>
          <w:rFonts w:ascii="Arial" w:eastAsia="Times New Roman" w:hAnsi="Arial" w:cs="Arial"/>
          <w:color w:val="333333"/>
          <w:sz w:val="19"/>
          <w:szCs w:val="19"/>
        </w:rPr>
        <w:t>or you might end up in court at the suit of the tenant, over technical or practical flaws in the way the breach was handled.</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Commercial leases are covered by state specific legislation which outlines how a breach should be handled. </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For example, if you are in New South Wales, your commercial lease will most likely be covered by the </w:t>
      </w:r>
      <w:r w:rsidRPr="003E1C77">
        <w:rPr>
          <w:rFonts w:ascii="Arial" w:eastAsia="Times New Roman" w:hAnsi="Arial" w:cs="Arial"/>
          <w:i/>
          <w:iCs/>
          <w:color w:val="333333"/>
          <w:sz w:val="19"/>
          <w:szCs w:val="19"/>
        </w:rPr>
        <w:t>Conveyancing Act, </w:t>
      </w:r>
      <w:r w:rsidRPr="003E1C77">
        <w:rPr>
          <w:rFonts w:ascii="Arial" w:eastAsia="Times New Roman" w:hAnsi="Arial" w:cs="Arial"/>
          <w:color w:val="333333"/>
          <w:sz w:val="19"/>
          <w:szCs w:val="19"/>
        </w:rPr>
        <w:t>the </w:t>
      </w:r>
      <w:r w:rsidRPr="003E1C77">
        <w:rPr>
          <w:rFonts w:ascii="Arial" w:eastAsia="Times New Roman" w:hAnsi="Arial" w:cs="Arial"/>
          <w:i/>
          <w:iCs/>
          <w:color w:val="333333"/>
          <w:sz w:val="19"/>
          <w:szCs w:val="19"/>
        </w:rPr>
        <w:t>Real Property Act</w:t>
      </w:r>
      <w:r w:rsidRPr="003E1C77">
        <w:rPr>
          <w:rFonts w:ascii="Arial" w:eastAsia="Times New Roman" w:hAnsi="Arial" w:cs="Arial"/>
          <w:color w:val="333333"/>
          <w:sz w:val="19"/>
          <w:szCs w:val="19"/>
        </w:rPr>
        <w:t> and, if it is also classed as a retail lease, by the </w:t>
      </w:r>
      <w:r w:rsidRPr="003E1C77">
        <w:rPr>
          <w:rFonts w:ascii="Arial" w:eastAsia="Times New Roman" w:hAnsi="Arial" w:cs="Arial"/>
          <w:i/>
          <w:iCs/>
          <w:color w:val="333333"/>
          <w:sz w:val="19"/>
          <w:szCs w:val="19"/>
        </w:rPr>
        <w:t>Retail Leases Act</w:t>
      </w:r>
      <w:r w:rsidRPr="003E1C77">
        <w:rPr>
          <w:rFonts w:ascii="Arial" w:eastAsia="Times New Roman" w:hAnsi="Arial" w:cs="Arial"/>
          <w:color w:val="333333"/>
          <w:sz w:val="19"/>
          <w:szCs w:val="19"/>
        </w:rPr>
        <w:t>.  </w:t>
      </w:r>
      <w:r w:rsidRPr="003E1C77">
        <w:rPr>
          <w:rFonts w:ascii="Arial" w:eastAsia="Times New Roman" w:hAnsi="Arial" w:cs="Arial"/>
          <w:b/>
          <w:bCs/>
          <w:i/>
          <w:iCs/>
          <w:color w:val="333333"/>
          <w:sz w:val="19"/>
          <w:szCs w:val="19"/>
        </w:rPr>
        <w:t>This article is written on the basis that the Conveyancing Act and Real Property Act apply (</w:t>
      </w:r>
      <w:proofErr w:type="spellStart"/>
      <w:r w:rsidRPr="003E1C77">
        <w:rPr>
          <w:rFonts w:ascii="Arial" w:eastAsia="Times New Roman" w:hAnsi="Arial" w:cs="Arial"/>
          <w:b/>
          <w:bCs/>
          <w:i/>
          <w:iCs/>
          <w:color w:val="333333"/>
          <w:sz w:val="19"/>
          <w:szCs w:val="19"/>
        </w:rPr>
        <w:t>ie</w:t>
      </w:r>
      <w:proofErr w:type="spellEnd"/>
      <w:r w:rsidRPr="003E1C77">
        <w:rPr>
          <w:rFonts w:ascii="Arial" w:eastAsia="Times New Roman" w:hAnsi="Arial" w:cs="Arial"/>
          <w:b/>
          <w:bCs/>
          <w:i/>
          <w:iCs/>
          <w:color w:val="333333"/>
          <w:sz w:val="19"/>
          <w:szCs w:val="19"/>
        </w:rPr>
        <w:t>. to a factory, warehouse or other type or non-retail commercial property).</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The terms contained in the lease agreement itself will also come into play when dealing with a breach of lease.</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Explanation of terminology</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Re-entry</w:t>
      </w:r>
      <w:r w:rsidRPr="003E1C77">
        <w:rPr>
          <w:rFonts w:ascii="Arial" w:eastAsia="Times New Roman" w:hAnsi="Arial" w:cs="Arial"/>
          <w:color w:val="333333"/>
          <w:sz w:val="19"/>
          <w:szCs w:val="19"/>
        </w:rPr>
        <w:t xml:space="preserve"> - "Leases also frequently include a right of re-entry allowing the lessor to reclaim the property if the lessee fails to abide by the terms of the lease. When the lessor exercises the right of re-entry and reclaims the property, the lessee has no further right to the premises. However, the lessor may have to take reasonable care to prevent damage to any Personal Property left on the premises by the lessee." </w:t>
      </w:r>
      <w:proofErr w:type="gramStart"/>
      <w:r w:rsidRPr="003E1C77">
        <w:rPr>
          <w:rFonts w:ascii="Arial" w:eastAsia="Times New Roman" w:hAnsi="Arial" w:cs="Arial"/>
          <w:color w:val="333333"/>
          <w:sz w:val="19"/>
          <w:szCs w:val="19"/>
        </w:rPr>
        <w:t>Source - </w:t>
      </w:r>
      <w:hyperlink r:id="rId6" w:history="1">
        <w:r w:rsidRPr="003E1C77">
          <w:rPr>
            <w:rFonts w:ascii="Arial" w:eastAsia="Times New Roman" w:hAnsi="Arial" w:cs="Arial"/>
            <w:color w:val="F6891F"/>
            <w:sz w:val="19"/>
            <w:szCs w:val="19"/>
            <w:u w:val="single"/>
          </w:rPr>
          <w:t>Legal Dictionary</w:t>
        </w:r>
      </w:hyperlink>
      <w:r w:rsidRPr="003E1C77">
        <w:rPr>
          <w:rFonts w:ascii="Arial" w:eastAsia="Times New Roman" w:hAnsi="Arial" w:cs="Arial"/>
          <w:color w:val="333333"/>
          <w:sz w:val="19"/>
          <w:szCs w:val="19"/>
        </w:rPr>
        <w:t>.</w:t>
      </w:r>
      <w:proofErr w:type="gramEnd"/>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Forfeiture</w:t>
      </w:r>
      <w:r w:rsidRPr="003E1C77">
        <w:rPr>
          <w:rFonts w:ascii="Arial" w:eastAsia="Times New Roman" w:hAnsi="Arial" w:cs="Arial"/>
          <w:color w:val="333333"/>
          <w:sz w:val="19"/>
          <w:szCs w:val="19"/>
        </w:rPr>
        <w:t xml:space="preserve"> - If the Tenant hasn't paid the rent, the landlord can declare the tenant's rights, and the lease, forfeited by the tenant's breach. The tenant will be liable for landlord's damages, including unpaid rent not paid by a another tenant, forfeiture costs, damages to the premises, advertising costs, </w:t>
      </w:r>
      <w:proofErr w:type="spellStart"/>
      <w:r w:rsidRPr="003E1C77">
        <w:rPr>
          <w:rFonts w:ascii="Arial" w:eastAsia="Times New Roman" w:hAnsi="Arial" w:cs="Arial"/>
          <w:color w:val="333333"/>
          <w:sz w:val="19"/>
          <w:szCs w:val="19"/>
        </w:rPr>
        <w:t>etc</w:t>
      </w:r>
      <w:proofErr w:type="spellEnd"/>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If a tenant has breached the lease, either by failing to pay rent, or in some other way, the landlord must follow a certain procedure before the tenant can be evicted.</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This is a general guide only and will vary slightly from state to state, depending on the state specific legislation that applies and the particular terms of your lease.  </w:t>
      </w:r>
      <w:r w:rsidRPr="003E1C77">
        <w:rPr>
          <w:rFonts w:ascii="Arial" w:eastAsia="Times New Roman" w:hAnsi="Arial" w:cs="Arial"/>
          <w:b/>
          <w:bCs/>
          <w:color w:val="333333"/>
          <w:sz w:val="19"/>
          <w:szCs w:val="19"/>
        </w:rPr>
        <w:t>For example, in New South Wales, section 129 of the </w:t>
      </w:r>
      <w:r w:rsidRPr="003E1C77">
        <w:rPr>
          <w:rFonts w:ascii="Arial" w:eastAsia="Times New Roman" w:hAnsi="Arial" w:cs="Arial"/>
          <w:b/>
          <w:bCs/>
          <w:i/>
          <w:iCs/>
          <w:color w:val="333333"/>
          <w:sz w:val="19"/>
          <w:szCs w:val="19"/>
        </w:rPr>
        <w:t>Conveyancing Act, 1919 </w:t>
      </w:r>
      <w:r w:rsidRPr="003E1C77">
        <w:rPr>
          <w:rFonts w:ascii="Arial" w:eastAsia="Times New Roman" w:hAnsi="Arial" w:cs="Arial"/>
          <w:b/>
          <w:bCs/>
          <w:color w:val="333333"/>
          <w:sz w:val="19"/>
          <w:szCs w:val="19"/>
        </w:rPr>
        <w:t>states that before a right of re-entry or forfeiture under any provision of a lease (for breach of the lease) is enforceable, the lessor must first serve on the lessee a notice that:</w:t>
      </w:r>
    </w:p>
    <w:p w:rsidR="003E1C77" w:rsidRPr="003E1C77" w:rsidRDefault="003E1C77" w:rsidP="003E1C77">
      <w:pPr>
        <w:numPr>
          <w:ilvl w:val="0"/>
          <w:numId w:val="1"/>
        </w:numPr>
        <w:shd w:val="clear" w:color="auto" w:fill="E1DECA"/>
        <w:spacing w:after="0" w:line="250" w:lineRule="atLeast"/>
        <w:ind w:left="450"/>
        <w:rPr>
          <w:rFonts w:ascii="Arial" w:eastAsia="Times New Roman" w:hAnsi="Arial" w:cs="Arial"/>
          <w:color w:val="333333"/>
          <w:sz w:val="19"/>
          <w:szCs w:val="19"/>
        </w:rPr>
      </w:pPr>
      <w:r w:rsidRPr="003E1C77">
        <w:rPr>
          <w:rFonts w:ascii="Arial" w:eastAsia="Times New Roman" w:hAnsi="Arial" w:cs="Arial"/>
          <w:color w:val="333333"/>
          <w:sz w:val="19"/>
          <w:szCs w:val="19"/>
        </w:rPr>
        <w:t>specifies the particular breach;</w:t>
      </w:r>
    </w:p>
    <w:p w:rsidR="003E1C77" w:rsidRPr="003E1C77" w:rsidRDefault="003E1C77" w:rsidP="003E1C77">
      <w:pPr>
        <w:numPr>
          <w:ilvl w:val="0"/>
          <w:numId w:val="1"/>
        </w:numPr>
        <w:shd w:val="clear" w:color="auto" w:fill="E1DECA"/>
        <w:spacing w:after="0" w:line="250" w:lineRule="atLeast"/>
        <w:ind w:left="450"/>
        <w:rPr>
          <w:rFonts w:ascii="Arial" w:eastAsia="Times New Roman" w:hAnsi="Arial" w:cs="Arial"/>
          <w:color w:val="333333"/>
          <w:sz w:val="19"/>
          <w:szCs w:val="19"/>
        </w:rPr>
      </w:pPr>
      <w:r w:rsidRPr="003E1C77">
        <w:rPr>
          <w:rFonts w:ascii="Arial" w:eastAsia="Times New Roman" w:hAnsi="Arial" w:cs="Arial"/>
          <w:color w:val="333333"/>
          <w:sz w:val="19"/>
          <w:szCs w:val="19"/>
        </w:rPr>
        <w:t>if the breach is capable of remedy, requiring the lessee to remedy the breach; and</w:t>
      </w:r>
    </w:p>
    <w:p w:rsidR="003E1C77" w:rsidRPr="003E1C77" w:rsidRDefault="003E1C77" w:rsidP="003E1C77">
      <w:pPr>
        <w:numPr>
          <w:ilvl w:val="0"/>
          <w:numId w:val="1"/>
        </w:numPr>
        <w:shd w:val="clear" w:color="auto" w:fill="E1DECA"/>
        <w:spacing w:after="0" w:line="250" w:lineRule="atLeast"/>
        <w:ind w:left="450"/>
        <w:rPr>
          <w:rFonts w:ascii="Arial" w:eastAsia="Times New Roman" w:hAnsi="Arial" w:cs="Arial"/>
          <w:color w:val="333333"/>
          <w:sz w:val="19"/>
          <w:szCs w:val="19"/>
        </w:rPr>
      </w:pPr>
      <w:proofErr w:type="gramStart"/>
      <w:r w:rsidRPr="003E1C77">
        <w:rPr>
          <w:rFonts w:ascii="Arial" w:eastAsia="Times New Roman" w:hAnsi="Arial" w:cs="Arial"/>
          <w:color w:val="333333"/>
          <w:sz w:val="19"/>
          <w:szCs w:val="19"/>
        </w:rPr>
        <w:lastRenderedPageBreak/>
        <w:t>in</w:t>
      </w:r>
      <w:proofErr w:type="gramEnd"/>
      <w:r w:rsidRPr="003E1C77">
        <w:rPr>
          <w:rFonts w:ascii="Arial" w:eastAsia="Times New Roman" w:hAnsi="Arial" w:cs="Arial"/>
          <w:color w:val="333333"/>
          <w:sz w:val="19"/>
          <w:szCs w:val="19"/>
        </w:rPr>
        <w:t xml:space="preserve"> the event the lessor is claiming compensation, requiring the lessee to pay the compensation.</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This requirement does not apply to re-entry or forfeiture in the event of non-payment of rent (sub-section (8) of s 129 </w:t>
      </w:r>
      <w:r w:rsidRPr="003E1C77">
        <w:rPr>
          <w:rFonts w:ascii="Arial" w:eastAsia="Times New Roman" w:hAnsi="Arial" w:cs="Arial"/>
          <w:i/>
          <w:iCs/>
          <w:color w:val="333333"/>
          <w:sz w:val="19"/>
          <w:szCs w:val="19"/>
        </w:rPr>
        <w:t>Conveyancing Act</w:t>
      </w:r>
      <w:r w:rsidRPr="003E1C77">
        <w:rPr>
          <w:rFonts w:ascii="Arial" w:eastAsia="Times New Roman" w:hAnsi="Arial" w:cs="Arial"/>
          <w:color w:val="333333"/>
          <w:sz w:val="19"/>
          <w:szCs w:val="19"/>
        </w:rPr>
        <w:t>).  However, most leases will still require the landlord to give a notice to remedy a breach of non-payment of rent, so make sure you look to the terms of your lease in this regard.</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The </w:t>
      </w:r>
      <w:r w:rsidRPr="003E1C77">
        <w:rPr>
          <w:rFonts w:ascii="Arial" w:eastAsia="Times New Roman" w:hAnsi="Arial" w:cs="Arial"/>
          <w:i/>
          <w:iCs/>
          <w:color w:val="333333"/>
          <w:sz w:val="19"/>
          <w:szCs w:val="19"/>
        </w:rPr>
        <w:t>Conveyancing Act</w:t>
      </w:r>
      <w:r w:rsidRPr="003E1C77">
        <w:rPr>
          <w:rFonts w:ascii="Arial" w:eastAsia="Times New Roman" w:hAnsi="Arial" w:cs="Arial"/>
          <w:color w:val="333333"/>
          <w:sz w:val="19"/>
          <w:szCs w:val="19"/>
        </w:rPr>
        <w:t> requires the notice to remedy the breach to be in the form prescribed by the Act (contained at schedule 6 of the Act), or in a similar form.  A copy of the prescribed form appears below.</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If the lessor has not given the tenant the necessary notice before enforcing a right of re-entry or forfeiture under a commercial lease, the tenant may personally bring a suit against the lessor and apply to the court for relief.</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The right steps to take</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If you find yourself in a situation where you need to take steps to exercise your right of forfeiture or re-entry, the general procedure (depending on the state based legislation that will apply to you and the specific terms and conditions of you lease), is as follows:-</w:t>
      </w:r>
    </w:p>
    <w:p w:rsidR="003E1C77" w:rsidRPr="003E1C77" w:rsidRDefault="003E1C77" w:rsidP="003E1C77">
      <w:pPr>
        <w:numPr>
          <w:ilvl w:val="0"/>
          <w:numId w:val="2"/>
        </w:numPr>
        <w:shd w:val="clear" w:color="auto" w:fill="E1DECA"/>
        <w:spacing w:after="0" w:line="250" w:lineRule="atLeast"/>
        <w:ind w:left="450"/>
        <w:rPr>
          <w:rFonts w:ascii="Arial" w:eastAsia="Times New Roman" w:hAnsi="Arial" w:cs="Arial"/>
          <w:color w:val="333333"/>
          <w:sz w:val="19"/>
          <w:szCs w:val="19"/>
        </w:rPr>
      </w:pPr>
      <w:r w:rsidRPr="003E1C77">
        <w:rPr>
          <w:rFonts w:ascii="Arial" w:eastAsia="Times New Roman" w:hAnsi="Arial" w:cs="Arial"/>
          <w:b/>
          <w:bCs/>
          <w:color w:val="333333"/>
          <w:sz w:val="19"/>
          <w:szCs w:val="19"/>
        </w:rPr>
        <w:t>Identify the breach. </w:t>
      </w:r>
      <w:r w:rsidRPr="003E1C77">
        <w:rPr>
          <w:rFonts w:ascii="Arial" w:eastAsia="Times New Roman" w:hAnsi="Arial" w:cs="Arial"/>
          <w:color w:val="333333"/>
          <w:sz w:val="19"/>
          <w:szCs w:val="19"/>
        </w:rPr>
        <w:t>In what way has the tenant breached the lease or legislation?  This might be a financial breach (for example, the non-payment of rent) or a non-financial breach (failing to keep premises in a certain state of repair);</w:t>
      </w:r>
    </w:p>
    <w:p w:rsidR="003E1C77" w:rsidRPr="003E1C77" w:rsidRDefault="003E1C77" w:rsidP="003E1C77">
      <w:pPr>
        <w:numPr>
          <w:ilvl w:val="0"/>
          <w:numId w:val="2"/>
        </w:numPr>
        <w:shd w:val="clear" w:color="auto" w:fill="E1DECA"/>
        <w:spacing w:after="0" w:line="250" w:lineRule="atLeast"/>
        <w:ind w:left="450"/>
        <w:rPr>
          <w:rFonts w:ascii="Arial" w:eastAsia="Times New Roman" w:hAnsi="Arial" w:cs="Arial"/>
          <w:color w:val="333333"/>
          <w:sz w:val="19"/>
          <w:szCs w:val="19"/>
        </w:rPr>
      </w:pPr>
      <w:r w:rsidRPr="003E1C77">
        <w:rPr>
          <w:rFonts w:ascii="Arial" w:eastAsia="Times New Roman" w:hAnsi="Arial" w:cs="Arial"/>
          <w:b/>
          <w:bCs/>
          <w:color w:val="333333"/>
          <w:sz w:val="19"/>
          <w:szCs w:val="19"/>
        </w:rPr>
        <w:t>Give the tenant written notice to remedy the breach.</w:t>
      </w:r>
      <w:r w:rsidRPr="003E1C77">
        <w:rPr>
          <w:rFonts w:ascii="Arial" w:eastAsia="Times New Roman" w:hAnsi="Arial" w:cs="Arial"/>
          <w:color w:val="333333"/>
          <w:sz w:val="19"/>
          <w:szCs w:val="19"/>
        </w:rPr>
        <w:t xml:space="preserve"> In your notice, specify the particulars of the breach and request the tenant remedy the breach (if the breach is capable of remedy and most are) within a stated reasonable timeframe.  You should also state the steps that may be taken to remedy the breach.  If compensation is payable, stipulate any compensation that you may require the tenant to pay.  To </w:t>
      </w:r>
      <w:proofErr w:type="spellStart"/>
      <w:r w:rsidRPr="003E1C77">
        <w:rPr>
          <w:rFonts w:ascii="Arial" w:eastAsia="Times New Roman" w:hAnsi="Arial" w:cs="Arial"/>
          <w:color w:val="333333"/>
          <w:sz w:val="19"/>
          <w:szCs w:val="19"/>
        </w:rPr>
        <w:t>summarise</w:t>
      </w:r>
      <w:proofErr w:type="spellEnd"/>
      <w:r w:rsidRPr="003E1C77">
        <w:rPr>
          <w:rFonts w:ascii="Arial" w:eastAsia="Times New Roman" w:hAnsi="Arial" w:cs="Arial"/>
          <w:color w:val="333333"/>
          <w:sz w:val="19"/>
          <w:szCs w:val="19"/>
        </w:rPr>
        <w:t>, the notice must:</w:t>
      </w:r>
    </w:p>
    <w:p w:rsidR="003E1C77" w:rsidRPr="003E1C77" w:rsidRDefault="003E1C77" w:rsidP="003E1C77">
      <w:pPr>
        <w:numPr>
          <w:ilvl w:val="1"/>
          <w:numId w:val="2"/>
        </w:numPr>
        <w:shd w:val="clear" w:color="auto" w:fill="E1DECA"/>
        <w:spacing w:after="0" w:line="250" w:lineRule="atLeast"/>
        <w:ind w:left="900"/>
        <w:rPr>
          <w:rFonts w:ascii="Arial" w:eastAsia="Times New Roman" w:hAnsi="Arial" w:cs="Arial"/>
          <w:color w:val="333333"/>
          <w:sz w:val="19"/>
          <w:szCs w:val="19"/>
        </w:rPr>
      </w:pPr>
      <w:r w:rsidRPr="003E1C77">
        <w:rPr>
          <w:rFonts w:ascii="Arial" w:eastAsia="Times New Roman" w:hAnsi="Arial" w:cs="Arial"/>
          <w:color w:val="333333"/>
          <w:sz w:val="19"/>
          <w:szCs w:val="19"/>
        </w:rPr>
        <w:t>be dated;</w:t>
      </w:r>
    </w:p>
    <w:p w:rsidR="003E1C77" w:rsidRPr="003E1C77" w:rsidRDefault="003E1C77" w:rsidP="003E1C77">
      <w:pPr>
        <w:numPr>
          <w:ilvl w:val="1"/>
          <w:numId w:val="2"/>
        </w:numPr>
        <w:shd w:val="clear" w:color="auto" w:fill="E1DECA"/>
        <w:spacing w:after="0" w:line="250" w:lineRule="atLeast"/>
        <w:ind w:left="900"/>
        <w:rPr>
          <w:rFonts w:ascii="Arial" w:eastAsia="Times New Roman" w:hAnsi="Arial" w:cs="Arial"/>
          <w:color w:val="333333"/>
          <w:sz w:val="19"/>
          <w:szCs w:val="19"/>
        </w:rPr>
      </w:pPr>
      <w:r w:rsidRPr="003E1C77">
        <w:rPr>
          <w:rFonts w:ascii="Arial" w:eastAsia="Times New Roman" w:hAnsi="Arial" w:cs="Arial"/>
          <w:color w:val="333333"/>
          <w:sz w:val="19"/>
          <w:szCs w:val="19"/>
        </w:rPr>
        <w:t>identify the lessee and be correctly addressed to the lessee;</w:t>
      </w:r>
    </w:p>
    <w:p w:rsidR="003E1C77" w:rsidRPr="003E1C77" w:rsidRDefault="003E1C77" w:rsidP="003E1C77">
      <w:pPr>
        <w:numPr>
          <w:ilvl w:val="1"/>
          <w:numId w:val="2"/>
        </w:numPr>
        <w:shd w:val="clear" w:color="auto" w:fill="E1DECA"/>
        <w:spacing w:after="0" w:line="250" w:lineRule="atLeast"/>
        <w:ind w:left="900"/>
        <w:rPr>
          <w:rFonts w:ascii="Arial" w:eastAsia="Times New Roman" w:hAnsi="Arial" w:cs="Arial"/>
          <w:color w:val="333333"/>
          <w:sz w:val="19"/>
          <w:szCs w:val="19"/>
        </w:rPr>
      </w:pPr>
      <w:r w:rsidRPr="003E1C77">
        <w:rPr>
          <w:rFonts w:ascii="Arial" w:eastAsia="Times New Roman" w:hAnsi="Arial" w:cs="Arial"/>
          <w:color w:val="333333"/>
          <w:sz w:val="19"/>
          <w:szCs w:val="19"/>
        </w:rPr>
        <w:t>identify the lease;</w:t>
      </w:r>
    </w:p>
    <w:p w:rsidR="003E1C77" w:rsidRPr="003E1C77" w:rsidRDefault="003E1C77" w:rsidP="003E1C77">
      <w:pPr>
        <w:numPr>
          <w:ilvl w:val="1"/>
          <w:numId w:val="2"/>
        </w:numPr>
        <w:shd w:val="clear" w:color="auto" w:fill="E1DECA"/>
        <w:spacing w:after="0" w:line="250" w:lineRule="atLeast"/>
        <w:ind w:left="900"/>
        <w:rPr>
          <w:rFonts w:ascii="Arial" w:eastAsia="Times New Roman" w:hAnsi="Arial" w:cs="Arial"/>
          <w:color w:val="333333"/>
          <w:sz w:val="19"/>
          <w:szCs w:val="19"/>
        </w:rPr>
      </w:pPr>
      <w:r w:rsidRPr="003E1C77">
        <w:rPr>
          <w:rFonts w:ascii="Arial" w:eastAsia="Times New Roman" w:hAnsi="Arial" w:cs="Arial"/>
          <w:color w:val="333333"/>
          <w:sz w:val="19"/>
          <w:szCs w:val="19"/>
        </w:rPr>
        <w:t>identify the provision of the lease that has been breached;</w:t>
      </w:r>
    </w:p>
    <w:p w:rsidR="003E1C77" w:rsidRPr="003E1C77" w:rsidRDefault="003E1C77" w:rsidP="003E1C77">
      <w:pPr>
        <w:numPr>
          <w:ilvl w:val="1"/>
          <w:numId w:val="2"/>
        </w:numPr>
        <w:shd w:val="clear" w:color="auto" w:fill="E1DECA"/>
        <w:spacing w:after="0" w:line="250" w:lineRule="atLeast"/>
        <w:ind w:left="900"/>
        <w:rPr>
          <w:rFonts w:ascii="Arial" w:eastAsia="Times New Roman" w:hAnsi="Arial" w:cs="Arial"/>
          <w:color w:val="333333"/>
          <w:sz w:val="19"/>
          <w:szCs w:val="19"/>
        </w:rPr>
      </w:pPr>
      <w:r w:rsidRPr="003E1C77">
        <w:rPr>
          <w:rFonts w:ascii="Arial" w:eastAsia="Times New Roman" w:hAnsi="Arial" w:cs="Arial"/>
          <w:color w:val="333333"/>
          <w:sz w:val="19"/>
          <w:szCs w:val="19"/>
        </w:rPr>
        <w:t>set out the rectification required;</w:t>
      </w:r>
    </w:p>
    <w:p w:rsidR="003E1C77" w:rsidRPr="003E1C77" w:rsidRDefault="003E1C77" w:rsidP="003E1C77">
      <w:pPr>
        <w:numPr>
          <w:ilvl w:val="1"/>
          <w:numId w:val="2"/>
        </w:numPr>
        <w:shd w:val="clear" w:color="auto" w:fill="E1DECA"/>
        <w:spacing w:after="0" w:line="250" w:lineRule="atLeast"/>
        <w:ind w:left="900"/>
        <w:rPr>
          <w:rFonts w:ascii="Arial" w:eastAsia="Times New Roman" w:hAnsi="Arial" w:cs="Arial"/>
          <w:color w:val="333333"/>
          <w:sz w:val="19"/>
          <w:szCs w:val="19"/>
        </w:rPr>
      </w:pPr>
      <w:r w:rsidRPr="003E1C77">
        <w:rPr>
          <w:rFonts w:ascii="Arial" w:eastAsia="Times New Roman" w:hAnsi="Arial" w:cs="Arial"/>
          <w:color w:val="333333"/>
          <w:sz w:val="19"/>
          <w:szCs w:val="19"/>
        </w:rPr>
        <w:t>stipulate the reasonable timeframe by which the remedy must be completed;</w:t>
      </w:r>
    </w:p>
    <w:p w:rsidR="003E1C77" w:rsidRPr="003E1C77" w:rsidRDefault="003E1C77" w:rsidP="003E1C77">
      <w:pPr>
        <w:numPr>
          <w:ilvl w:val="1"/>
          <w:numId w:val="2"/>
        </w:numPr>
        <w:shd w:val="clear" w:color="auto" w:fill="E1DECA"/>
        <w:spacing w:after="0" w:line="250" w:lineRule="atLeast"/>
        <w:ind w:left="900"/>
        <w:rPr>
          <w:rFonts w:ascii="Arial" w:eastAsia="Times New Roman" w:hAnsi="Arial" w:cs="Arial"/>
          <w:color w:val="333333"/>
          <w:sz w:val="19"/>
          <w:szCs w:val="19"/>
        </w:rPr>
      </w:pPr>
      <w:r w:rsidRPr="003E1C77">
        <w:rPr>
          <w:rFonts w:ascii="Arial" w:eastAsia="Times New Roman" w:hAnsi="Arial" w:cs="Arial"/>
          <w:color w:val="333333"/>
          <w:sz w:val="19"/>
          <w:szCs w:val="19"/>
        </w:rPr>
        <w:t>stipulate any compensation that is required to be paid (if any);</w:t>
      </w:r>
    </w:p>
    <w:p w:rsidR="003E1C77" w:rsidRPr="003E1C77" w:rsidRDefault="003E1C77" w:rsidP="003E1C77">
      <w:pPr>
        <w:numPr>
          <w:ilvl w:val="1"/>
          <w:numId w:val="2"/>
        </w:numPr>
        <w:shd w:val="clear" w:color="auto" w:fill="E1DECA"/>
        <w:spacing w:after="0" w:line="250" w:lineRule="atLeast"/>
        <w:ind w:left="900"/>
        <w:rPr>
          <w:rFonts w:ascii="Arial" w:eastAsia="Times New Roman" w:hAnsi="Arial" w:cs="Arial"/>
          <w:color w:val="333333"/>
          <w:sz w:val="19"/>
          <w:szCs w:val="19"/>
        </w:rPr>
      </w:pPr>
      <w:r w:rsidRPr="003E1C77">
        <w:rPr>
          <w:rFonts w:ascii="Arial" w:eastAsia="Times New Roman" w:hAnsi="Arial" w:cs="Arial"/>
          <w:color w:val="333333"/>
          <w:sz w:val="19"/>
          <w:szCs w:val="19"/>
        </w:rPr>
        <w:t>contain any other mandatory information set out in the state legislation, such as this warning to the tenant contained in the prescribed form notice to remedy of the </w:t>
      </w:r>
      <w:r w:rsidRPr="003E1C77">
        <w:rPr>
          <w:rFonts w:ascii="Arial" w:eastAsia="Times New Roman" w:hAnsi="Arial" w:cs="Arial"/>
          <w:i/>
          <w:iCs/>
          <w:color w:val="333333"/>
          <w:sz w:val="19"/>
          <w:szCs w:val="19"/>
        </w:rPr>
        <w:t>Conveyancing Act</w:t>
      </w:r>
      <w:r w:rsidRPr="003E1C77">
        <w:rPr>
          <w:rFonts w:ascii="Arial" w:eastAsia="Times New Roman" w:hAnsi="Arial" w:cs="Arial"/>
          <w:color w:val="333333"/>
          <w:sz w:val="19"/>
          <w:szCs w:val="19"/>
        </w:rPr>
        <w:t>, NSW:</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 xml:space="preserve">“Note: the lessor will be entitled re-enter or forfeit the lease in the event of the lessee failing to comply with the notice within a reasonable time. </w:t>
      </w:r>
      <w:proofErr w:type="gramStart"/>
      <w:r w:rsidRPr="003E1C77">
        <w:rPr>
          <w:rFonts w:ascii="Arial" w:eastAsia="Times New Roman" w:hAnsi="Arial" w:cs="Arial"/>
          <w:b/>
          <w:bCs/>
          <w:color w:val="333333"/>
          <w:sz w:val="19"/>
          <w:szCs w:val="19"/>
        </w:rPr>
        <w:t>See Section 129 of </w:t>
      </w:r>
      <w:r w:rsidRPr="003E1C77">
        <w:rPr>
          <w:rFonts w:ascii="Arial" w:eastAsia="Times New Roman" w:hAnsi="Arial" w:cs="Arial"/>
          <w:b/>
          <w:bCs/>
          <w:i/>
          <w:iCs/>
          <w:color w:val="333333"/>
          <w:sz w:val="19"/>
          <w:szCs w:val="19"/>
        </w:rPr>
        <w:t>the Conveyancing Act </w:t>
      </w:r>
      <w:r w:rsidRPr="003E1C77">
        <w:rPr>
          <w:rFonts w:ascii="Arial" w:eastAsia="Times New Roman" w:hAnsi="Arial" w:cs="Arial"/>
          <w:b/>
          <w:bCs/>
          <w:color w:val="333333"/>
          <w:sz w:val="19"/>
          <w:szCs w:val="19"/>
        </w:rPr>
        <w:t>1919.”</w:t>
      </w:r>
      <w:proofErr w:type="gramEnd"/>
    </w:p>
    <w:p w:rsidR="003E1C77" w:rsidRPr="003E1C77" w:rsidRDefault="003E1C77" w:rsidP="003E1C77">
      <w:pPr>
        <w:numPr>
          <w:ilvl w:val="0"/>
          <w:numId w:val="3"/>
        </w:numPr>
        <w:shd w:val="clear" w:color="auto" w:fill="E1DECA"/>
        <w:spacing w:after="0" w:line="250" w:lineRule="atLeast"/>
        <w:ind w:left="450"/>
        <w:rPr>
          <w:rFonts w:ascii="Arial" w:eastAsia="Times New Roman" w:hAnsi="Arial" w:cs="Arial"/>
          <w:color w:val="333333"/>
          <w:sz w:val="19"/>
          <w:szCs w:val="19"/>
        </w:rPr>
      </w:pPr>
      <w:r w:rsidRPr="003E1C77">
        <w:rPr>
          <w:rFonts w:ascii="Arial" w:eastAsia="Times New Roman" w:hAnsi="Arial" w:cs="Arial"/>
          <w:color w:val="333333"/>
          <w:sz w:val="19"/>
          <w:szCs w:val="19"/>
        </w:rPr>
        <w:t>If the tenant does not remedy the breach in the allotted time, the landlord can terminate the lease, for example, by re-entry, notice or initiating court proceedings.</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A common cause of court battles</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t>Litigation battles over the validity of notices to remedy or whether a lease has been validly terminated are rampant in the court system.  As such, it is imperative that landlords ensure the validity of the notice.</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b/>
          <w:bCs/>
          <w:color w:val="333333"/>
          <w:sz w:val="19"/>
          <w:szCs w:val="19"/>
        </w:rPr>
        <w:t>It is vital that the notice is correct both factually</w:t>
      </w:r>
      <w:r w:rsidRPr="003E1C77">
        <w:rPr>
          <w:rFonts w:ascii="Arial" w:eastAsia="Times New Roman" w:hAnsi="Arial" w:cs="Arial"/>
          <w:color w:val="333333"/>
          <w:sz w:val="19"/>
          <w:szCs w:val="19"/>
        </w:rPr>
        <w:t> (that is, the details of the breach are accurate and correct) </w:t>
      </w:r>
      <w:r w:rsidRPr="003E1C77">
        <w:rPr>
          <w:rFonts w:ascii="Arial" w:eastAsia="Times New Roman" w:hAnsi="Arial" w:cs="Arial"/>
          <w:b/>
          <w:bCs/>
          <w:color w:val="333333"/>
          <w:sz w:val="19"/>
          <w:szCs w:val="19"/>
        </w:rPr>
        <w:t>and in form and content</w:t>
      </w:r>
      <w:r w:rsidRPr="003E1C77">
        <w:rPr>
          <w:rFonts w:ascii="Arial" w:eastAsia="Times New Roman" w:hAnsi="Arial" w:cs="Arial"/>
          <w:color w:val="333333"/>
          <w:sz w:val="19"/>
          <w:szCs w:val="19"/>
        </w:rPr>
        <w:t> (that is, the notice is in the correct prescribed form or similar, contains all of the required information, and otherwise technically complies with the requirements of a valid notice to remedy).</w:t>
      </w:r>
    </w:p>
    <w:p w:rsidR="003E1C77" w:rsidRPr="003E1C77" w:rsidRDefault="003E1C77" w:rsidP="003E1C77">
      <w:pPr>
        <w:shd w:val="clear" w:color="auto" w:fill="E1DECA"/>
        <w:spacing w:before="100" w:beforeAutospacing="1" w:after="100" w:afterAutospacing="1" w:line="250" w:lineRule="atLeast"/>
        <w:rPr>
          <w:rFonts w:ascii="Arial" w:eastAsia="Times New Roman" w:hAnsi="Arial" w:cs="Arial"/>
          <w:color w:val="333333"/>
          <w:sz w:val="19"/>
          <w:szCs w:val="19"/>
        </w:rPr>
      </w:pPr>
      <w:r w:rsidRPr="003E1C77">
        <w:rPr>
          <w:rFonts w:ascii="Arial" w:eastAsia="Times New Roman" w:hAnsi="Arial" w:cs="Arial"/>
          <w:color w:val="333333"/>
          <w:sz w:val="19"/>
          <w:szCs w:val="19"/>
        </w:rPr>
        <w:lastRenderedPageBreak/>
        <w:t>If the notice is found to be invalid, (for example, the form contains technical errors or the circumstances of the breach are not accurate), then the lessor may have to re-issue fresh notices and start proceedings anew.</w:t>
      </w:r>
    </w:p>
    <w:p w:rsidR="003E1C77" w:rsidRDefault="003E1C77"/>
    <w:sectPr w:rsidR="003E1C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4E5776"/>
    <w:multiLevelType w:val="multilevel"/>
    <w:tmpl w:val="41F249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F16792"/>
    <w:multiLevelType w:val="multilevel"/>
    <w:tmpl w:val="43EE9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827D8D"/>
    <w:multiLevelType w:val="multilevel"/>
    <w:tmpl w:val="BB7AA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C77"/>
    <w:rsid w:val="003779CF"/>
    <w:rsid w:val="003E1C77"/>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1C7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1C77"/>
    <w:rPr>
      <w:b/>
      <w:bCs/>
    </w:rPr>
  </w:style>
  <w:style w:type="character" w:styleId="Emphasis">
    <w:name w:val="Emphasis"/>
    <w:basedOn w:val="DefaultParagraphFont"/>
    <w:uiPriority w:val="20"/>
    <w:qFormat/>
    <w:rsid w:val="003E1C77"/>
    <w:rPr>
      <w:i/>
      <w:iCs/>
    </w:rPr>
  </w:style>
  <w:style w:type="character" w:styleId="Hyperlink">
    <w:name w:val="Hyperlink"/>
    <w:basedOn w:val="DefaultParagraphFont"/>
    <w:uiPriority w:val="99"/>
    <w:semiHidden/>
    <w:unhideWhenUsed/>
    <w:rsid w:val="003E1C77"/>
    <w:rPr>
      <w:color w:val="0000FF"/>
      <w:u w:val="single"/>
    </w:rPr>
  </w:style>
  <w:style w:type="character" w:customStyle="1" w:styleId="apple-converted-space">
    <w:name w:val="apple-converted-space"/>
    <w:basedOn w:val="DefaultParagraphFont"/>
    <w:rsid w:val="003E1C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1C7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1C77"/>
    <w:rPr>
      <w:b/>
      <w:bCs/>
    </w:rPr>
  </w:style>
  <w:style w:type="character" w:styleId="Emphasis">
    <w:name w:val="Emphasis"/>
    <w:basedOn w:val="DefaultParagraphFont"/>
    <w:uiPriority w:val="20"/>
    <w:qFormat/>
    <w:rsid w:val="003E1C77"/>
    <w:rPr>
      <w:i/>
      <w:iCs/>
    </w:rPr>
  </w:style>
  <w:style w:type="character" w:styleId="Hyperlink">
    <w:name w:val="Hyperlink"/>
    <w:basedOn w:val="DefaultParagraphFont"/>
    <w:uiPriority w:val="99"/>
    <w:semiHidden/>
    <w:unhideWhenUsed/>
    <w:rsid w:val="003E1C77"/>
    <w:rPr>
      <w:color w:val="0000FF"/>
      <w:u w:val="single"/>
    </w:rPr>
  </w:style>
  <w:style w:type="character" w:customStyle="1" w:styleId="apple-converted-space">
    <w:name w:val="apple-converted-space"/>
    <w:basedOn w:val="DefaultParagraphFont"/>
    <w:rsid w:val="003E1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1480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egal-dictionary.thefreedictionary.com/Right+of+Reent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3</Pages>
  <Words>979</Words>
  <Characters>5583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1</cp:revision>
  <dcterms:created xsi:type="dcterms:W3CDTF">2016-08-11T02:53:00Z</dcterms:created>
  <dcterms:modified xsi:type="dcterms:W3CDTF">2016-08-11T03:57:00Z</dcterms:modified>
</cp:coreProperties>
</file>