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6C356" w14:textId="77777777" w:rsidR="002536E9" w:rsidRDefault="002536E9" w:rsidP="003E4131">
      <w:pPr>
        <w:autoSpaceDE w:val="0"/>
        <w:autoSpaceDN w:val="0"/>
        <w:adjustRightInd w:val="0"/>
        <w:spacing w:after="0" w:line="240" w:lineRule="auto"/>
        <w:rPr>
          <w:rFonts w:ascii="Times New Roman" w:eastAsia="Calibri" w:hAnsi="Times New Roman" w:cs="Times New Roman"/>
          <w:sz w:val="24"/>
          <w:szCs w:val="24"/>
        </w:rPr>
      </w:pPr>
      <w:r w:rsidRPr="00B4706C">
        <w:rPr>
          <w:rFonts w:ascii="Times New Roman" w:hAnsi="Times New Roman" w:cs="Times New Roman"/>
          <w:noProof/>
        </w:rPr>
        <w:drawing>
          <wp:anchor distT="0" distB="0" distL="114300" distR="114300" simplePos="0" relativeHeight="251659264" behindDoc="0" locked="0" layoutInCell="1" allowOverlap="1" wp14:anchorId="641B4CE1" wp14:editId="066132C0">
            <wp:simplePos x="0" y="0"/>
            <wp:positionH relativeFrom="margin">
              <wp:align>center</wp:align>
            </wp:positionH>
            <wp:positionV relativeFrom="paragraph">
              <wp:posOffset>-560821</wp:posOffset>
            </wp:positionV>
            <wp:extent cx="7019925" cy="990600"/>
            <wp:effectExtent l="0" t="0" r="952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9925" cy="990600"/>
                    </a:xfrm>
                    <a:prstGeom prst="rect">
                      <a:avLst/>
                    </a:prstGeom>
                    <a:noFill/>
                  </pic:spPr>
                </pic:pic>
              </a:graphicData>
            </a:graphic>
            <wp14:sizeRelH relativeFrom="page">
              <wp14:pctWidth>0</wp14:pctWidth>
            </wp14:sizeRelH>
            <wp14:sizeRelV relativeFrom="page">
              <wp14:pctHeight>0</wp14:pctHeight>
            </wp14:sizeRelV>
          </wp:anchor>
        </w:drawing>
      </w:r>
    </w:p>
    <w:p w14:paraId="14F071C4" w14:textId="77777777" w:rsidR="002536E9" w:rsidRDefault="002536E9" w:rsidP="003E4131">
      <w:pPr>
        <w:autoSpaceDE w:val="0"/>
        <w:autoSpaceDN w:val="0"/>
        <w:adjustRightInd w:val="0"/>
        <w:spacing w:after="0" w:line="240" w:lineRule="auto"/>
        <w:rPr>
          <w:rFonts w:ascii="Times New Roman" w:eastAsia="Calibri" w:hAnsi="Times New Roman" w:cs="Times New Roman"/>
          <w:sz w:val="24"/>
          <w:szCs w:val="24"/>
        </w:rPr>
      </w:pPr>
    </w:p>
    <w:p w14:paraId="67493688" w14:textId="77777777" w:rsidR="002536E9" w:rsidRDefault="002536E9" w:rsidP="003E4131">
      <w:pPr>
        <w:autoSpaceDE w:val="0"/>
        <w:autoSpaceDN w:val="0"/>
        <w:adjustRightInd w:val="0"/>
        <w:spacing w:after="0" w:line="240" w:lineRule="auto"/>
        <w:rPr>
          <w:rFonts w:ascii="Times New Roman" w:eastAsia="Calibri" w:hAnsi="Times New Roman" w:cs="Times New Roman"/>
          <w:sz w:val="24"/>
          <w:szCs w:val="24"/>
        </w:rPr>
      </w:pPr>
    </w:p>
    <w:p w14:paraId="7EBDE06F" w14:textId="77777777" w:rsidR="002536E9" w:rsidRDefault="002536E9" w:rsidP="003E4131">
      <w:pPr>
        <w:autoSpaceDE w:val="0"/>
        <w:autoSpaceDN w:val="0"/>
        <w:adjustRightInd w:val="0"/>
        <w:spacing w:after="0" w:line="240" w:lineRule="auto"/>
        <w:rPr>
          <w:rFonts w:ascii="Times New Roman" w:eastAsia="Calibri" w:hAnsi="Times New Roman" w:cs="Times New Roman"/>
          <w:sz w:val="24"/>
          <w:szCs w:val="24"/>
        </w:rPr>
      </w:pPr>
    </w:p>
    <w:p w14:paraId="55580B24" w14:textId="39900E5F" w:rsidR="003E4131" w:rsidRDefault="00E50AD9" w:rsidP="003E4131">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February 2026</w:t>
      </w:r>
    </w:p>
    <w:p w14:paraId="2784255F" w14:textId="77777777" w:rsidR="00523D80" w:rsidRPr="003E4131" w:rsidRDefault="00523D80" w:rsidP="003E4131">
      <w:pPr>
        <w:autoSpaceDE w:val="0"/>
        <w:autoSpaceDN w:val="0"/>
        <w:adjustRightInd w:val="0"/>
        <w:spacing w:after="0" w:line="240" w:lineRule="auto"/>
        <w:rPr>
          <w:rFonts w:ascii="Times New Roman" w:eastAsia="Calibri" w:hAnsi="Times New Roman" w:cs="Times New Roman"/>
          <w:sz w:val="24"/>
          <w:szCs w:val="24"/>
        </w:rPr>
      </w:pPr>
    </w:p>
    <w:p w14:paraId="2DB057FE" w14:textId="6E34C1C1" w:rsidR="003506FE" w:rsidRPr="00AD26F5" w:rsidRDefault="001C18DD" w:rsidP="00523D80">
      <w:pPr>
        <w:spacing w:after="0"/>
        <w:jc w:val="center"/>
        <w:rPr>
          <w:rFonts w:ascii="Times New Roman" w:eastAsia="Calibri" w:hAnsi="Times New Roman" w:cs="Times New Roman"/>
          <w:b/>
          <w:sz w:val="32"/>
          <w:szCs w:val="32"/>
        </w:rPr>
      </w:pPr>
      <w:r w:rsidRPr="001C18DD">
        <w:rPr>
          <w:rFonts w:ascii="Times New Roman" w:eastAsia="Calibri" w:hAnsi="Times New Roman" w:cs="Times New Roman"/>
          <w:b/>
          <w:sz w:val="32"/>
          <w:szCs w:val="32"/>
        </w:rPr>
        <w:t>Preserving the Municipal Exemption f</w:t>
      </w:r>
      <w:r w:rsidR="00523D80">
        <w:rPr>
          <w:rFonts w:ascii="Times New Roman" w:eastAsia="Calibri" w:hAnsi="Times New Roman" w:cs="Times New Roman"/>
          <w:b/>
          <w:sz w:val="32"/>
          <w:szCs w:val="32"/>
        </w:rPr>
        <w:t>rom Pole Attachments</w:t>
      </w:r>
    </w:p>
    <w:p w14:paraId="6036BA83" w14:textId="086023A0" w:rsidR="007B3196" w:rsidRDefault="007B3196" w:rsidP="004B1401">
      <w:pPr>
        <w:pStyle w:val="NormalWeb"/>
        <w:shd w:val="clear" w:color="auto" w:fill="FFFFFF"/>
        <w:spacing w:before="0" w:beforeAutospacing="0" w:after="0" w:afterAutospacing="0"/>
      </w:pPr>
    </w:p>
    <w:p w14:paraId="142C5179" w14:textId="668435DD" w:rsidR="007B3196" w:rsidRDefault="0032318D" w:rsidP="004B1401">
      <w:pPr>
        <w:pStyle w:val="NormalWeb"/>
        <w:shd w:val="clear" w:color="auto" w:fill="FFFFFF"/>
        <w:spacing w:before="0" w:beforeAutospacing="0" w:after="0" w:afterAutospacing="0"/>
      </w:pPr>
      <w:r>
        <w:t>Public power utilities, including Missouri River Energy Services (MRES) members</w:t>
      </w:r>
      <w:r w:rsidR="0081043F">
        <w:t>,</w:t>
      </w:r>
      <w:r w:rsidR="00413C8A" w:rsidRPr="006655A6">
        <w:rPr>
          <w:bCs/>
        </w:rPr>
        <w:t xml:space="preserve"> want to bring the best technology and services to their communities. </w:t>
      </w:r>
      <w:r>
        <w:t xml:space="preserve">Federal overreach into </w:t>
      </w:r>
      <w:r w:rsidR="0081043F">
        <w:t xml:space="preserve">safeguarding </w:t>
      </w:r>
      <w:r>
        <w:t>local utility poles would undermine local decision-making, increase costs for municipal customers, and do little to advance broadband deployment.</w:t>
      </w:r>
    </w:p>
    <w:p w14:paraId="2D61A22F" w14:textId="77777777" w:rsidR="0032318D" w:rsidRDefault="0032318D" w:rsidP="004B1401">
      <w:pPr>
        <w:pStyle w:val="NormalWeb"/>
        <w:shd w:val="clear" w:color="auto" w:fill="FFFFFF"/>
        <w:spacing w:before="0" w:beforeAutospacing="0" w:after="0" w:afterAutospacing="0"/>
      </w:pPr>
    </w:p>
    <w:p w14:paraId="1A2977E4" w14:textId="7DD977D1" w:rsidR="009600CA" w:rsidRDefault="0032318D" w:rsidP="00BF4A4D">
      <w:pPr>
        <w:pStyle w:val="NormalWeb"/>
        <w:shd w:val="clear" w:color="auto" w:fill="FFFFFF"/>
        <w:spacing w:before="0" w:beforeAutospacing="0" w:after="0" w:afterAutospacing="0"/>
        <w:rPr>
          <w:bCs/>
        </w:rPr>
      </w:pPr>
      <w:r w:rsidRPr="0065519A">
        <w:rPr>
          <w:b/>
          <w:bCs/>
          <w:u w:val="single"/>
        </w:rPr>
        <w:t>Background</w:t>
      </w:r>
      <w:r w:rsidR="00BF4A4D">
        <w:rPr>
          <w:u w:val="single"/>
        </w:rPr>
        <w:br/>
      </w:r>
      <w:r w:rsidR="0007112F">
        <w:t>B</w:t>
      </w:r>
      <w:r w:rsidR="00854AE5">
        <w:t>roadband deployment is critical toward</w:t>
      </w:r>
      <w:r w:rsidR="0081043F">
        <w:t>s</w:t>
      </w:r>
      <w:r w:rsidR="00854AE5">
        <w:t xml:space="preserve"> bridging the digital </w:t>
      </w:r>
      <w:r w:rsidR="004A4E65">
        <w:t>divide</w:t>
      </w:r>
      <w:r w:rsidR="00A03312">
        <w:t xml:space="preserve">, and </w:t>
      </w:r>
      <w:r w:rsidR="000777BA">
        <w:t>municipals</w:t>
      </w:r>
      <w:r w:rsidR="00A03312">
        <w:t xml:space="preserve"> are part of that solution. </w:t>
      </w:r>
      <w:r w:rsidR="00854AE5">
        <w:t xml:space="preserve"> </w:t>
      </w:r>
      <w:r w:rsidR="000777BA">
        <w:t xml:space="preserve">Many MRES communities are actively engaged with broadband providers to facilitate deployment to meet the needs of their communities and foster economic development, particularly in rural and </w:t>
      </w:r>
      <w:r w:rsidR="001779A0">
        <w:t>underserved communities.</w:t>
      </w:r>
      <w:r w:rsidR="000777BA">
        <w:t xml:space="preserve"> </w:t>
      </w:r>
      <w:r w:rsidR="009600CA">
        <w:t xml:space="preserve">However, </w:t>
      </w:r>
      <w:r w:rsidR="008B0E0D">
        <w:t xml:space="preserve">MRES and its </w:t>
      </w:r>
      <w:r w:rsidR="0081043F">
        <w:t xml:space="preserve">municipal utility </w:t>
      </w:r>
      <w:r w:rsidR="008B0E0D">
        <w:t xml:space="preserve">members </w:t>
      </w:r>
      <w:r w:rsidR="009600CA">
        <w:t xml:space="preserve">also have an obligation to ensure </w:t>
      </w:r>
      <w:r w:rsidR="0081043F">
        <w:t>any telecommunication</w:t>
      </w:r>
      <w:r w:rsidR="0081043F">
        <w:rPr>
          <w:bCs/>
        </w:rPr>
        <w:t xml:space="preserve"> </w:t>
      </w:r>
      <w:r w:rsidR="009600CA">
        <w:rPr>
          <w:bCs/>
        </w:rPr>
        <w:t>equipment is installed safely and located in appropriate locations</w:t>
      </w:r>
      <w:r w:rsidR="0081043F">
        <w:rPr>
          <w:bCs/>
        </w:rPr>
        <w:t>. Additionally, municipals work to ensure their pole attachment</w:t>
      </w:r>
      <w:r w:rsidR="009600CA">
        <w:rPr>
          <w:bCs/>
        </w:rPr>
        <w:t xml:space="preserve"> rates and agreements do not discriminate against other broadband providers and</w:t>
      </w:r>
      <w:r w:rsidR="0081043F">
        <w:rPr>
          <w:bCs/>
        </w:rPr>
        <w:t xml:space="preserve"> ensure</w:t>
      </w:r>
      <w:r w:rsidR="009600CA">
        <w:rPr>
          <w:bCs/>
        </w:rPr>
        <w:t xml:space="preserve"> that </w:t>
      </w:r>
      <w:r w:rsidR="00FA0B1D">
        <w:rPr>
          <w:bCs/>
        </w:rPr>
        <w:t>the community does not subsidize broadband providers and users</w:t>
      </w:r>
      <w:r w:rsidR="009600CA">
        <w:rPr>
          <w:bCs/>
        </w:rPr>
        <w:t xml:space="preserve">. As a result of </w:t>
      </w:r>
      <w:r w:rsidR="00FA0B1D">
        <w:rPr>
          <w:bCs/>
        </w:rPr>
        <w:t>local government's cooperative efforts</w:t>
      </w:r>
      <w:r w:rsidR="009600CA">
        <w:rPr>
          <w:bCs/>
        </w:rPr>
        <w:t xml:space="preserve">, broadband deployment is blossoming. </w:t>
      </w:r>
    </w:p>
    <w:p w14:paraId="5FADA051" w14:textId="77777777" w:rsidR="009600CA" w:rsidRDefault="009600CA" w:rsidP="00BF4A4D">
      <w:pPr>
        <w:pStyle w:val="NormalWeb"/>
        <w:shd w:val="clear" w:color="auto" w:fill="FFFFFF"/>
        <w:spacing w:before="0" w:beforeAutospacing="0" w:after="0" w:afterAutospacing="0"/>
        <w:rPr>
          <w:bCs/>
        </w:rPr>
      </w:pPr>
    </w:p>
    <w:p w14:paraId="637B3807" w14:textId="46DB4559" w:rsidR="00BF4A4D" w:rsidRPr="00BF4A4D" w:rsidRDefault="00BF4A4D" w:rsidP="00BF4A4D">
      <w:pPr>
        <w:pStyle w:val="NormalWeb"/>
        <w:shd w:val="clear" w:color="auto" w:fill="FFFFFF"/>
        <w:spacing w:before="0" w:beforeAutospacing="0" w:after="0" w:afterAutospacing="0"/>
        <w:rPr>
          <w:u w:val="single"/>
        </w:rPr>
      </w:pPr>
      <w:r w:rsidRPr="00BF4A4D">
        <w:t>Pole attachments occur when broadband or telecommunications providers install their equipment on electric utility poles</w:t>
      </w:r>
      <w:r>
        <w:t xml:space="preserve">, </w:t>
      </w:r>
      <w:r w:rsidRPr="00BF4A4D">
        <w:t>reducing infrastructure duplication and costs for all users. Since 1978, municipal owned utilities and rural electric cooperatives have been explicitly exempt</w:t>
      </w:r>
      <w:r w:rsidR="009622E2">
        <w:t>ed</w:t>
      </w:r>
      <w:r w:rsidRPr="00BF4A4D">
        <w:t xml:space="preserve"> from federal pole attachment regulation under Section 224 of the Communications Act</w:t>
      </w:r>
      <w:r w:rsidR="009622E2">
        <w:t>, allowing for local regulation and cooperation to optimize infrastructure use while maintaining electric reliability and utility/pole safety</w:t>
      </w:r>
      <w:r w:rsidRPr="00BF4A4D">
        <w:t>.</w:t>
      </w:r>
      <w:r>
        <w:br/>
      </w:r>
      <w:r w:rsidRPr="00BF4A4D">
        <w:br/>
        <w:t>Congress reaffirmed this exemption through multiple updates to telecommunications law, recognizing that local governing boards already</w:t>
      </w:r>
      <w:r w:rsidR="009622E2">
        <w:t xml:space="preserve"> focus on setting</w:t>
      </w:r>
      <w:r w:rsidRPr="00BF4A4D">
        <w:t xml:space="preserve"> fair, transparent rates and terms that reflect community needs.</w:t>
      </w:r>
      <w:r w:rsidR="00F958DF">
        <w:t xml:space="preserve"> </w:t>
      </w:r>
      <w:r w:rsidRPr="00BF4A4D">
        <w:t>MRES’ member communities</w:t>
      </w:r>
      <w:r>
        <w:t xml:space="preserve"> </w:t>
      </w:r>
      <w:r w:rsidRPr="00BF4A4D">
        <w:t xml:space="preserve">work closely with broadband providers to support deployment. </w:t>
      </w:r>
      <w:r w:rsidR="009622E2">
        <w:t xml:space="preserve">Municipal electric utilities’ exercise of </w:t>
      </w:r>
      <w:r w:rsidRPr="00BF4A4D">
        <w:t xml:space="preserve">local control over pole attachments is </w:t>
      </w:r>
      <w:r w:rsidR="009622E2">
        <w:t xml:space="preserve">not </w:t>
      </w:r>
      <w:r w:rsidRPr="00BF4A4D">
        <w:t xml:space="preserve">a barrier to broadband access. </w:t>
      </w:r>
      <w:r w:rsidR="009622E2">
        <w:t>Rather</w:t>
      </w:r>
      <w:r w:rsidRPr="00BF4A4D">
        <w:t>, municipal utilities partner in broadband expansion through joint ventures, leasing fiber, or providing broadband directly.</w:t>
      </w:r>
    </w:p>
    <w:p w14:paraId="4DBD443E" w14:textId="77777777" w:rsidR="00BF4A4D" w:rsidRDefault="00BF4A4D" w:rsidP="004B1401">
      <w:pPr>
        <w:pStyle w:val="NormalWeb"/>
        <w:shd w:val="clear" w:color="auto" w:fill="FFFFFF"/>
        <w:spacing w:before="0" w:beforeAutospacing="0" w:after="0" w:afterAutospacing="0"/>
      </w:pPr>
    </w:p>
    <w:p w14:paraId="4A0182F4" w14:textId="75D095D0" w:rsidR="00523D80" w:rsidRDefault="00523D80" w:rsidP="004B1401">
      <w:pPr>
        <w:pStyle w:val="NormalWeb"/>
        <w:shd w:val="clear" w:color="auto" w:fill="FFFFFF"/>
        <w:spacing w:before="0" w:beforeAutospacing="0" w:after="0" w:afterAutospacing="0"/>
        <w:rPr>
          <w:u w:val="single"/>
        </w:rPr>
      </w:pPr>
      <w:r w:rsidRPr="00231CCD">
        <w:rPr>
          <w:u w:val="single"/>
        </w:rPr>
        <w:t xml:space="preserve">Regulatory </w:t>
      </w:r>
      <w:r w:rsidR="00084058" w:rsidRPr="00231CCD">
        <w:rPr>
          <w:u w:val="single"/>
        </w:rPr>
        <w:t>Act</w:t>
      </w:r>
      <w:r w:rsidR="00C47E3F" w:rsidRPr="00231CCD">
        <w:rPr>
          <w:u w:val="single"/>
        </w:rPr>
        <w:t xml:space="preserve">ion </w:t>
      </w:r>
    </w:p>
    <w:p w14:paraId="3E9E753E" w14:textId="5463F714" w:rsidR="00220A76" w:rsidRDefault="00220A76" w:rsidP="004B1401">
      <w:pPr>
        <w:pStyle w:val="NormalWeb"/>
        <w:shd w:val="clear" w:color="auto" w:fill="FFFFFF"/>
        <w:spacing w:before="0" w:beforeAutospacing="0" w:after="0" w:afterAutospacing="0"/>
      </w:pPr>
      <w:r>
        <w:t>Since 2010, the F</w:t>
      </w:r>
      <w:r w:rsidR="009622E2">
        <w:t>CC</w:t>
      </w:r>
      <w:r>
        <w:t xml:space="preserve"> has repeatedly recommended that Congress eliminate the longstanding exemption that </w:t>
      </w:r>
      <w:r w:rsidR="009622E2">
        <w:t>municipal electric</w:t>
      </w:r>
      <w:r>
        <w:t xml:space="preserve"> utilities and rural electric cooperatives have from FCC pole attachment regulation, claiming it would facilitate broadband deployment. Despite being barred from regulating municipal and cooperative utility poles under Section 224 of the Communications Act, the FCC has pursued this authority through multiple rulemakings and orders since 2016.  In 2017 and 2018, the FCC issued several orders that excluded capital costs from pole attachment rates, imposed “shot clocks” on utilities’ response times to attachment complaints, and exempted certain pole replacements from historic preservation rules. In its 2018 Small Cell Declaratory Ruling and Third Report and Order, the FCC went further—preempting state and local laws, including those governing small cell wireless attachments on public power poles, to remove what it called “regulatory barriers” to deployment. In 2023, the FCC adopted a Fourth Report and Order, Declaratory Ruling, and Third Further Notice of Proposed Rulemaking creating a “Rapid Broadband Assessment Team” to expedite broadband-related disputes, requiring utilities to share pole data with </w:t>
      </w:r>
      <w:proofErr w:type="spellStart"/>
      <w:r>
        <w:t>attachers</w:t>
      </w:r>
      <w:proofErr w:type="spellEnd"/>
      <w:r>
        <w:t xml:space="preserve">, expanding rules on pole replacement cost allocation, and seeking further comment on make-ready timelines and “self-help” provisions. The FCC finalized </w:t>
      </w:r>
      <w:r>
        <w:lastRenderedPageBreak/>
        <w:t>this 2023 rule in July 2024, establishing new information collection requirements for pole attachment regulation over the next three years.</w:t>
      </w:r>
    </w:p>
    <w:p w14:paraId="708E7D40" w14:textId="77777777" w:rsidR="00B3103E" w:rsidRDefault="00B3103E" w:rsidP="004B1401">
      <w:pPr>
        <w:pStyle w:val="NormalWeb"/>
        <w:shd w:val="clear" w:color="auto" w:fill="FFFFFF"/>
        <w:spacing w:before="0" w:beforeAutospacing="0" w:after="0" w:afterAutospacing="0"/>
      </w:pPr>
    </w:p>
    <w:p w14:paraId="5635942A" w14:textId="77777777" w:rsidR="00B47E4A" w:rsidRDefault="00051513" w:rsidP="004B1401">
      <w:pPr>
        <w:pStyle w:val="NormalWeb"/>
        <w:shd w:val="clear" w:color="auto" w:fill="FFFFFF"/>
        <w:spacing w:before="0" w:beforeAutospacing="0" w:after="0" w:afterAutospacing="0"/>
      </w:pPr>
      <w:r w:rsidRPr="00051513">
        <w:rPr>
          <w:u w:val="single"/>
        </w:rPr>
        <w:t>Problematic Legislative Efforts</w:t>
      </w:r>
      <w:r w:rsidRPr="00051513">
        <w:rPr>
          <w:u w:val="single"/>
        </w:rPr>
        <w:br/>
      </w:r>
      <w:r>
        <w:t xml:space="preserve">In 2021, there were unsuccessful attempts to include provisions in the Infrastructure Investment and Jobs Act (P.L. 117-58) that would have weakened public power utilities’ long-standing exemption from federal pole attachment regulations by expanding Section 253 to let broadband </w:t>
      </w:r>
      <w:proofErr w:type="spellStart"/>
      <w:r>
        <w:t>attachers</w:t>
      </w:r>
      <w:proofErr w:type="spellEnd"/>
      <w:r>
        <w:t xml:space="preserve"> challenge public power pole attachment rates, timelines, or legitimate denials under the misleading pretext of “eliminating barriers to broadband deployment.” More recently, in January 2025, Representative Morgan Griffith (R-VA) introduced H.R. 278, the Barriers and Regulatory Obstacles Avoids Deployment of Broadband Access and Needs Deregulatory Leadership (BROADBAND Leadership) Act, which MRES strongly opposes because it would effectively strip public power utilities of their exemption from FCC oversight of pole attachments. </w:t>
      </w:r>
    </w:p>
    <w:p w14:paraId="758CF695" w14:textId="77777777" w:rsidR="00B47E4A" w:rsidRDefault="00B47E4A" w:rsidP="004B1401">
      <w:pPr>
        <w:pStyle w:val="NormalWeb"/>
        <w:shd w:val="clear" w:color="auto" w:fill="FFFFFF"/>
        <w:spacing w:before="0" w:beforeAutospacing="0" w:after="0" w:afterAutospacing="0"/>
      </w:pPr>
    </w:p>
    <w:p w14:paraId="210BBDB8" w14:textId="2F816652" w:rsidR="00B3103E" w:rsidRDefault="00B47E4A" w:rsidP="004B1401">
      <w:pPr>
        <w:pStyle w:val="NormalWeb"/>
        <w:shd w:val="clear" w:color="auto" w:fill="FFFFFF"/>
        <w:spacing w:before="0" w:beforeAutospacing="0" w:after="0" w:afterAutospacing="0"/>
      </w:pPr>
      <w:r w:rsidRPr="00A80496">
        <w:t xml:space="preserve">The legislative text of H.R. 278 was included in H.R. 2289, which passed House Energy and Commerce Subcommittee on Communications &amp; Technology in November. This language would start a “shot clock” upon a request to a city for pole attachment approval. However, municipal electric utilities and city administrations are rarely one-in-the-same. This sets up a scenario in which a municipal electric </w:t>
      </w:r>
      <w:proofErr w:type="gramStart"/>
      <w:r w:rsidRPr="00A80496">
        <w:t>utility—</w:t>
      </w:r>
      <w:proofErr w:type="gramEnd"/>
      <w:r w:rsidRPr="00A80496">
        <w:t xml:space="preserve">even if it finally receives notice of the attachment </w:t>
      </w:r>
      <w:proofErr w:type="gramStart"/>
      <w:r w:rsidRPr="00A80496">
        <w:t>request—</w:t>
      </w:r>
      <w:proofErr w:type="gramEnd"/>
      <w:r w:rsidRPr="00A80496">
        <w:t>will not have sufficient time to fully evaluate safety and other risks that the proposed pole attachment may present towards the electric infrastructure and providing reliable power.</w:t>
      </w:r>
      <w:r>
        <w:t xml:space="preserve"> </w:t>
      </w:r>
      <w:r w:rsidR="00142A90">
        <w:t xml:space="preserve">H.R. 2289 was reported out of the House Committee on Energy and Commerce. </w:t>
      </w:r>
      <w:r>
        <w:t xml:space="preserve"> </w:t>
      </w:r>
    </w:p>
    <w:p w14:paraId="550EB763" w14:textId="77777777" w:rsidR="00981998" w:rsidRDefault="00981998" w:rsidP="004B1401">
      <w:pPr>
        <w:pStyle w:val="NormalWeb"/>
        <w:shd w:val="clear" w:color="auto" w:fill="FFFFFF"/>
        <w:spacing w:before="0" w:beforeAutospacing="0" w:after="0" w:afterAutospacing="0"/>
      </w:pPr>
    </w:p>
    <w:p w14:paraId="3E52F8B7" w14:textId="37D469AF" w:rsidR="00981998" w:rsidRDefault="00981998" w:rsidP="004B1401">
      <w:pPr>
        <w:pStyle w:val="NormalWeb"/>
        <w:shd w:val="clear" w:color="auto" w:fill="FFFFFF"/>
        <w:spacing w:before="0" w:beforeAutospacing="0" w:after="0" w:afterAutospacing="0"/>
      </w:pPr>
      <w:r>
        <w:rPr>
          <w:b/>
          <w:bCs/>
          <w:i/>
          <w:iCs/>
          <w:color w:val="000000"/>
        </w:rPr>
        <w:t>MRES urges Congress to preserve the current municipal exemption from FCC pole attachment regulation – or provide full respect for local decision-making for those cities that are acting to provide nondiscriminatory access. </w:t>
      </w:r>
    </w:p>
    <w:p w14:paraId="4D9E6440" w14:textId="77777777" w:rsidR="00051513" w:rsidRPr="00051513" w:rsidRDefault="00051513" w:rsidP="004B1401">
      <w:pPr>
        <w:pStyle w:val="NormalWeb"/>
        <w:shd w:val="clear" w:color="auto" w:fill="FFFFFF"/>
        <w:spacing w:before="0" w:beforeAutospacing="0" w:after="0" w:afterAutospacing="0"/>
        <w:rPr>
          <w:u w:val="single"/>
        </w:rPr>
      </w:pPr>
    </w:p>
    <w:sectPr w:rsidR="00051513" w:rsidRPr="00051513" w:rsidSect="0071106F">
      <w:headerReference w:type="default" r:id="rId11"/>
      <w:pgSz w:w="12240" w:h="15840"/>
      <w:pgMar w:top="144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BF3C5" w14:textId="77777777" w:rsidR="00FF049E" w:rsidRDefault="00FF049E" w:rsidP="00ED7BA3">
      <w:pPr>
        <w:spacing w:after="0" w:line="240" w:lineRule="auto"/>
      </w:pPr>
      <w:r>
        <w:separator/>
      </w:r>
    </w:p>
  </w:endnote>
  <w:endnote w:type="continuationSeparator" w:id="0">
    <w:p w14:paraId="536CE1FF" w14:textId="77777777" w:rsidR="00FF049E" w:rsidRDefault="00FF049E" w:rsidP="00ED7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22E0D" w14:textId="77777777" w:rsidR="00FF049E" w:rsidRDefault="00FF049E" w:rsidP="00ED7BA3">
      <w:pPr>
        <w:spacing w:after="0" w:line="240" w:lineRule="auto"/>
      </w:pPr>
      <w:r>
        <w:separator/>
      </w:r>
    </w:p>
  </w:footnote>
  <w:footnote w:type="continuationSeparator" w:id="0">
    <w:p w14:paraId="6ED0DA17" w14:textId="77777777" w:rsidR="00FF049E" w:rsidRDefault="00FF049E" w:rsidP="00ED7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6743E" w14:textId="0B5F7208" w:rsidR="00ED7BA3" w:rsidRDefault="00ED7B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92418"/>
    <w:multiLevelType w:val="hybridMultilevel"/>
    <w:tmpl w:val="65E6BE5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60171846"/>
    <w:multiLevelType w:val="hybridMultilevel"/>
    <w:tmpl w:val="C4C8B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6E2191"/>
    <w:multiLevelType w:val="hybridMultilevel"/>
    <w:tmpl w:val="F5F68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9310714">
    <w:abstractNumId w:val="0"/>
  </w:num>
  <w:num w:numId="2" w16cid:durableId="2064478630">
    <w:abstractNumId w:val="2"/>
  </w:num>
  <w:num w:numId="3" w16cid:durableId="1304652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31"/>
    <w:rsid w:val="000072F5"/>
    <w:rsid w:val="000114E4"/>
    <w:rsid w:val="0001233D"/>
    <w:rsid w:val="0001508B"/>
    <w:rsid w:val="0002086F"/>
    <w:rsid w:val="00020D81"/>
    <w:rsid w:val="00025CB8"/>
    <w:rsid w:val="00027BB5"/>
    <w:rsid w:val="00037E97"/>
    <w:rsid w:val="00043942"/>
    <w:rsid w:val="00050F23"/>
    <w:rsid w:val="00051513"/>
    <w:rsid w:val="00056DAC"/>
    <w:rsid w:val="0007112F"/>
    <w:rsid w:val="00074EB5"/>
    <w:rsid w:val="000777BA"/>
    <w:rsid w:val="00080A5A"/>
    <w:rsid w:val="00081460"/>
    <w:rsid w:val="00081E4D"/>
    <w:rsid w:val="00084058"/>
    <w:rsid w:val="000B20AC"/>
    <w:rsid w:val="000B6F73"/>
    <w:rsid w:val="000C19AE"/>
    <w:rsid w:val="000C7F40"/>
    <w:rsid w:val="000E26D1"/>
    <w:rsid w:val="000E70C8"/>
    <w:rsid w:val="000F77B7"/>
    <w:rsid w:val="00103762"/>
    <w:rsid w:val="00122A0C"/>
    <w:rsid w:val="0012331E"/>
    <w:rsid w:val="00142A90"/>
    <w:rsid w:val="00161D1C"/>
    <w:rsid w:val="001779A0"/>
    <w:rsid w:val="001806E5"/>
    <w:rsid w:val="001A17F1"/>
    <w:rsid w:val="001B7CD1"/>
    <w:rsid w:val="001C0E3C"/>
    <w:rsid w:val="001C18DD"/>
    <w:rsid w:val="001C1903"/>
    <w:rsid w:val="001C3BFD"/>
    <w:rsid w:val="001D6668"/>
    <w:rsid w:val="001E4350"/>
    <w:rsid w:val="001E5330"/>
    <w:rsid w:val="002038DB"/>
    <w:rsid w:val="00210B7F"/>
    <w:rsid w:val="0021452A"/>
    <w:rsid w:val="00220A76"/>
    <w:rsid w:val="00230DA1"/>
    <w:rsid w:val="00231CCD"/>
    <w:rsid w:val="00237B7E"/>
    <w:rsid w:val="00245140"/>
    <w:rsid w:val="00245427"/>
    <w:rsid w:val="002536E9"/>
    <w:rsid w:val="0026008C"/>
    <w:rsid w:val="0026760A"/>
    <w:rsid w:val="00282B7B"/>
    <w:rsid w:val="002854CC"/>
    <w:rsid w:val="0029472F"/>
    <w:rsid w:val="002952E1"/>
    <w:rsid w:val="002C3A71"/>
    <w:rsid w:val="002C752F"/>
    <w:rsid w:val="002D1580"/>
    <w:rsid w:val="002D5985"/>
    <w:rsid w:val="002F18AE"/>
    <w:rsid w:val="00303E6F"/>
    <w:rsid w:val="003056FA"/>
    <w:rsid w:val="003119C7"/>
    <w:rsid w:val="00311BE4"/>
    <w:rsid w:val="0032318D"/>
    <w:rsid w:val="00325800"/>
    <w:rsid w:val="0033432B"/>
    <w:rsid w:val="00340D48"/>
    <w:rsid w:val="003462A5"/>
    <w:rsid w:val="003506FE"/>
    <w:rsid w:val="00352728"/>
    <w:rsid w:val="00352B32"/>
    <w:rsid w:val="003641A4"/>
    <w:rsid w:val="0036641B"/>
    <w:rsid w:val="00371417"/>
    <w:rsid w:val="00386535"/>
    <w:rsid w:val="00386DB0"/>
    <w:rsid w:val="00397416"/>
    <w:rsid w:val="003A4627"/>
    <w:rsid w:val="003B110B"/>
    <w:rsid w:val="003B35F4"/>
    <w:rsid w:val="003E29D8"/>
    <w:rsid w:val="003E4131"/>
    <w:rsid w:val="003E69E6"/>
    <w:rsid w:val="0040080C"/>
    <w:rsid w:val="00400C65"/>
    <w:rsid w:val="00403B18"/>
    <w:rsid w:val="00413C8A"/>
    <w:rsid w:val="00437CF2"/>
    <w:rsid w:val="00444F35"/>
    <w:rsid w:val="00445BD9"/>
    <w:rsid w:val="004512B9"/>
    <w:rsid w:val="004634AD"/>
    <w:rsid w:val="0047031C"/>
    <w:rsid w:val="004852B9"/>
    <w:rsid w:val="004957C2"/>
    <w:rsid w:val="004A4E65"/>
    <w:rsid w:val="004A5B43"/>
    <w:rsid w:val="004B139A"/>
    <w:rsid w:val="004B1401"/>
    <w:rsid w:val="004C35FD"/>
    <w:rsid w:val="004C4EBC"/>
    <w:rsid w:val="004D5566"/>
    <w:rsid w:val="004D699E"/>
    <w:rsid w:val="004E1C14"/>
    <w:rsid w:val="004F6C6B"/>
    <w:rsid w:val="00504F25"/>
    <w:rsid w:val="005107B5"/>
    <w:rsid w:val="00512A4F"/>
    <w:rsid w:val="00523D80"/>
    <w:rsid w:val="00526945"/>
    <w:rsid w:val="00527012"/>
    <w:rsid w:val="0053399F"/>
    <w:rsid w:val="00540846"/>
    <w:rsid w:val="005752AE"/>
    <w:rsid w:val="00590CDC"/>
    <w:rsid w:val="005A2549"/>
    <w:rsid w:val="005A679A"/>
    <w:rsid w:val="005B0DEA"/>
    <w:rsid w:val="005B12E2"/>
    <w:rsid w:val="005B76A2"/>
    <w:rsid w:val="0061214F"/>
    <w:rsid w:val="00614414"/>
    <w:rsid w:val="00625245"/>
    <w:rsid w:val="00637D1B"/>
    <w:rsid w:val="0064284B"/>
    <w:rsid w:val="00642CBD"/>
    <w:rsid w:val="0065519A"/>
    <w:rsid w:val="00660AC2"/>
    <w:rsid w:val="006655A6"/>
    <w:rsid w:val="00680878"/>
    <w:rsid w:val="006810EB"/>
    <w:rsid w:val="006A7A23"/>
    <w:rsid w:val="006B50C0"/>
    <w:rsid w:val="006B723D"/>
    <w:rsid w:val="006C4216"/>
    <w:rsid w:val="006C5122"/>
    <w:rsid w:val="006D097B"/>
    <w:rsid w:val="006F2364"/>
    <w:rsid w:val="0070095B"/>
    <w:rsid w:val="00707A39"/>
    <w:rsid w:val="0071106F"/>
    <w:rsid w:val="00712C9D"/>
    <w:rsid w:val="00716B14"/>
    <w:rsid w:val="00746C25"/>
    <w:rsid w:val="00747D9B"/>
    <w:rsid w:val="00781B1B"/>
    <w:rsid w:val="007828E6"/>
    <w:rsid w:val="00783095"/>
    <w:rsid w:val="007952D3"/>
    <w:rsid w:val="007B3196"/>
    <w:rsid w:val="007C4FCB"/>
    <w:rsid w:val="007D5C4D"/>
    <w:rsid w:val="007E5D04"/>
    <w:rsid w:val="007F3A91"/>
    <w:rsid w:val="0081043F"/>
    <w:rsid w:val="008475C3"/>
    <w:rsid w:val="00850C10"/>
    <w:rsid w:val="00854AE5"/>
    <w:rsid w:val="00890F83"/>
    <w:rsid w:val="0089224E"/>
    <w:rsid w:val="0089361A"/>
    <w:rsid w:val="008A3182"/>
    <w:rsid w:val="008B0E0D"/>
    <w:rsid w:val="008C1708"/>
    <w:rsid w:val="008C4F7F"/>
    <w:rsid w:val="008D2E1C"/>
    <w:rsid w:val="008D5E77"/>
    <w:rsid w:val="008D74CA"/>
    <w:rsid w:val="008E7199"/>
    <w:rsid w:val="008F1E73"/>
    <w:rsid w:val="0090337D"/>
    <w:rsid w:val="00906064"/>
    <w:rsid w:val="0091266F"/>
    <w:rsid w:val="00941BB8"/>
    <w:rsid w:val="00945975"/>
    <w:rsid w:val="00954F75"/>
    <w:rsid w:val="0095637A"/>
    <w:rsid w:val="009600CA"/>
    <w:rsid w:val="009622E2"/>
    <w:rsid w:val="0096569B"/>
    <w:rsid w:val="00970E9C"/>
    <w:rsid w:val="00975FEC"/>
    <w:rsid w:val="00976D7A"/>
    <w:rsid w:val="00981998"/>
    <w:rsid w:val="0099032A"/>
    <w:rsid w:val="009B1FD6"/>
    <w:rsid w:val="009B3698"/>
    <w:rsid w:val="009B601E"/>
    <w:rsid w:val="009B6CFC"/>
    <w:rsid w:val="009C0FDA"/>
    <w:rsid w:val="009C29D9"/>
    <w:rsid w:val="009C3378"/>
    <w:rsid w:val="009C7B2B"/>
    <w:rsid w:val="009D3B9D"/>
    <w:rsid w:val="009E3EEB"/>
    <w:rsid w:val="009E4E54"/>
    <w:rsid w:val="009F1745"/>
    <w:rsid w:val="00A02C3E"/>
    <w:rsid w:val="00A03312"/>
    <w:rsid w:val="00A06211"/>
    <w:rsid w:val="00A30FA1"/>
    <w:rsid w:val="00A377B3"/>
    <w:rsid w:val="00A50F31"/>
    <w:rsid w:val="00A60AFE"/>
    <w:rsid w:val="00A6152A"/>
    <w:rsid w:val="00A63C4E"/>
    <w:rsid w:val="00A72A3D"/>
    <w:rsid w:val="00A80496"/>
    <w:rsid w:val="00A82894"/>
    <w:rsid w:val="00A97132"/>
    <w:rsid w:val="00AA1F38"/>
    <w:rsid w:val="00AA1F71"/>
    <w:rsid w:val="00AB4BF8"/>
    <w:rsid w:val="00AB7AAC"/>
    <w:rsid w:val="00AC676F"/>
    <w:rsid w:val="00AC6EC3"/>
    <w:rsid w:val="00AD26F5"/>
    <w:rsid w:val="00AE0D65"/>
    <w:rsid w:val="00AF75FC"/>
    <w:rsid w:val="00B00C51"/>
    <w:rsid w:val="00B0392D"/>
    <w:rsid w:val="00B3103E"/>
    <w:rsid w:val="00B47E4A"/>
    <w:rsid w:val="00B6232D"/>
    <w:rsid w:val="00B6754C"/>
    <w:rsid w:val="00B811E9"/>
    <w:rsid w:val="00B8181A"/>
    <w:rsid w:val="00B976E6"/>
    <w:rsid w:val="00BA6563"/>
    <w:rsid w:val="00BB1B14"/>
    <w:rsid w:val="00BD6A7B"/>
    <w:rsid w:val="00BF4A4D"/>
    <w:rsid w:val="00BF752E"/>
    <w:rsid w:val="00C12D0C"/>
    <w:rsid w:val="00C21F2C"/>
    <w:rsid w:val="00C45263"/>
    <w:rsid w:val="00C454F6"/>
    <w:rsid w:val="00C47E3F"/>
    <w:rsid w:val="00C7191D"/>
    <w:rsid w:val="00C759B6"/>
    <w:rsid w:val="00C76328"/>
    <w:rsid w:val="00CA22AE"/>
    <w:rsid w:val="00CB15AB"/>
    <w:rsid w:val="00CC014B"/>
    <w:rsid w:val="00CD5D5B"/>
    <w:rsid w:val="00CD793A"/>
    <w:rsid w:val="00CE1622"/>
    <w:rsid w:val="00CF0379"/>
    <w:rsid w:val="00D06296"/>
    <w:rsid w:val="00D13E6B"/>
    <w:rsid w:val="00D33979"/>
    <w:rsid w:val="00D343BA"/>
    <w:rsid w:val="00D36BD8"/>
    <w:rsid w:val="00D43852"/>
    <w:rsid w:val="00D4777A"/>
    <w:rsid w:val="00D47C0E"/>
    <w:rsid w:val="00D57DCE"/>
    <w:rsid w:val="00D61096"/>
    <w:rsid w:val="00D701AF"/>
    <w:rsid w:val="00D807BC"/>
    <w:rsid w:val="00D85210"/>
    <w:rsid w:val="00D8749E"/>
    <w:rsid w:val="00D92ECA"/>
    <w:rsid w:val="00DA2BDD"/>
    <w:rsid w:val="00DA7B69"/>
    <w:rsid w:val="00DE083A"/>
    <w:rsid w:val="00DE1A27"/>
    <w:rsid w:val="00DF46BA"/>
    <w:rsid w:val="00DF7E43"/>
    <w:rsid w:val="00E10D8B"/>
    <w:rsid w:val="00E12709"/>
    <w:rsid w:val="00E21FC4"/>
    <w:rsid w:val="00E32630"/>
    <w:rsid w:val="00E469EB"/>
    <w:rsid w:val="00E50AD9"/>
    <w:rsid w:val="00E75D77"/>
    <w:rsid w:val="00E80B19"/>
    <w:rsid w:val="00E836FD"/>
    <w:rsid w:val="00E84C5E"/>
    <w:rsid w:val="00E9375E"/>
    <w:rsid w:val="00EC00EF"/>
    <w:rsid w:val="00ED7BA3"/>
    <w:rsid w:val="00EF56A5"/>
    <w:rsid w:val="00F04D4C"/>
    <w:rsid w:val="00F2352D"/>
    <w:rsid w:val="00F31783"/>
    <w:rsid w:val="00F4556D"/>
    <w:rsid w:val="00F46D4C"/>
    <w:rsid w:val="00F520BC"/>
    <w:rsid w:val="00F6324F"/>
    <w:rsid w:val="00F6738B"/>
    <w:rsid w:val="00F73872"/>
    <w:rsid w:val="00F92E79"/>
    <w:rsid w:val="00F958DF"/>
    <w:rsid w:val="00F961E2"/>
    <w:rsid w:val="00FA0B1D"/>
    <w:rsid w:val="00FD01C1"/>
    <w:rsid w:val="00FD0F46"/>
    <w:rsid w:val="00FE3966"/>
    <w:rsid w:val="00FF049E"/>
    <w:rsid w:val="00FF3BF9"/>
    <w:rsid w:val="00FF5AC8"/>
    <w:rsid w:val="00FF65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F66F9"/>
  <w15:chartTrackingRefBased/>
  <w15:docId w15:val="{665E1AAC-9221-4E83-A1B2-9023F5A17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4131"/>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04F25"/>
    <w:pPr>
      <w:spacing w:after="0" w:line="240" w:lineRule="auto"/>
    </w:pPr>
  </w:style>
  <w:style w:type="character" w:styleId="CommentReference">
    <w:name w:val="annotation reference"/>
    <w:basedOn w:val="DefaultParagraphFont"/>
    <w:uiPriority w:val="99"/>
    <w:semiHidden/>
    <w:unhideWhenUsed/>
    <w:rsid w:val="002D5985"/>
    <w:rPr>
      <w:sz w:val="16"/>
      <w:szCs w:val="16"/>
    </w:rPr>
  </w:style>
  <w:style w:type="paragraph" w:styleId="CommentText">
    <w:name w:val="annotation text"/>
    <w:basedOn w:val="Normal"/>
    <w:link w:val="CommentTextChar"/>
    <w:uiPriority w:val="99"/>
    <w:unhideWhenUsed/>
    <w:rsid w:val="002D5985"/>
    <w:pPr>
      <w:spacing w:line="240" w:lineRule="auto"/>
    </w:pPr>
    <w:rPr>
      <w:sz w:val="20"/>
      <w:szCs w:val="20"/>
    </w:rPr>
  </w:style>
  <w:style w:type="character" w:customStyle="1" w:styleId="CommentTextChar">
    <w:name w:val="Comment Text Char"/>
    <w:basedOn w:val="DefaultParagraphFont"/>
    <w:link w:val="CommentText"/>
    <w:uiPriority w:val="99"/>
    <w:rsid w:val="002D5985"/>
    <w:rPr>
      <w:sz w:val="20"/>
      <w:szCs w:val="20"/>
    </w:rPr>
  </w:style>
  <w:style w:type="paragraph" w:styleId="CommentSubject">
    <w:name w:val="annotation subject"/>
    <w:basedOn w:val="CommentText"/>
    <w:next w:val="CommentText"/>
    <w:link w:val="CommentSubjectChar"/>
    <w:uiPriority w:val="99"/>
    <w:semiHidden/>
    <w:unhideWhenUsed/>
    <w:rsid w:val="002D5985"/>
    <w:rPr>
      <w:b/>
      <w:bCs/>
    </w:rPr>
  </w:style>
  <w:style w:type="character" w:customStyle="1" w:styleId="CommentSubjectChar">
    <w:name w:val="Comment Subject Char"/>
    <w:basedOn w:val="CommentTextChar"/>
    <w:link w:val="CommentSubject"/>
    <w:uiPriority w:val="99"/>
    <w:semiHidden/>
    <w:rsid w:val="002D5985"/>
    <w:rPr>
      <w:b/>
      <w:bCs/>
      <w:sz w:val="20"/>
      <w:szCs w:val="20"/>
    </w:rPr>
  </w:style>
  <w:style w:type="paragraph" w:styleId="BalloonText">
    <w:name w:val="Balloon Text"/>
    <w:basedOn w:val="Normal"/>
    <w:link w:val="BalloonTextChar"/>
    <w:uiPriority w:val="99"/>
    <w:semiHidden/>
    <w:unhideWhenUsed/>
    <w:rsid w:val="000439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942"/>
    <w:rPr>
      <w:rFonts w:ascii="Segoe UI" w:hAnsi="Segoe UI" w:cs="Segoe UI"/>
      <w:sz w:val="18"/>
      <w:szCs w:val="18"/>
    </w:rPr>
  </w:style>
  <w:style w:type="paragraph" w:styleId="ListParagraph">
    <w:name w:val="List Paragraph"/>
    <w:basedOn w:val="Normal"/>
    <w:uiPriority w:val="99"/>
    <w:qFormat/>
    <w:rsid w:val="003E29D8"/>
    <w:pPr>
      <w:spacing w:after="200" w:line="276" w:lineRule="auto"/>
      <w:ind w:left="720"/>
      <w:contextualSpacing/>
    </w:pPr>
  </w:style>
  <w:style w:type="paragraph" w:styleId="Header">
    <w:name w:val="header"/>
    <w:basedOn w:val="Normal"/>
    <w:link w:val="HeaderChar"/>
    <w:uiPriority w:val="99"/>
    <w:unhideWhenUsed/>
    <w:rsid w:val="00ED7B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BA3"/>
  </w:style>
  <w:style w:type="paragraph" w:styleId="Footer">
    <w:name w:val="footer"/>
    <w:basedOn w:val="Normal"/>
    <w:link w:val="FooterChar"/>
    <w:uiPriority w:val="99"/>
    <w:unhideWhenUsed/>
    <w:rsid w:val="00ED7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BA3"/>
  </w:style>
  <w:style w:type="character" w:customStyle="1" w:styleId="genid11">
    <w:name w:val="genid1_1"/>
    <w:basedOn w:val="DefaultParagraphFont"/>
    <w:rsid w:val="00906064"/>
  </w:style>
  <w:style w:type="character" w:customStyle="1" w:styleId="genid12">
    <w:name w:val="genid1_2"/>
    <w:basedOn w:val="DefaultParagraphFont"/>
    <w:rsid w:val="00906064"/>
  </w:style>
  <w:style w:type="paragraph" w:customStyle="1" w:styleId="Default">
    <w:name w:val="Default"/>
    <w:rsid w:val="00906064"/>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F4A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029601">
      <w:bodyDiv w:val="1"/>
      <w:marLeft w:val="0"/>
      <w:marRight w:val="0"/>
      <w:marTop w:val="0"/>
      <w:marBottom w:val="0"/>
      <w:divBdr>
        <w:top w:val="none" w:sz="0" w:space="0" w:color="auto"/>
        <w:left w:val="none" w:sz="0" w:space="0" w:color="auto"/>
        <w:bottom w:val="none" w:sz="0" w:space="0" w:color="auto"/>
        <w:right w:val="none" w:sz="0" w:space="0" w:color="auto"/>
      </w:divBdr>
    </w:div>
    <w:div w:id="1182476740">
      <w:bodyDiv w:val="1"/>
      <w:marLeft w:val="0"/>
      <w:marRight w:val="0"/>
      <w:marTop w:val="0"/>
      <w:marBottom w:val="0"/>
      <w:divBdr>
        <w:top w:val="none" w:sz="0" w:space="0" w:color="auto"/>
        <w:left w:val="none" w:sz="0" w:space="0" w:color="auto"/>
        <w:bottom w:val="none" w:sz="0" w:space="0" w:color="auto"/>
        <w:right w:val="none" w:sz="0" w:space="0" w:color="auto"/>
      </w:divBdr>
      <w:divsChild>
        <w:div w:id="1628200499">
          <w:marLeft w:val="0"/>
          <w:marRight w:val="0"/>
          <w:marTop w:val="0"/>
          <w:marBottom w:val="0"/>
          <w:divBdr>
            <w:top w:val="none" w:sz="0" w:space="0" w:color="auto"/>
            <w:left w:val="none" w:sz="0" w:space="0" w:color="auto"/>
            <w:bottom w:val="none" w:sz="0" w:space="0" w:color="auto"/>
            <w:right w:val="none" w:sz="0" w:space="0" w:color="auto"/>
          </w:divBdr>
        </w:div>
        <w:div w:id="1638604808">
          <w:marLeft w:val="0"/>
          <w:marRight w:val="0"/>
          <w:marTop w:val="0"/>
          <w:marBottom w:val="0"/>
          <w:divBdr>
            <w:top w:val="none" w:sz="0" w:space="0" w:color="auto"/>
            <w:left w:val="none" w:sz="0" w:space="0" w:color="auto"/>
            <w:bottom w:val="none" w:sz="0" w:space="0" w:color="auto"/>
            <w:right w:val="none" w:sz="0" w:space="0" w:color="auto"/>
          </w:divBdr>
        </w:div>
        <w:div w:id="1388412284">
          <w:marLeft w:val="0"/>
          <w:marRight w:val="0"/>
          <w:marTop w:val="0"/>
          <w:marBottom w:val="0"/>
          <w:divBdr>
            <w:top w:val="none" w:sz="0" w:space="0" w:color="auto"/>
            <w:left w:val="none" w:sz="0" w:space="0" w:color="auto"/>
            <w:bottom w:val="none" w:sz="0" w:space="0" w:color="auto"/>
            <w:right w:val="none" w:sz="0" w:space="0" w:color="auto"/>
          </w:divBdr>
        </w:div>
        <w:div w:id="1032535345">
          <w:marLeft w:val="0"/>
          <w:marRight w:val="0"/>
          <w:marTop w:val="0"/>
          <w:marBottom w:val="0"/>
          <w:divBdr>
            <w:top w:val="none" w:sz="0" w:space="0" w:color="auto"/>
            <w:left w:val="none" w:sz="0" w:space="0" w:color="auto"/>
            <w:bottom w:val="none" w:sz="0" w:space="0" w:color="auto"/>
            <w:right w:val="none" w:sz="0" w:space="0" w:color="auto"/>
          </w:divBdr>
        </w:div>
        <w:div w:id="260183793">
          <w:marLeft w:val="0"/>
          <w:marRight w:val="0"/>
          <w:marTop w:val="0"/>
          <w:marBottom w:val="0"/>
          <w:divBdr>
            <w:top w:val="none" w:sz="0" w:space="0" w:color="auto"/>
            <w:left w:val="none" w:sz="0" w:space="0" w:color="auto"/>
            <w:bottom w:val="none" w:sz="0" w:space="0" w:color="auto"/>
            <w:right w:val="none" w:sz="0" w:space="0" w:color="auto"/>
          </w:divBdr>
        </w:div>
        <w:div w:id="606079616">
          <w:marLeft w:val="0"/>
          <w:marRight w:val="0"/>
          <w:marTop w:val="0"/>
          <w:marBottom w:val="0"/>
          <w:divBdr>
            <w:top w:val="none" w:sz="0" w:space="0" w:color="auto"/>
            <w:left w:val="none" w:sz="0" w:space="0" w:color="auto"/>
            <w:bottom w:val="none" w:sz="0" w:space="0" w:color="auto"/>
            <w:right w:val="none" w:sz="0" w:space="0" w:color="auto"/>
          </w:divBdr>
        </w:div>
        <w:div w:id="1793934094">
          <w:marLeft w:val="0"/>
          <w:marRight w:val="0"/>
          <w:marTop w:val="0"/>
          <w:marBottom w:val="0"/>
          <w:divBdr>
            <w:top w:val="none" w:sz="0" w:space="0" w:color="auto"/>
            <w:left w:val="none" w:sz="0" w:space="0" w:color="auto"/>
            <w:bottom w:val="none" w:sz="0" w:space="0" w:color="auto"/>
            <w:right w:val="none" w:sz="0" w:space="0" w:color="auto"/>
          </w:divBdr>
        </w:div>
        <w:div w:id="265118676">
          <w:marLeft w:val="0"/>
          <w:marRight w:val="0"/>
          <w:marTop w:val="0"/>
          <w:marBottom w:val="0"/>
          <w:divBdr>
            <w:top w:val="none" w:sz="0" w:space="0" w:color="auto"/>
            <w:left w:val="none" w:sz="0" w:space="0" w:color="auto"/>
            <w:bottom w:val="none" w:sz="0" w:space="0" w:color="auto"/>
            <w:right w:val="none" w:sz="0" w:space="0" w:color="auto"/>
          </w:divBdr>
        </w:div>
        <w:div w:id="1432360068">
          <w:marLeft w:val="0"/>
          <w:marRight w:val="0"/>
          <w:marTop w:val="0"/>
          <w:marBottom w:val="0"/>
          <w:divBdr>
            <w:top w:val="none" w:sz="0" w:space="0" w:color="auto"/>
            <w:left w:val="none" w:sz="0" w:space="0" w:color="auto"/>
            <w:bottom w:val="none" w:sz="0" w:space="0" w:color="auto"/>
            <w:right w:val="none" w:sz="0" w:space="0" w:color="auto"/>
          </w:divBdr>
        </w:div>
        <w:div w:id="530653357">
          <w:marLeft w:val="0"/>
          <w:marRight w:val="0"/>
          <w:marTop w:val="0"/>
          <w:marBottom w:val="0"/>
          <w:divBdr>
            <w:top w:val="none" w:sz="0" w:space="0" w:color="auto"/>
            <w:left w:val="none" w:sz="0" w:space="0" w:color="auto"/>
            <w:bottom w:val="none" w:sz="0" w:space="0" w:color="auto"/>
            <w:right w:val="none" w:sz="0" w:space="0" w:color="auto"/>
          </w:divBdr>
        </w:div>
        <w:div w:id="512426760">
          <w:marLeft w:val="0"/>
          <w:marRight w:val="0"/>
          <w:marTop w:val="0"/>
          <w:marBottom w:val="0"/>
          <w:divBdr>
            <w:top w:val="none" w:sz="0" w:space="0" w:color="auto"/>
            <w:left w:val="none" w:sz="0" w:space="0" w:color="auto"/>
            <w:bottom w:val="none" w:sz="0" w:space="0" w:color="auto"/>
            <w:right w:val="none" w:sz="0" w:space="0" w:color="auto"/>
          </w:divBdr>
        </w:div>
        <w:div w:id="1098675987">
          <w:marLeft w:val="0"/>
          <w:marRight w:val="0"/>
          <w:marTop w:val="0"/>
          <w:marBottom w:val="0"/>
          <w:divBdr>
            <w:top w:val="none" w:sz="0" w:space="0" w:color="auto"/>
            <w:left w:val="none" w:sz="0" w:space="0" w:color="auto"/>
            <w:bottom w:val="none" w:sz="0" w:space="0" w:color="auto"/>
            <w:right w:val="none" w:sz="0" w:space="0" w:color="auto"/>
          </w:divBdr>
        </w:div>
        <w:div w:id="779841978">
          <w:marLeft w:val="0"/>
          <w:marRight w:val="0"/>
          <w:marTop w:val="0"/>
          <w:marBottom w:val="0"/>
          <w:divBdr>
            <w:top w:val="none" w:sz="0" w:space="0" w:color="auto"/>
            <w:left w:val="none" w:sz="0" w:space="0" w:color="auto"/>
            <w:bottom w:val="none" w:sz="0" w:space="0" w:color="auto"/>
            <w:right w:val="none" w:sz="0" w:space="0" w:color="auto"/>
          </w:divBdr>
        </w:div>
        <w:div w:id="182012102">
          <w:marLeft w:val="0"/>
          <w:marRight w:val="0"/>
          <w:marTop w:val="0"/>
          <w:marBottom w:val="0"/>
          <w:divBdr>
            <w:top w:val="none" w:sz="0" w:space="0" w:color="auto"/>
            <w:left w:val="none" w:sz="0" w:space="0" w:color="auto"/>
            <w:bottom w:val="none" w:sz="0" w:space="0" w:color="auto"/>
            <w:right w:val="none" w:sz="0" w:space="0" w:color="auto"/>
          </w:divBdr>
        </w:div>
        <w:div w:id="2026856238">
          <w:marLeft w:val="0"/>
          <w:marRight w:val="0"/>
          <w:marTop w:val="0"/>
          <w:marBottom w:val="0"/>
          <w:divBdr>
            <w:top w:val="none" w:sz="0" w:space="0" w:color="auto"/>
            <w:left w:val="none" w:sz="0" w:space="0" w:color="auto"/>
            <w:bottom w:val="none" w:sz="0" w:space="0" w:color="auto"/>
            <w:right w:val="none" w:sz="0" w:space="0" w:color="auto"/>
          </w:divBdr>
        </w:div>
        <w:div w:id="292254915">
          <w:marLeft w:val="0"/>
          <w:marRight w:val="0"/>
          <w:marTop w:val="0"/>
          <w:marBottom w:val="0"/>
          <w:divBdr>
            <w:top w:val="none" w:sz="0" w:space="0" w:color="auto"/>
            <w:left w:val="none" w:sz="0" w:space="0" w:color="auto"/>
            <w:bottom w:val="none" w:sz="0" w:space="0" w:color="auto"/>
            <w:right w:val="none" w:sz="0" w:space="0" w:color="auto"/>
          </w:divBdr>
        </w:div>
        <w:div w:id="389037429">
          <w:marLeft w:val="0"/>
          <w:marRight w:val="0"/>
          <w:marTop w:val="0"/>
          <w:marBottom w:val="0"/>
          <w:divBdr>
            <w:top w:val="none" w:sz="0" w:space="0" w:color="auto"/>
            <w:left w:val="none" w:sz="0" w:space="0" w:color="auto"/>
            <w:bottom w:val="none" w:sz="0" w:space="0" w:color="auto"/>
            <w:right w:val="none" w:sz="0" w:space="0" w:color="auto"/>
          </w:divBdr>
        </w:div>
        <w:div w:id="1574118107">
          <w:marLeft w:val="0"/>
          <w:marRight w:val="0"/>
          <w:marTop w:val="0"/>
          <w:marBottom w:val="0"/>
          <w:divBdr>
            <w:top w:val="none" w:sz="0" w:space="0" w:color="auto"/>
            <w:left w:val="none" w:sz="0" w:space="0" w:color="auto"/>
            <w:bottom w:val="none" w:sz="0" w:space="0" w:color="auto"/>
            <w:right w:val="none" w:sz="0" w:space="0" w:color="auto"/>
          </w:divBdr>
        </w:div>
        <w:div w:id="1291402639">
          <w:marLeft w:val="0"/>
          <w:marRight w:val="0"/>
          <w:marTop w:val="0"/>
          <w:marBottom w:val="0"/>
          <w:divBdr>
            <w:top w:val="none" w:sz="0" w:space="0" w:color="auto"/>
            <w:left w:val="none" w:sz="0" w:space="0" w:color="auto"/>
            <w:bottom w:val="none" w:sz="0" w:space="0" w:color="auto"/>
            <w:right w:val="none" w:sz="0" w:space="0" w:color="auto"/>
          </w:divBdr>
        </w:div>
        <w:div w:id="780759700">
          <w:marLeft w:val="0"/>
          <w:marRight w:val="0"/>
          <w:marTop w:val="0"/>
          <w:marBottom w:val="0"/>
          <w:divBdr>
            <w:top w:val="none" w:sz="0" w:space="0" w:color="auto"/>
            <w:left w:val="none" w:sz="0" w:space="0" w:color="auto"/>
            <w:bottom w:val="none" w:sz="0" w:space="0" w:color="auto"/>
            <w:right w:val="none" w:sz="0" w:space="0" w:color="auto"/>
          </w:divBdr>
        </w:div>
        <w:div w:id="1198004117">
          <w:marLeft w:val="0"/>
          <w:marRight w:val="0"/>
          <w:marTop w:val="0"/>
          <w:marBottom w:val="0"/>
          <w:divBdr>
            <w:top w:val="none" w:sz="0" w:space="0" w:color="auto"/>
            <w:left w:val="none" w:sz="0" w:space="0" w:color="auto"/>
            <w:bottom w:val="none" w:sz="0" w:space="0" w:color="auto"/>
            <w:right w:val="none" w:sz="0" w:space="0" w:color="auto"/>
          </w:divBdr>
        </w:div>
        <w:div w:id="934363574">
          <w:marLeft w:val="0"/>
          <w:marRight w:val="0"/>
          <w:marTop w:val="0"/>
          <w:marBottom w:val="0"/>
          <w:divBdr>
            <w:top w:val="none" w:sz="0" w:space="0" w:color="auto"/>
            <w:left w:val="none" w:sz="0" w:space="0" w:color="auto"/>
            <w:bottom w:val="none" w:sz="0" w:space="0" w:color="auto"/>
            <w:right w:val="none" w:sz="0" w:space="0" w:color="auto"/>
          </w:divBdr>
        </w:div>
        <w:div w:id="1919053103">
          <w:marLeft w:val="0"/>
          <w:marRight w:val="0"/>
          <w:marTop w:val="0"/>
          <w:marBottom w:val="0"/>
          <w:divBdr>
            <w:top w:val="none" w:sz="0" w:space="0" w:color="auto"/>
            <w:left w:val="none" w:sz="0" w:space="0" w:color="auto"/>
            <w:bottom w:val="none" w:sz="0" w:space="0" w:color="auto"/>
            <w:right w:val="none" w:sz="0" w:space="0" w:color="auto"/>
          </w:divBdr>
        </w:div>
        <w:div w:id="1556042638">
          <w:marLeft w:val="0"/>
          <w:marRight w:val="0"/>
          <w:marTop w:val="0"/>
          <w:marBottom w:val="0"/>
          <w:divBdr>
            <w:top w:val="none" w:sz="0" w:space="0" w:color="auto"/>
            <w:left w:val="none" w:sz="0" w:space="0" w:color="auto"/>
            <w:bottom w:val="none" w:sz="0" w:space="0" w:color="auto"/>
            <w:right w:val="none" w:sz="0" w:space="0" w:color="auto"/>
          </w:divBdr>
        </w:div>
        <w:div w:id="393889726">
          <w:marLeft w:val="0"/>
          <w:marRight w:val="0"/>
          <w:marTop w:val="0"/>
          <w:marBottom w:val="0"/>
          <w:divBdr>
            <w:top w:val="none" w:sz="0" w:space="0" w:color="auto"/>
            <w:left w:val="none" w:sz="0" w:space="0" w:color="auto"/>
            <w:bottom w:val="none" w:sz="0" w:space="0" w:color="auto"/>
            <w:right w:val="none" w:sz="0" w:space="0" w:color="auto"/>
          </w:divBdr>
        </w:div>
        <w:div w:id="1668939983">
          <w:marLeft w:val="0"/>
          <w:marRight w:val="0"/>
          <w:marTop w:val="0"/>
          <w:marBottom w:val="0"/>
          <w:divBdr>
            <w:top w:val="none" w:sz="0" w:space="0" w:color="auto"/>
            <w:left w:val="none" w:sz="0" w:space="0" w:color="auto"/>
            <w:bottom w:val="none" w:sz="0" w:space="0" w:color="auto"/>
            <w:right w:val="none" w:sz="0" w:space="0" w:color="auto"/>
          </w:divBdr>
        </w:div>
        <w:div w:id="259068715">
          <w:marLeft w:val="0"/>
          <w:marRight w:val="0"/>
          <w:marTop w:val="0"/>
          <w:marBottom w:val="0"/>
          <w:divBdr>
            <w:top w:val="none" w:sz="0" w:space="0" w:color="auto"/>
            <w:left w:val="none" w:sz="0" w:space="0" w:color="auto"/>
            <w:bottom w:val="none" w:sz="0" w:space="0" w:color="auto"/>
            <w:right w:val="none" w:sz="0" w:space="0" w:color="auto"/>
          </w:divBdr>
        </w:div>
        <w:div w:id="1427657605">
          <w:marLeft w:val="0"/>
          <w:marRight w:val="0"/>
          <w:marTop w:val="0"/>
          <w:marBottom w:val="0"/>
          <w:divBdr>
            <w:top w:val="none" w:sz="0" w:space="0" w:color="auto"/>
            <w:left w:val="none" w:sz="0" w:space="0" w:color="auto"/>
            <w:bottom w:val="none" w:sz="0" w:space="0" w:color="auto"/>
            <w:right w:val="none" w:sz="0" w:space="0" w:color="auto"/>
          </w:divBdr>
        </w:div>
        <w:div w:id="1177305073">
          <w:marLeft w:val="0"/>
          <w:marRight w:val="0"/>
          <w:marTop w:val="0"/>
          <w:marBottom w:val="0"/>
          <w:divBdr>
            <w:top w:val="none" w:sz="0" w:space="0" w:color="auto"/>
            <w:left w:val="none" w:sz="0" w:space="0" w:color="auto"/>
            <w:bottom w:val="none" w:sz="0" w:space="0" w:color="auto"/>
            <w:right w:val="none" w:sz="0" w:space="0" w:color="auto"/>
          </w:divBdr>
        </w:div>
        <w:div w:id="521941499">
          <w:marLeft w:val="0"/>
          <w:marRight w:val="0"/>
          <w:marTop w:val="0"/>
          <w:marBottom w:val="0"/>
          <w:divBdr>
            <w:top w:val="none" w:sz="0" w:space="0" w:color="auto"/>
            <w:left w:val="none" w:sz="0" w:space="0" w:color="auto"/>
            <w:bottom w:val="none" w:sz="0" w:space="0" w:color="auto"/>
            <w:right w:val="none" w:sz="0" w:space="0" w:color="auto"/>
          </w:divBdr>
        </w:div>
        <w:div w:id="264963763">
          <w:marLeft w:val="0"/>
          <w:marRight w:val="0"/>
          <w:marTop w:val="0"/>
          <w:marBottom w:val="0"/>
          <w:divBdr>
            <w:top w:val="none" w:sz="0" w:space="0" w:color="auto"/>
            <w:left w:val="none" w:sz="0" w:space="0" w:color="auto"/>
            <w:bottom w:val="none" w:sz="0" w:space="0" w:color="auto"/>
            <w:right w:val="none" w:sz="0" w:space="0" w:color="auto"/>
          </w:divBdr>
        </w:div>
        <w:div w:id="176385931">
          <w:marLeft w:val="0"/>
          <w:marRight w:val="0"/>
          <w:marTop w:val="0"/>
          <w:marBottom w:val="0"/>
          <w:divBdr>
            <w:top w:val="none" w:sz="0" w:space="0" w:color="auto"/>
            <w:left w:val="none" w:sz="0" w:space="0" w:color="auto"/>
            <w:bottom w:val="none" w:sz="0" w:space="0" w:color="auto"/>
            <w:right w:val="none" w:sz="0" w:space="0" w:color="auto"/>
          </w:divBdr>
        </w:div>
        <w:div w:id="1295528440">
          <w:marLeft w:val="0"/>
          <w:marRight w:val="0"/>
          <w:marTop w:val="0"/>
          <w:marBottom w:val="0"/>
          <w:divBdr>
            <w:top w:val="none" w:sz="0" w:space="0" w:color="auto"/>
            <w:left w:val="none" w:sz="0" w:space="0" w:color="auto"/>
            <w:bottom w:val="none" w:sz="0" w:space="0" w:color="auto"/>
            <w:right w:val="none" w:sz="0" w:space="0" w:color="auto"/>
          </w:divBdr>
        </w:div>
        <w:div w:id="290480171">
          <w:marLeft w:val="0"/>
          <w:marRight w:val="0"/>
          <w:marTop w:val="0"/>
          <w:marBottom w:val="0"/>
          <w:divBdr>
            <w:top w:val="none" w:sz="0" w:space="0" w:color="auto"/>
            <w:left w:val="none" w:sz="0" w:space="0" w:color="auto"/>
            <w:bottom w:val="none" w:sz="0" w:space="0" w:color="auto"/>
            <w:right w:val="none" w:sz="0" w:space="0" w:color="auto"/>
          </w:divBdr>
        </w:div>
        <w:div w:id="1924605239">
          <w:marLeft w:val="0"/>
          <w:marRight w:val="0"/>
          <w:marTop w:val="0"/>
          <w:marBottom w:val="0"/>
          <w:divBdr>
            <w:top w:val="none" w:sz="0" w:space="0" w:color="auto"/>
            <w:left w:val="none" w:sz="0" w:space="0" w:color="auto"/>
            <w:bottom w:val="none" w:sz="0" w:space="0" w:color="auto"/>
            <w:right w:val="none" w:sz="0" w:space="0" w:color="auto"/>
          </w:divBdr>
        </w:div>
        <w:div w:id="1272781401">
          <w:marLeft w:val="0"/>
          <w:marRight w:val="0"/>
          <w:marTop w:val="0"/>
          <w:marBottom w:val="0"/>
          <w:divBdr>
            <w:top w:val="none" w:sz="0" w:space="0" w:color="auto"/>
            <w:left w:val="none" w:sz="0" w:space="0" w:color="auto"/>
            <w:bottom w:val="none" w:sz="0" w:space="0" w:color="auto"/>
            <w:right w:val="none" w:sz="0" w:space="0" w:color="auto"/>
          </w:divBdr>
        </w:div>
        <w:div w:id="1725790908">
          <w:marLeft w:val="0"/>
          <w:marRight w:val="0"/>
          <w:marTop w:val="0"/>
          <w:marBottom w:val="0"/>
          <w:divBdr>
            <w:top w:val="none" w:sz="0" w:space="0" w:color="auto"/>
            <w:left w:val="none" w:sz="0" w:space="0" w:color="auto"/>
            <w:bottom w:val="none" w:sz="0" w:space="0" w:color="auto"/>
            <w:right w:val="none" w:sz="0" w:space="0" w:color="auto"/>
          </w:divBdr>
        </w:div>
        <w:div w:id="868371862">
          <w:marLeft w:val="0"/>
          <w:marRight w:val="0"/>
          <w:marTop w:val="0"/>
          <w:marBottom w:val="0"/>
          <w:divBdr>
            <w:top w:val="none" w:sz="0" w:space="0" w:color="auto"/>
            <w:left w:val="none" w:sz="0" w:space="0" w:color="auto"/>
            <w:bottom w:val="none" w:sz="0" w:space="0" w:color="auto"/>
            <w:right w:val="none" w:sz="0" w:space="0" w:color="auto"/>
          </w:divBdr>
        </w:div>
        <w:div w:id="264195092">
          <w:marLeft w:val="0"/>
          <w:marRight w:val="0"/>
          <w:marTop w:val="0"/>
          <w:marBottom w:val="0"/>
          <w:divBdr>
            <w:top w:val="none" w:sz="0" w:space="0" w:color="auto"/>
            <w:left w:val="none" w:sz="0" w:space="0" w:color="auto"/>
            <w:bottom w:val="none" w:sz="0" w:space="0" w:color="auto"/>
            <w:right w:val="none" w:sz="0" w:space="0" w:color="auto"/>
          </w:divBdr>
        </w:div>
        <w:div w:id="752163013">
          <w:marLeft w:val="0"/>
          <w:marRight w:val="0"/>
          <w:marTop w:val="0"/>
          <w:marBottom w:val="0"/>
          <w:divBdr>
            <w:top w:val="none" w:sz="0" w:space="0" w:color="auto"/>
            <w:left w:val="none" w:sz="0" w:space="0" w:color="auto"/>
            <w:bottom w:val="none" w:sz="0" w:space="0" w:color="auto"/>
            <w:right w:val="none" w:sz="0" w:space="0" w:color="auto"/>
          </w:divBdr>
        </w:div>
        <w:div w:id="971520957">
          <w:marLeft w:val="0"/>
          <w:marRight w:val="0"/>
          <w:marTop w:val="0"/>
          <w:marBottom w:val="0"/>
          <w:divBdr>
            <w:top w:val="none" w:sz="0" w:space="0" w:color="auto"/>
            <w:left w:val="none" w:sz="0" w:space="0" w:color="auto"/>
            <w:bottom w:val="none" w:sz="0" w:space="0" w:color="auto"/>
            <w:right w:val="none" w:sz="0" w:space="0" w:color="auto"/>
          </w:divBdr>
        </w:div>
        <w:div w:id="1709911531">
          <w:marLeft w:val="0"/>
          <w:marRight w:val="0"/>
          <w:marTop w:val="0"/>
          <w:marBottom w:val="0"/>
          <w:divBdr>
            <w:top w:val="none" w:sz="0" w:space="0" w:color="auto"/>
            <w:left w:val="none" w:sz="0" w:space="0" w:color="auto"/>
            <w:bottom w:val="none" w:sz="0" w:space="0" w:color="auto"/>
            <w:right w:val="none" w:sz="0" w:space="0" w:color="auto"/>
          </w:divBdr>
        </w:div>
        <w:div w:id="667295491">
          <w:marLeft w:val="0"/>
          <w:marRight w:val="0"/>
          <w:marTop w:val="0"/>
          <w:marBottom w:val="0"/>
          <w:divBdr>
            <w:top w:val="none" w:sz="0" w:space="0" w:color="auto"/>
            <w:left w:val="none" w:sz="0" w:space="0" w:color="auto"/>
            <w:bottom w:val="none" w:sz="0" w:space="0" w:color="auto"/>
            <w:right w:val="none" w:sz="0" w:space="0" w:color="auto"/>
          </w:divBdr>
        </w:div>
        <w:div w:id="1227106694">
          <w:marLeft w:val="0"/>
          <w:marRight w:val="0"/>
          <w:marTop w:val="0"/>
          <w:marBottom w:val="0"/>
          <w:divBdr>
            <w:top w:val="none" w:sz="0" w:space="0" w:color="auto"/>
            <w:left w:val="none" w:sz="0" w:space="0" w:color="auto"/>
            <w:bottom w:val="none" w:sz="0" w:space="0" w:color="auto"/>
            <w:right w:val="none" w:sz="0" w:space="0" w:color="auto"/>
          </w:divBdr>
        </w:div>
        <w:div w:id="147527458">
          <w:marLeft w:val="0"/>
          <w:marRight w:val="0"/>
          <w:marTop w:val="0"/>
          <w:marBottom w:val="0"/>
          <w:divBdr>
            <w:top w:val="none" w:sz="0" w:space="0" w:color="auto"/>
            <w:left w:val="none" w:sz="0" w:space="0" w:color="auto"/>
            <w:bottom w:val="none" w:sz="0" w:space="0" w:color="auto"/>
            <w:right w:val="none" w:sz="0" w:space="0" w:color="auto"/>
          </w:divBdr>
        </w:div>
        <w:div w:id="283314031">
          <w:marLeft w:val="0"/>
          <w:marRight w:val="0"/>
          <w:marTop w:val="0"/>
          <w:marBottom w:val="0"/>
          <w:divBdr>
            <w:top w:val="none" w:sz="0" w:space="0" w:color="auto"/>
            <w:left w:val="none" w:sz="0" w:space="0" w:color="auto"/>
            <w:bottom w:val="none" w:sz="0" w:space="0" w:color="auto"/>
            <w:right w:val="none" w:sz="0" w:space="0" w:color="auto"/>
          </w:divBdr>
        </w:div>
        <w:div w:id="685719150">
          <w:marLeft w:val="0"/>
          <w:marRight w:val="0"/>
          <w:marTop w:val="0"/>
          <w:marBottom w:val="0"/>
          <w:divBdr>
            <w:top w:val="none" w:sz="0" w:space="0" w:color="auto"/>
            <w:left w:val="none" w:sz="0" w:space="0" w:color="auto"/>
            <w:bottom w:val="none" w:sz="0" w:space="0" w:color="auto"/>
            <w:right w:val="none" w:sz="0" w:space="0" w:color="auto"/>
          </w:divBdr>
        </w:div>
        <w:div w:id="302665269">
          <w:marLeft w:val="0"/>
          <w:marRight w:val="0"/>
          <w:marTop w:val="0"/>
          <w:marBottom w:val="0"/>
          <w:divBdr>
            <w:top w:val="none" w:sz="0" w:space="0" w:color="auto"/>
            <w:left w:val="none" w:sz="0" w:space="0" w:color="auto"/>
            <w:bottom w:val="none" w:sz="0" w:space="0" w:color="auto"/>
            <w:right w:val="none" w:sz="0" w:space="0" w:color="auto"/>
          </w:divBdr>
        </w:div>
        <w:div w:id="1610969090">
          <w:marLeft w:val="0"/>
          <w:marRight w:val="0"/>
          <w:marTop w:val="0"/>
          <w:marBottom w:val="0"/>
          <w:divBdr>
            <w:top w:val="none" w:sz="0" w:space="0" w:color="auto"/>
            <w:left w:val="none" w:sz="0" w:space="0" w:color="auto"/>
            <w:bottom w:val="none" w:sz="0" w:space="0" w:color="auto"/>
            <w:right w:val="none" w:sz="0" w:space="0" w:color="auto"/>
          </w:divBdr>
        </w:div>
        <w:div w:id="755593825">
          <w:marLeft w:val="0"/>
          <w:marRight w:val="0"/>
          <w:marTop w:val="0"/>
          <w:marBottom w:val="0"/>
          <w:divBdr>
            <w:top w:val="none" w:sz="0" w:space="0" w:color="auto"/>
            <w:left w:val="none" w:sz="0" w:space="0" w:color="auto"/>
            <w:bottom w:val="none" w:sz="0" w:space="0" w:color="auto"/>
            <w:right w:val="none" w:sz="0" w:space="0" w:color="auto"/>
          </w:divBdr>
        </w:div>
        <w:div w:id="531920532">
          <w:marLeft w:val="0"/>
          <w:marRight w:val="0"/>
          <w:marTop w:val="0"/>
          <w:marBottom w:val="0"/>
          <w:divBdr>
            <w:top w:val="none" w:sz="0" w:space="0" w:color="auto"/>
            <w:left w:val="none" w:sz="0" w:space="0" w:color="auto"/>
            <w:bottom w:val="none" w:sz="0" w:space="0" w:color="auto"/>
            <w:right w:val="none" w:sz="0" w:space="0" w:color="auto"/>
          </w:divBdr>
        </w:div>
        <w:div w:id="1198471120">
          <w:marLeft w:val="0"/>
          <w:marRight w:val="0"/>
          <w:marTop w:val="0"/>
          <w:marBottom w:val="0"/>
          <w:divBdr>
            <w:top w:val="none" w:sz="0" w:space="0" w:color="auto"/>
            <w:left w:val="none" w:sz="0" w:space="0" w:color="auto"/>
            <w:bottom w:val="none" w:sz="0" w:space="0" w:color="auto"/>
            <w:right w:val="none" w:sz="0" w:space="0" w:color="auto"/>
          </w:divBdr>
        </w:div>
        <w:div w:id="1128662175">
          <w:marLeft w:val="0"/>
          <w:marRight w:val="0"/>
          <w:marTop w:val="0"/>
          <w:marBottom w:val="0"/>
          <w:divBdr>
            <w:top w:val="none" w:sz="0" w:space="0" w:color="auto"/>
            <w:left w:val="none" w:sz="0" w:space="0" w:color="auto"/>
            <w:bottom w:val="none" w:sz="0" w:space="0" w:color="auto"/>
            <w:right w:val="none" w:sz="0" w:space="0" w:color="auto"/>
          </w:divBdr>
        </w:div>
        <w:div w:id="1167865481">
          <w:marLeft w:val="0"/>
          <w:marRight w:val="0"/>
          <w:marTop w:val="0"/>
          <w:marBottom w:val="0"/>
          <w:divBdr>
            <w:top w:val="none" w:sz="0" w:space="0" w:color="auto"/>
            <w:left w:val="none" w:sz="0" w:space="0" w:color="auto"/>
            <w:bottom w:val="none" w:sz="0" w:space="0" w:color="auto"/>
            <w:right w:val="none" w:sz="0" w:space="0" w:color="auto"/>
          </w:divBdr>
        </w:div>
      </w:divsChild>
    </w:div>
    <w:div w:id="1458796802">
      <w:bodyDiv w:val="1"/>
      <w:marLeft w:val="0"/>
      <w:marRight w:val="0"/>
      <w:marTop w:val="0"/>
      <w:marBottom w:val="0"/>
      <w:divBdr>
        <w:top w:val="none" w:sz="0" w:space="0" w:color="auto"/>
        <w:left w:val="none" w:sz="0" w:space="0" w:color="auto"/>
        <w:bottom w:val="none" w:sz="0" w:space="0" w:color="auto"/>
        <w:right w:val="none" w:sz="0" w:space="0" w:color="auto"/>
      </w:divBdr>
    </w:div>
    <w:div w:id="164596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83fd65-8544-4128-96ef-22315fc25ffe" xsi:nil="true"/>
    <lcf76f155ced4ddcb4097134ff3c332f xmlns="7c2d72e2-c8bf-4a19-b95c-e0688a7015a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B1E8C633126D448927F4B7AE1BC84A" ma:contentTypeVersion="14" ma:contentTypeDescription="Create a new document." ma:contentTypeScope="" ma:versionID="1b2f303bc81d7c4581cab02814c41d1a">
  <xsd:schema xmlns:xsd="http://www.w3.org/2001/XMLSchema" xmlns:xs="http://www.w3.org/2001/XMLSchema" xmlns:p="http://schemas.microsoft.com/office/2006/metadata/properties" xmlns:ns2="7c2d72e2-c8bf-4a19-b95c-e0688a7015a5" xmlns:ns3="c083fd65-8544-4128-96ef-22315fc25ffe" targetNamespace="http://schemas.microsoft.com/office/2006/metadata/properties" ma:root="true" ma:fieldsID="725741165d4d44a401bdd9ab0f728ae9" ns2:_="" ns3:_="">
    <xsd:import namespace="7c2d72e2-c8bf-4a19-b95c-e0688a7015a5"/>
    <xsd:import namespace="c083fd65-8544-4128-96ef-22315fc25f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d72e2-c8bf-4a19-b95c-e0688a701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10bd7d7-54b6-4ac8-b2fc-2029a752a1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83fd65-8544-4128-96ef-22315fc25f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03cdf6b-684a-41f8-9f7a-e4f53df625ac}" ma:internalName="TaxCatchAll" ma:showField="CatchAllData" ma:web="c083fd65-8544-4128-96ef-22315fc25f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19BDC2-7BC9-4A0E-AC51-330D5C5D625C}">
  <ds:schemaRefs>
    <ds:schemaRef ds:uri="http://schemas.microsoft.com/office/2006/metadata/properties"/>
    <ds:schemaRef ds:uri="http://schemas.microsoft.com/office/infopath/2007/PartnerControls"/>
    <ds:schemaRef ds:uri="c083fd65-8544-4128-96ef-22315fc25ffe"/>
    <ds:schemaRef ds:uri="7c2d72e2-c8bf-4a19-b95c-e0688a7015a5"/>
  </ds:schemaRefs>
</ds:datastoreItem>
</file>

<file path=customXml/itemProps2.xml><?xml version="1.0" encoding="utf-8"?>
<ds:datastoreItem xmlns:ds="http://schemas.openxmlformats.org/officeDocument/2006/customXml" ds:itemID="{5CB12AB6-3DEA-4850-8283-995F822E2E0A}">
  <ds:schemaRefs>
    <ds:schemaRef ds:uri="http://schemas.microsoft.com/sharepoint/v3/contenttype/forms"/>
  </ds:schemaRefs>
</ds:datastoreItem>
</file>

<file path=customXml/itemProps3.xml><?xml version="1.0" encoding="utf-8"?>
<ds:datastoreItem xmlns:ds="http://schemas.openxmlformats.org/officeDocument/2006/customXml" ds:itemID="{E71032A9-32E2-4E56-BF96-66E37C2FD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2d72e2-c8bf-4a19-b95c-e0688a7015a5"/>
    <ds:schemaRef ds:uri="c083fd65-8544-4128-96ef-22315fc25f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McDonald</dc:creator>
  <cp:keywords/>
  <dc:description/>
  <cp:lastModifiedBy>Tasha Altmann</cp:lastModifiedBy>
  <cp:revision>45</cp:revision>
  <cp:lastPrinted>2024-11-18T16:59:00Z</cp:lastPrinted>
  <dcterms:created xsi:type="dcterms:W3CDTF">2025-11-10T17:32:00Z</dcterms:created>
  <dcterms:modified xsi:type="dcterms:W3CDTF">2026-01-07T14:35:00Z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0x0101005CB1E8C633126D448927F4B7AE1BC84A</vt:lpwstr>
  </property>
  <property fmtid="{D5CDD505-2E9C-101B-9397-08002B2CF9AE}" pid="3" name="GrammarlyDocumentId">
    <vt:lpwstr>be316b77-71e2-44a7-953f-86dfab795c83</vt:lpwstr>
  </property>
</Properties>
</file>