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EBF2" w14:textId="1B6D2BE4" w:rsidR="00AC2060" w:rsidRPr="006B6D18" w:rsidRDefault="00792E52" w:rsidP="006B6D18">
      <w:pPr>
        <w:pStyle w:val="Title"/>
        <w:rPr>
          <w:sz w:val="36"/>
          <w:szCs w:val="36"/>
        </w:rPr>
      </w:pPr>
      <w:r w:rsidRPr="006B6D18">
        <w:rPr>
          <w:sz w:val="36"/>
          <w:szCs w:val="36"/>
        </w:rPr>
        <w:t>Faith and Reason</w:t>
      </w:r>
    </w:p>
    <w:p w14:paraId="16DD1EBD" w14:textId="77777777" w:rsidR="00AC2060" w:rsidRPr="006B6D18" w:rsidRDefault="00AC2060" w:rsidP="00945747">
      <w:pPr>
        <w:spacing w:after="0" w:line="240" w:lineRule="auto"/>
        <w:jc w:val="both"/>
        <w:rPr>
          <w:rFonts w:asciiTheme="minorHAnsi" w:hAnsiTheme="minorHAnsi" w:cs="Times New Roman"/>
          <w:color w:val="0F0F0F"/>
          <w:szCs w:val="24"/>
        </w:rPr>
      </w:pPr>
    </w:p>
    <w:p w14:paraId="66690FAD" w14:textId="77777777" w:rsidR="00471AC2" w:rsidRPr="006B6D18" w:rsidRDefault="00471AC2" w:rsidP="00945747">
      <w:pPr>
        <w:spacing w:after="0" w:line="240" w:lineRule="auto"/>
        <w:jc w:val="both"/>
        <w:rPr>
          <w:rFonts w:asciiTheme="minorHAnsi" w:hAnsiTheme="minorHAnsi" w:cs="Times New Roman"/>
          <w:color w:val="0F0F0F"/>
          <w:szCs w:val="24"/>
        </w:rPr>
      </w:pPr>
    </w:p>
    <w:p w14:paraId="5531AE05" w14:textId="29A125EB" w:rsidR="002645AD" w:rsidRPr="006B6D18" w:rsidRDefault="0002203D" w:rsidP="00945747">
      <w:pPr>
        <w:spacing w:after="0" w:line="240" w:lineRule="auto"/>
        <w:jc w:val="both"/>
        <w:rPr>
          <w:rFonts w:asciiTheme="minorHAnsi" w:hAnsiTheme="minorHAnsi"/>
          <w:color w:val="0F0F0F"/>
          <w:sz w:val="27"/>
          <w:szCs w:val="27"/>
        </w:rPr>
      </w:pPr>
      <w:r w:rsidRPr="006B6D18">
        <w:rPr>
          <w:rFonts w:asciiTheme="minorHAnsi" w:hAnsiTheme="minorHAnsi" w:cs="Times New Roman"/>
          <w:color w:val="0F0F0F"/>
          <w:szCs w:val="24"/>
        </w:rPr>
        <w:t xml:space="preserve">The twelfth chapter of Mark Twain's </w:t>
      </w:r>
      <w:r w:rsidRPr="006B6D18">
        <w:rPr>
          <w:rFonts w:asciiTheme="minorHAnsi" w:hAnsiTheme="minorHAnsi" w:cs="Times New Roman"/>
          <w:i/>
          <w:iCs/>
          <w:color w:val="0F0F0F"/>
          <w:szCs w:val="24"/>
        </w:rPr>
        <w:t>Following the Equator</w:t>
      </w:r>
      <w:r w:rsidRPr="006B6D18">
        <w:rPr>
          <w:rFonts w:asciiTheme="minorHAnsi" w:hAnsiTheme="minorHAnsi" w:cs="Times New Roman"/>
          <w:color w:val="0F0F0F"/>
          <w:szCs w:val="24"/>
        </w:rPr>
        <w:t xml:space="preserve"> (1897) begins: "There are those who scoff at the schoolboy, calling him frivolous and shallow. Yet it was the schoolboy who said, 'Faith is believing what you know </w:t>
      </w:r>
      <w:proofErr w:type="spellStart"/>
      <w:r w:rsidRPr="006B6D18">
        <w:rPr>
          <w:rFonts w:asciiTheme="minorHAnsi" w:hAnsiTheme="minorHAnsi" w:cs="Times New Roman"/>
          <w:color w:val="0F0F0F"/>
          <w:szCs w:val="24"/>
        </w:rPr>
        <w:t>ain't</w:t>
      </w:r>
      <w:proofErr w:type="spellEnd"/>
      <w:r w:rsidRPr="006B6D18">
        <w:rPr>
          <w:rFonts w:asciiTheme="minorHAnsi" w:hAnsiTheme="minorHAnsi" w:cs="Times New Roman"/>
          <w:color w:val="0F0F0F"/>
          <w:szCs w:val="24"/>
        </w:rPr>
        <w:t xml:space="preserve"> so.'" Undoubtedly, the ever-cynical Twain (Samuel Clemens) agreed with this sceptical caricature of faith. Many Christians, however, would deny that this satirical remark accurately describes their belief </w:t>
      </w:r>
      <w:proofErr w:type="gramStart"/>
      <w:r w:rsidR="007651D2" w:rsidRPr="006B6D18">
        <w:rPr>
          <w:rFonts w:asciiTheme="minorHAnsi" w:hAnsiTheme="minorHAnsi" w:cs="Times New Roman"/>
          <w:color w:val="0F0F0F"/>
          <w:szCs w:val="24"/>
        </w:rPr>
        <w:t xml:space="preserve">in </w:t>
      </w:r>
      <w:r w:rsidRPr="006B6D18">
        <w:rPr>
          <w:rFonts w:asciiTheme="minorHAnsi" w:hAnsiTheme="minorHAnsi" w:cs="Times New Roman"/>
          <w:color w:val="0F0F0F"/>
          <w:szCs w:val="24"/>
        </w:rPr>
        <w:t xml:space="preserve"> the</w:t>
      </w:r>
      <w:proofErr w:type="gramEnd"/>
      <w:r w:rsidRPr="006B6D18">
        <w:rPr>
          <w:rFonts w:asciiTheme="minorHAnsi" w:hAnsiTheme="minorHAnsi" w:cs="Times New Roman"/>
          <w:color w:val="0F0F0F"/>
          <w:szCs w:val="24"/>
        </w:rPr>
        <w:t xml:space="preserve"> Bible </w:t>
      </w:r>
      <w:r w:rsidR="007651D2" w:rsidRPr="006B6D18">
        <w:rPr>
          <w:rFonts w:asciiTheme="minorHAnsi" w:hAnsiTheme="minorHAnsi" w:cs="Times New Roman"/>
          <w:color w:val="0F0F0F"/>
          <w:szCs w:val="24"/>
        </w:rPr>
        <w:t>as</w:t>
      </w:r>
      <w:r w:rsidRPr="006B6D18">
        <w:rPr>
          <w:rFonts w:asciiTheme="minorHAnsi" w:hAnsiTheme="minorHAnsi" w:cs="Times New Roman"/>
          <w:color w:val="0F0F0F"/>
          <w:szCs w:val="24"/>
        </w:rPr>
        <w:t xml:space="preserve"> the inspired Word of God.</w:t>
      </w:r>
      <w:r w:rsidR="004F5309" w:rsidRPr="006B6D18">
        <w:rPr>
          <w:rFonts w:asciiTheme="minorHAnsi" w:hAnsiTheme="minorHAnsi" w:cs="Times New Roman"/>
        </w:rPr>
        <w:t xml:space="preserve"> </w:t>
      </w:r>
      <w:r w:rsidR="00945747" w:rsidRPr="006B6D18">
        <w:rPr>
          <w:rFonts w:asciiTheme="minorHAnsi" w:hAnsiTheme="minorHAnsi"/>
        </w:rPr>
        <w:t>Instead, they would argue that biblical faith is grounded in credible testimony and convincing evidence from a variety of fields of inquiry.</w:t>
      </w:r>
      <w:r w:rsidR="003E31FC" w:rsidRPr="006B6D18">
        <w:rPr>
          <w:rFonts w:asciiTheme="minorHAnsi" w:hAnsiTheme="minorHAnsi"/>
        </w:rPr>
        <w:t xml:space="preserve"> Hopefully some of the</w:t>
      </w:r>
      <w:r w:rsidR="009E77D9" w:rsidRPr="006B6D18">
        <w:rPr>
          <w:rFonts w:asciiTheme="minorHAnsi" w:hAnsiTheme="minorHAnsi"/>
        </w:rPr>
        <w:t xml:space="preserve"> articles in this series will demonstrate that this is the case. </w:t>
      </w:r>
    </w:p>
    <w:p w14:paraId="7202910C" w14:textId="77777777" w:rsidR="004F5309" w:rsidRPr="006B6D18" w:rsidRDefault="004F5309" w:rsidP="00BC6E34">
      <w:pPr>
        <w:spacing w:after="0" w:line="240" w:lineRule="auto"/>
        <w:rPr>
          <w:rFonts w:asciiTheme="minorHAnsi" w:hAnsiTheme="minorHAnsi"/>
          <w:color w:val="0F0F0F"/>
          <w:sz w:val="27"/>
          <w:szCs w:val="27"/>
        </w:rPr>
      </w:pPr>
    </w:p>
    <w:p w14:paraId="5C5AF4A2" w14:textId="1E747616" w:rsidR="00DF0827" w:rsidRPr="006B6D18" w:rsidRDefault="006B6D18" w:rsidP="006B6D18">
      <w:pPr>
        <w:pStyle w:val="Heading2"/>
      </w:pPr>
      <w:r>
        <w:t>Evidence-Based</w:t>
      </w:r>
      <w:r w:rsidR="00F776D0" w:rsidRPr="006B6D18">
        <w:t xml:space="preserve"> Faith</w:t>
      </w:r>
    </w:p>
    <w:p w14:paraId="31C33706" w14:textId="77777777" w:rsidR="00DF0827" w:rsidRPr="006B6D18" w:rsidRDefault="00DF0827" w:rsidP="00B11A4E">
      <w:pPr>
        <w:spacing w:after="0" w:line="240" w:lineRule="auto"/>
        <w:jc w:val="both"/>
        <w:rPr>
          <w:rFonts w:asciiTheme="minorHAnsi" w:hAnsiTheme="minorHAnsi" w:cs="Times New Roman"/>
          <w:color w:val="0F0F0F"/>
          <w:szCs w:val="24"/>
          <w:u w:val="single"/>
        </w:rPr>
      </w:pPr>
    </w:p>
    <w:p w14:paraId="05BE757C" w14:textId="2463DC80" w:rsidR="0060175E" w:rsidRPr="006B6D18" w:rsidRDefault="0060175E" w:rsidP="00B11A4E">
      <w:pPr>
        <w:spacing w:after="0" w:line="240" w:lineRule="auto"/>
        <w:jc w:val="both"/>
        <w:rPr>
          <w:rFonts w:asciiTheme="minorHAnsi" w:hAnsiTheme="minorHAnsi" w:cs="Times New Roman"/>
          <w:color w:val="0F0F0F"/>
          <w:szCs w:val="24"/>
          <w:u w:val="single"/>
        </w:rPr>
      </w:pPr>
      <w:r w:rsidRPr="006B6D18">
        <w:rPr>
          <w:rFonts w:asciiTheme="minorHAnsi" w:hAnsiTheme="minorHAnsi"/>
        </w:rPr>
        <w:t xml:space="preserve">In the preface to their </w:t>
      </w:r>
      <w:proofErr w:type="gramStart"/>
      <w:r w:rsidRPr="006B6D18">
        <w:rPr>
          <w:rFonts w:asciiTheme="minorHAnsi" w:hAnsiTheme="minorHAnsi"/>
        </w:rPr>
        <w:t>book</w:t>
      </w:r>
      <w:proofErr w:type="gramEnd"/>
      <w:r w:rsidRPr="006B6D18">
        <w:rPr>
          <w:rFonts w:asciiTheme="minorHAnsi" w:hAnsiTheme="minorHAnsi"/>
        </w:rPr>
        <w:t xml:space="preserve"> </w:t>
      </w:r>
      <w:r w:rsidRPr="006B6D18">
        <w:rPr>
          <w:rStyle w:val="Emphasis"/>
          <w:rFonts w:asciiTheme="minorHAnsi" w:hAnsiTheme="minorHAnsi"/>
        </w:rPr>
        <w:t>I Don't Have Enough Faith to Be an Atheist</w:t>
      </w:r>
      <w:r w:rsidRPr="006B6D18">
        <w:rPr>
          <w:rFonts w:asciiTheme="minorHAnsi" w:hAnsiTheme="minorHAnsi"/>
        </w:rPr>
        <w:t>, Norman L. Geisler and Frank Turek write:</w:t>
      </w:r>
    </w:p>
    <w:p w14:paraId="76ADC09A" w14:textId="77777777" w:rsidR="0060175E" w:rsidRPr="006B6D18" w:rsidRDefault="0060175E" w:rsidP="0060175E">
      <w:pPr>
        <w:pStyle w:val="isselectedend"/>
        <w:ind w:left="720"/>
        <w:rPr>
          <w:rFonts w:asciiTheme="minorHAnsi" w:hAnsiTheme="minorHAnsi"/>
        </w:rPr>
      </w:pPr>
      <w:r w:rsidRPr="006B6D18">
        <w:rPr>
          <w:rFonts w:asciiTheme="minorHAnsi" w:hAnsiTheme="minorHAnsi"/>
        </w:rPr>
        <w:t>"We are both Christians, but we were not always Christians. We came to believe through evidence. So, the fact that we are Christians is not the issue; why we are Christians is the important point."</w:t>
      </w:r>
    </w:p>
    <w:p w14:paraId="5D2C8DE0" w14:textId="77777777" w:rsidR="00041FDB" w:rsidRPr="006B6D18" w:rsidRDefault="0060175E" w:rsidP="00041FDB">
      <w:pPr>
        <w:pStyle w:val="isselectedend"/>
        <w:rPr>
          <w:rFonts w:asciiTheme="minorHAnsi" w:hAnsiTheme="minorHAnsi"/>
        </w:rPr>
      </w:pPr>
      <w:r w:rsidRPr="006B6D18">
        <w:rPr>
          <w:rFonts w:asciiTheme="minorHAnsi" w:hAnsiTheme="minorHAnsi"/>
        </w:rPr>
        <w:t>Like many Christians, these accomplished apologists came to believe through evidence.</w:t>
      </w:r>
      <w:r w:rsidR="00041FDB" w:rsidRPr="006B6D18">
        <w:rPr>
          <w:rFonts w:asciiTheme="minorHAnsi" w:hAnsiTheme="minorHAnsi"/>
        </w:rPr>
        <w:t xml:space="preserve"> They are quick to add: </w:t>
      </w:r>
    </w:p>
    <w:p w14:paraId="55218F9F" w14:textId="64D9235A" w:rsidR="00121126" w:rsidRPr="006B6D18" w:rsidRDefault="00041FDB" w:rsidP="00D570BB">
      <w:pPr>
        <w:pStyle w:val="isselectedend"/>
        <w:ind w:left="720"/>
        <w:jc w:val="both"/>
        <w:rPr>
          <w:rFonts w:asciiTheme="minorHAnsi" w:hAnsiTheme="minorHAnsi"/>
        </w:rPr>
      </w:pPr>
      <w:r w:rsidRPr="006B6D18">
        <w:rPr>
          <w:rFonts w:asciiTheme="minorHAnsi" w:hAnsiTheme="minorHAnsi"/>
        </w:rPr>
        <w:t>“</w:t>
      </w:r>
      <w:r w:rsidR="00121126" w:rsidRPr="006B6D18">
        <w:rPr>
          <w:rFonts w:asciiTheme="minorHAnsi" w:hAnsiTheme="minorHAnsi"/>
        </w:rPr>
        <w:t xml:space="preserve">Proof, of course, is no substitute for faith, which is essential to our salvation and for our communion with God. Nor is the study of apologetics disrespectful to our faith. Rather, it augments it, informs it, bolsters it, and reinvigorates it. Were it otherwise, the Bible would not say, </w:t>
      </w:r>
      <w:r w:rsidR="00504712" w:rsidRPr="006B6D18">
        <w:rPr>
          <w:rFonts w:asciiTheme="minorHAnsi" w:hAnsiTheme="minorHAnsi"/>
        </w:rPr>
        <w:t>‘</w:t>
      </w:r>
      <w:r w:rsidR="00121126" w:rsidRPr="006B6D18">
        <w:rPr>
          <w:rFonts w:asciiTheme="minorHAnsi" w:hAnsiTheme="minorHAnsi"/>
        </w:rPr>
        <w:t>Always be prepared to give an answer to everyone who asks you to give the reason for the hope that you have</w:t>
      </w:r>
      <w:r w:rsidR="00504712" w:rsidRPr="006B6D18">
        <w:rPr>
          <w:rFonts w:asciiTheme="minorHAnsi" w:hAnsiTheme="minorHAnsi"/>
        </w:rPr>
        <w:t>’</w:t>
      </w:r>
      <w:r w:rsidR="00121126" w:rsidRPr="006B6D18">
        <w:rPr>
          <w:rFonts w:asciiTheme="minorHAnsi" w:hAnsiTheme="minorHAnsi"/>
        </w:rPr>
        <w:t xml:space="preserve"> (1 Pet. 3:15).</w:t>
      </w:r>
      <w:r w:rsidR="00504712" w:rsidRPr="006B6D18">
        <w:rPr>
          <w:rFonts w:asciiTheme="minorHAnsi" w:hAnsiTheme="minorHAnsi"/>
        </w:rPr>
        <w:t>”</w:t>
      </w:r>
    </w:p>
    <w:p w14:paraId="497542C2" w14:textId="10977DC3" w:rsidR="008070DD" w:rsidRPr="006B6D18" w:rsidRDefault="00033663" w:rsidP="008070DD">
      <w:pPr>
        <w:spacing w:after="0" w:line="240" w:lineRule="auto"/>
        <w:jc w:val="both"/>
        <w:rPr>
          <w:rFonts w:asciiTheme="minorHAnsi" w:eastAsia="Times New Roman" w:hAnsiTheme="minorHAnsi" w:cs="Times New Roman"/>
          <w:kern w:val="0"/>
          <w:szCs w:val="24"/>
          <w:lang w:eastAsia="en-NZ"/>
          <w14:ligatures w14:val="none"/>
        </w:rPr>
      </w:pPr>
      <w:r w:rsidRPr="006B6D18">
        <w:rPr>
          <w:rFonts w:asciiTheme="minorHAnsi" w:eastAsia="Times New Roman" w:hAnsiTheme="minorHAnsi" w:cs="Times New Roman"/>
          <w:kern w:val="0"/>
          <w:szCs w:val="24"/>
          <w:lang w:eastAsia="en-NZ"/>
          <w14:ligatures w14:val="none"/>
        </w:rPr>
        <w:t xml:space="preserve">So, we are using the expression </w:t>
      </w:r>
      <w:r w:rsidRPr="006B6D18">
        <w:rPr>
          <w:rFonts w:asciiTheme="minorHAnsi" w:eastAsia="Times New Roman" w:hAnsiTheme="minorHAnsi" w:cs="Times New Roman"/>
          <w:b/>
          <w:bCs/>
          <w:kern w:val="0"/>
          <w:szCs w:val="24"/>
          <w:lang w:eastAsia="en-NZ"/>
          <w14:ligatures w14:val="none"/>
        </w:rPr>
        <w:t>"evidence-based faith"</w:t>
      </w:r>
      <w:r w:rsidRPr="006B6D18">
        <w:rPr>
          <w:rFonts w:asciiTheme="minorHAnsi" w:eastAsia="Times New Roman" w:hAnsiTheme="minorHAnsi" w:cs="Times New Roman"/>
          <w:kern w:val="0"/>
          <w:szCs w:val="24"/>
          <w:lang w:eastAsia="en-NZ"/>
          <w14:ligatures w14:val="none"/>
        </w:rPr>
        <w:t xml:space="preserve"> to describe </w:t>
      </w:r>
      <w:r w:rsidRPr="006B6D18">
        <w:rPr>
          <w:rFonts w:asciiTheme="minorHAnsi" w:eastAsia="Times New Roman" w:hAnsiTheme="minorHAnsi" w:cs="Times New Roman"/>
          <w:b/>
          <w:bCs/>
          <w:kern w:val="0"/>
          <w:szCs w:val="24"/>
          <w:lang w:eastAsia="en-NZ"/>
          <w14:ligatures w14:val="none"/>
        </w:rPr>
        <w:t>trust</w:t>
      </w:r>
      <w:r w:rsidRPr="006B6D18">
        <w:rPr>
          <w:rFonts w:asciiTheme="minorHAnsi" w:eastAsia="Times New Roman" w:hAnsiTheme="minorHAnsi" w:cs="Times New Roman"/>
          <w:kern w:val="0"/>
          <w:szCs w:val="24"/>
          <w:lang w:eastAsia="en-NZ"/>
          <w14:ligatures w14:val="none"/>
        </w:rPr>
        <w:t xml:space="preserve"> that is compatible with reasoned conclusions drawn from fields such as science, philosophy, history, eyewitness testimony, and the like.</w:t>
      </w:r>
      <w:r w:rsidR="00F4329E" w:rsidRPr="006B6D18">
        <w:rPr>
          <w:rFonts w:asciiTheme="minorHAnsi" w:eastAsia="Times New Roman" w:hAnsiTheme="minorHAnsi" w:cs="Times New Roman"/>
          <w:kern w:val="0"/>
          <w:szCs w:val="24"/>
          <w:lang w:eastAsia="en-NZ"/>
          <w14:ligatures w14:val="none"/>
        </w:rPr>
        <w:t xml:space="preserve"> This I believe accurately represents t</w:t>
      </w:r>
      <w:r w:rsidR="006B3692" w:rsidRPr="006B6D18">
        <w:rPr>
          <w:rFonts w:asciiTheme="minorHAnsi" w:eastAsia="Times New Roman" w:hAnsiTheme="minorHAnsi" w:cs="Times New Roman"/>
          <w:kern w:val="0"/>
          <w:szCs w:val="24"/>
          <w:lang w:eastAsia="en-NZ"/>
          <w14:ligatures w14:val="none"/>
        </w:rPr>
        <w:t>he</w:t>
      </w:r>
      <w:r w:rsidR="00F4329E" w:rsidRPr="006B6D18">
        <w:rPr>
          <w:rFonts w:asciiTheme="minorHAnsi" w:eastAsia="Times New Roman" w:hAnsiTheme="minorHAnsi" w:cs="Times New Roman"/>
          <w:kern w:val="0"/>
          <w:szCs w:val="24"/>
          <w:lang w:eastAsia="en-NZ"/>
          <w14:ligatures w14:val="none"/>
        </w:rPr>
        <w:t xml:space="preserve"> position of most influential </w:t>
      </w:r>
      <w:r w:rsidR="00037C18" w:rsidRPr="006B6D18">
        <w:rPr>
          <w:rFonts w:asciiTheme="minorHAnsi" w:eastAsia="Times New Roman" w:hAnsiTheme="minorHAnsi" w:cs="Times New Roman"/>
          <w:kern w:val="0"/>
          <w:szCs w:val="24"/>
          <w:lang w:eastAsia="en-NZ"/>
          <w14:ligatures w14:val="none"/>
        </w:rPr>
        <w:t>figures with</w:t>
      </w:r>
      <w:r w:rsidR="00926DF8" w:rsidRPr="006B6D18">
        <w:rPr>
          <w:rFonts w:asciiTheme="minorHAnsi" w:eastAsia="Times New Roman" w:hAnsiTheme="minorHAnsi" w:cs="Times New Roman"/>
          <w:kern w:val="0"/>
          <w:szCs w:val="24"/>
          <w:lang w:eastAsia="en-NZ"/>
          <w14:ligatures w14:val="none"/>
        </w:rPr>
        <w:t>in</w:t>
      </w:r>
      <w:r w:rsidR="00037C18" w:rsidRPr="006B6D18">
        <w:rPr>
          <w:rFonts w:asciiTheme="minorHAnsi" w:eastAsia="Times New Roman" w:hAnsiTheme="minorHAnsi" w:cs="Times New Roman"/>
          <w:kern w:val="0"/>
          <w:szCs w:val="24"/>
          <w:lang w:eastAsia="en-NZ"/>
          <w14:ligatures w14:val="none"/>
        </w:rPr>
        <w:t xml:space="preserve"> the Restoration Movement. </w:t>
      </w:r>
    </w:p>
    <w:p w14:paraId="7D23BFAD" w14:textId="77777777" w:rsidR="002324CD" w:rsidRPr="006B6D18" w:rsidRDefault="002324CD" w:rsidP="008070DD">
      <w:pPr>
        <w:spacing w:after="0" w:line="240" w:lineRule="auto"/>
        <w:jc w:val="both"/>
        <w:rPr>
          <w:rFonts w:asciiTheme="minorHAnsi" w:eastAsia="Times New Roman" w:hAnsiTheme="minorHAnsi" w:cs="Times New Roman"/>
          <w:kern w:val="0"/>
          <w:szCs w:val="24"/>
          <w:lang w:eastAsia="en-NZ"/>
          <w14:ligatures w14:val="none"/>
        </w:rPr>
      </w:pPr>
    </w:p>
    <w:p w14:paraId="4EBED33E" w14:textId="77777777" w:rsidR="002324CD" w:rsidRPr="006B6D18" w:rsidRDefault="002324CD" w:rsidP="008070DD">
      <w:pPr>
        <w:spacing w:after="0" w:line="240" w:lineRule="auto"/>
        <w:jc w:val="both"/>
        <w:rPr>
          <w:rFonts w:asciiTheme="minorHAnsi" w:eastAsia="Times New Roman" w:hAnsiTheme="minorHAnsi" w:cs="Times New Roman"/>
          <w:kern w:val="0"/>
          <w:szCs w:val="24"/>
          <w:u w:val="single"/>
          <w:lang w:eastAsia="en-NZ"/>
          <w14:ligatures w14:val="none"/>
        </w:rPr>
      </w:pPr>
    </w:p>
    <w:p w14:paraId="631EEF5E" w14:textId="16E0F25F" w:rsidR="002324CD" w:rsidRPr="006B6D18" w:rsidRDefault="002324CD" w:rsidP="006B6D18">
      <w:pPr>
        <w:pStyle w:val="Heading2"/>
        <w:rPr>
          <w:rFonts w:eastAsia="Times New Roman"/>
          <w:lang w:eastAsia="en-NZ"/>
        </w:rPr>
      </w:pPr>
      <w:r w:rsidRPr="006B6D18">
        <w:rPr>
          <w:rFonts w:eastAsia="Times New Roman"/>
          <w:lang w:eastAsia="en-NZ"/>
        </w:rPr>
        <w:t xml:space="preserve">Fideism </w:t>
      </w:r>
    </w:p>
    <w:p w14:paraId="2D5D77A9" w14:textId="77777777" w:rsidR="008070DD" w:rsidRPr="006B6D18" w:rsidRDefault="008070DD" w:rsidP="00D72A19">
      <w:pPr>
        <w:spacing w:after="0" w:line="240" w:lineRule="auto"/>
        <w:rPr>
          <w:rFonts w:asciiTheme="minorHAnsi" w:eastAsia="Times New Roman" w:hAnsiTheme="minorHAnsi" w:cs="Times New Roman"/>
          <w:kern w:val="0"/>
          <w:szCs w:val="24"/>
          <w:lang w:eastAsia="en-NZ"/>
          <w14:ligatures w14:val="none"/>
        </w:rPr>
      </w:pPr>
    </w:p>
    <w:p w14:paraId="34740C30" w14:textId="77777777" w:rsidR="00CC20AE" w:rsidRPr="006B6D18" w:rsidRDefault="009E5904" w:rsidP="00CC20AE">
      <w:pPr>
        <w:spacing w:after="0" w:line="240" w:lineRule="auto"/>
        <w:jc w:val="both"/>
        <w:rPr>
          <w:rFonts w:asciiTheme="minorHAnsi" w:eastAsia="Times New Roman" w:hAnsiTheme="minorHAnsi" w:cs="Times New Roman"/>
          <w:kern w:val="0"/>
          <w:szCs w:val="24"/>
          <w:lang w:eastAsia="en-NZ"/>
          <w14:ligatures w14:val="none"/>
        </w:rPr>
      </w:pPr>
      <w:r w:rsidRPr="006B6D18">
        <w:rPr>
          <w:rFonts w:asciiTheme="minorHAnsi" w:eastAsia="Times New Roman" w:hAnsiTheme="minorHAnsi" w:cs="Times New Roman"/>
          <w:kern w:val="0"/>
          <w:szCs w:val="24"/>
          <w:lang w:eastAsia="en-NZ"/>
          <w14:ligatures w14:val="none"/>
        </w:rPr>
        <w:t xml:space="preserve">The theological position known as </w:t>
      </w:r>
      <w:r w:rsidR="00431EC5" w:rsidRPr="006B6D18">
        <w:rPr>
          <w:rFonts w:asciiTheme="minorHAnsi" w:eastAsia="Times New Roman" w:hAnsiTheme="minorHAnsi" w:cs="Times New Roman"/>
          <w:i/>
          <w:iCs/>
          <w:kern w:val="0"/>
          <w:szCs w:val="24"/>
          <w:lang w:eastAsia="en-NZ"/>
          <w14:ligatures w14:val="none"/>
        </w:rPr>
        <w:t xml:space="preserve">fideism </w:t>
      </w:r>
      <w:r w:rsidR="00B42027" w:rsidRPr="006B6D18">
        <w:rPr>
          <w:rFonts w:asciiTheme="minorHAnsi" w:eastAsia="Times New Roman" w:hAnsiTheme="minorHAnsi" w:cs="Times New Roman"/>
          <w:kern w:val="0"/>
          <w:szCs w:val="24"/>
          <w:lang w:eastAsia="en-NZ"/>
          <w14:ligatures w14:val="none"/>
        </w:rPr>
        <w:t>stands in marked contrast with evidential apologetics</w:t>
      </w:r>
      <w:r w:rsidR="000225D5" w:rsidRPr="006B6D18">
        <w:rPr>
          <w:rFonts w:asciiTheme="minorHAnsi" w:eastAsia="Times New Roman" w:hAnsiTheme="minorHAnsi" w:cs="Times New Roman"/>
          <w:kern w:val="0"/>
          <w:szCs w:val="24"/>
          <w:lang w:eastAsia="en-NZ"/>
          <w14:ligatures w14:val="none"/>
        </w:rPr>
        <w:t xml:space="preserve">. </w:t>
      </w:r>
      <w:r w:rsidR="00013D4D" w:rsidRPr="006B6D18">
        <w:rPr>
          <w:rFonts w:asciiTheme="minorHAnsi" w:eastAsia="Times New Roman" w:hAnsiTheme="minorHAnsi" w:cs="Times New Roman"/>
          <w:kern w:val="0"/>
          <w:szCs w:val="24"/>
          <w:lang w:eastAsia="en-NZ"/>
          <w14:ligatures w14:val="none"/>
        </w:rPr>
        <w:t xml:space="preserve">Elsewhere, in </w:t>
      </w:r>
      <w:r w:rsidR="00013D4D" w:rsidRPr="006B6D18">
        <w:rPr>
          <w:rFonts w:asciiTheme="minorHAnsi" w:eastAsia="Times New Roman" w:hAnsiTheme="minorHAnsi" w:cs="Times New Roman"/>
          <w:i/>
          <w:iCs/>
          <w:kern w:val="0"/>
          <w:szCs w:val="24"/>
          <w:lang w:eastAsia="en-NZ"/>
          <w14:ligatures w14:val="none"/>
        </w:rPr>
        <w:t xml:space="preserve">When </w:t>
      </w:r>
      <w:proofErr w:type="spellStart"/>
      <w:r w:rsidR="00013D4D" w:rsidRPr="006B6D18">
        <w:rPr>
          <w:rFonts w:asciiTheme="minorHAnsi" w:eastAsia="Times New Roman" w:hAnsiTheme="minorHAnsi" w:cs="Times New Roman"/>
          <w:i/>
          <w:iCs/>
          <w:kern w:val="0"/>
          <w:szCs w:val="24"/>
          <w:lang w:eastAsia="en-NZ"/>
          <w14:ligatures w14:val="none"/>
        </w:rPr>
        <w:t>Skeptics</w:t>
      </w:r>
      <w:proofErr w:type="spellEnd"/>
      <w:r w:rsidR="00013D4D" w:rsidRPr="006B6D18">
        <w:rPr>
          <w:rFonts w:asciiTheme="minorHAnsi" w:eastAsia="Times New Roman" w:hAnsiTheme="minorHAnsi" w:cs="Times New Roman"/>
          <w:i/>
          <w:iCs/>
          <w:kern w:val="0"/>
          <w:szCs w:val="24"/>
          <w:lang w:eastAsia="en-NZ"/>
          <w14:ligatures w14:val="none"/>
        </w:rPr>
        <w:t xml:space="preserve"> Ask</w:t>
      </w:r>
      <w:r w:rsidR="00013D4D" w:rsidRPr="006B6D18">
        <w:rPr>
          <w:rFonts w:asciiTheme="minorHAnsi" w:eastAsia="Times New Roman" w:hAnsiTheme="minorHAnsi" w:cs="Times New Roman"/>
          <w:kern w:val="0"/>
          <w:szCs w:val="24"/>
          <w:lang w:eastAsia="en-NZ"/>
          <w14:ligatures w14:val="none"/>
        </w:rPr>
        <w:t>, co-authored with Ron Brooks, Geisler describes this perspective as follows:</w:t>
      </w:r>
    </w:p>
    <w:p w14:paraId="02C5C0DF" w14:textId="4ACF791C" w:rsidR="00424C89" w:rsidRPr="006B6D18" w:rsidRDefault="0060175E" w:rsidP="00CC20AE">
      <w:pPr>
        <w:spacing w:after="0" w:line="240" w:lineRule="auto"/>
        <w:ind w:left="720"/>
        <w:jc w:val="both"/>
        <w:rPr>
          <w:rFonts w:asciiTheme="minorHAnsi" w:eastAsia="Times New Roman" w:hAnsiTheme="minorHAnsi" w:cs="Times New Roman"/>
          <w:kern w:val="0"/>
          <w:szCs w:val="24"/>
          <w:lang w:eastAsia="en-NZ"/>
          <w14:ligatures w14:val="none"/>
        </w:rPr>
      </w:pPr>
      <w:r w:rsidRPr="006B6D18">
        <w:rPr>
          <w:rFonts w:asciiTheme="minorHAnsi" w:hAnsiTheme="minorHAnsi"/>
        </w:rPr>
        <w:br/>
        <w:t xml:space="preserve">Fideism holds that the only way we can know anything about God is by faith. Truth is subjective and personal, so we can believe it but not prove it. </w:t>
      </w:r>
      <w:r w:rsidRPr="006B6D18">
        <w:rPr>
          <w:rFonts w:asciiTheme="minorHAnsi" w:hAnsiTheme="minorHAnsi"/>
          <w:b/>
          <w:bCs/>
        </w:rPr>
        <w:t xml:space="preserve">There are no </w:t>
      </w:r>
      <w:r w:rsidRPr="006B6D18">
        <w:rPr>
          <w:rFonts w:asciiTheme="minorHAnsi" w:hAnsiTheme="minorHAnsi"/>
          <w:b/>
          <w:bCs/>
        </w:rPr>
        <w:lastRenderedPageBreak/>
        <w:t xml:space="preserve">rational proofs or empirical evidence that can lead us to knowledge of God. </w:t>
      </w:r>
      <w:r w:rsidRPr="006B6D18">
        <w:rPr>
          <w:rFonts w:asciiTheme="minorHAnsi" w:hAnsiTheme="minorHAnsi"/>
        </w:rPr>
        <w:t>We must simply believe that what He has said in His Word and done in our lives is true. Ultimately, as the old hymn says, "You ask me how I know He lives; He lives within my heart." Søren Kierkegaard is a spokesman of this view.</w:t>
      </w:r>
      <w:r w:rsidR="000D1919" w:rsidRPr="006B6D18">
        <w:rPr>
          <w:rFonts w:asciiTheme="minorHAnsi" w:hAnsiTheme="minorHAnsi"/>
        </w:rPr>
        <w:t xml:space="preserve"> </w:t>
      </w:r>
      <w:r w:rsidR="00873DBA" w:rsidRPr="006B6D18">
        <w:rPr>
          <w:rFonts w:asciiTheme="minorHAnsi" w:hAnsiTheme="minorHAnsi" w:cs="Times New Roman"/>
        </w:rPr>
        <w:t>(</w:t>
      </w:r>
      <w:r w:rsidR="00CC20AE" w:rsidRPr="006B6D18">
        <w:rPr>
          <w:rFonts w:asciiTheme="minorHAnsi" w:hAnsiTheme="minorHAnsi" w:cs="Times New Roman"/>
        </w:rPr>
        <w:t>O</w:t>
      </w:r>
      <w:r w:rsidR="000F3EB6" w:rsidRPr="006B6D18">
        <w:rPr>
          <w:rFonts w:asciiTheme="minorHAnsi" w:hAnsiTheme="minorHAnsi" w:cs="Times New Roman"/>
        </w:rPr>
        <w:t xml:space="preserve">nline at </w:t>
      </w:r>
      <w:hyperlink r:id="rId7" w:history="1">
        <w:r w:rsidR="00EB1669" w:rsidRPr="006B6D18">
          <w:rPr>
            <w:rStyle w:val="Hyperlink"/>
            <w:rFonts w:asciiTheme="minorHAnsi" w:hAnsiTheme="minorHAnsi" w:cs="Times New Roman"/>
            <w:szCs w:val="24"/>
          </w:rPr>
          <w:t xml:space="preserve">Microsoft Word - Norman Geisler - When </w:t>
        </w:r>
        <w:proofErr w:type="spellStart"/>
        <w:r w:rsidR="00EB1669" w:rsidRPr="006B6D18">
          <w:rPr>
            <w:rStyle w:val="Hyperlink"/>
            <w:rFonts w:asciiTheme="minorHAnsi" w:hAnsiTheme="minorHAnsi" w:cs="Times New Roman"/>
            <w:szCs w:val="24"/>
          </w:rPr>
          <w:t>Skeptics</w:t>
        </w:r>
        <w:proofErr w:type="spellEnd"/>
        <w:r w:rsidR="00EB1669" w:rsidRPr="006B6D18">
          <w:rPr>
            <w:rStyle w:val="Hyperlink"/>
            <w:rFonts w:asciiTheme="minorHAnsi" w:hAnsiTheme="minorHAnsi" w:cs="Times New Roman"/>
            <w:szCs w:val="24"/>
          </w:rPr>
          <w:t xml:space="preserve"> Ask.doc</w:t>
        </w:r>
      </w:hyperlink>
      <w:r w:rsidR="00430353" w:rsidRPr="006B6D18">
        <w:rPr>
          <w:rFonts w:asciiTheme="minorHAnsi" w:hAnsiTheme="minorHAnsi"/>
          <w:color w:val="0F0F0F"/>
        </w:rPr>
        <w:t xml:space="preserve"> </w:t>
      </w:r>
      <w:r w:rsidR="001F64F0" w:rsidRPr="006B6D18">
        <w:rPr>
          <w:rFonts w:asciiTheme="minorHAnsi" w:hAnsiTheme="minorHAnsi"/>
          <w:color w:val="0F0F0F"/>
        </w:rPr>
        <w:t>–</w:t>
      </w:r>
      <w:r w:rsidR="00430353" w:rsidRPr="006B6D18">
        <w:rPr>
          <w:rFonts w:asciiTheme="minorHAnsi" w:hAnsiTheme="minorHAnsi"/>
          <w:color w:val="0F0F0F"/>
        </w:rPr>
        <w:t xml:space="preserve"> </w:t>
      </w:r>
      <w:r w:rsidR="001F64F0" w:rsidRPr="006B6D18">
        <w:rPr>
          <w:rFonts w:asciiTheme="minorHAnsi" w:hAnsiTheme="minorHAnsi"/>
          <w:color w:val="0F0F0F"/>
        </w:rPr>
        <w:t>emphasis added)</w:t>
      </w:r>
    </w:p>
    <w:p w14:paraId="403854EB" w14:textId="77777777" w:rsidR="00D868A1" w:rsidRPr="006B6D18" w:rsidRDefault="00D868A1" w:rsidP="00093EB2">
      <w:pPr>
        <w:spacing w:after="0" w:line="240" w:lineRule="auto"/>
        <w:jc w:val="both"/>
        <w:rPr>
          <w:rFonts w:asciiTheme="minorHAnsi" w:hAnsiTheme="minorHAnsi" w:cs="Times New Roman"/>
          <w:color w:val="0F0F0F"/>
          <w:szCs w:val="24"/>
        </w:rPr>
      </w:pPr>
    </w:p>
    <w:p w14:paraId="4D407F6D" w14:textId="77777777" w:rsidR="00D868A1" w:rsidRPr="006B6D18" w:rsidRDefault="00D868A1" w:rsidP="00093EB2">
      <w:pPr>
        <w:spacing w:after="0" w:line="240" w:lineRule="auto"/>
        <w:jc w:val="both"/>
        <w:rPr>
          <w:rFonts w:asciiTheme="minorHAnsi" w:hAnsiTheme="minorHAnsi" w:cs="Times New Roman"/>
          <w:color w:val="0F0F0F"/>
          <w:szCs w:val="24"/>
        </w:rPr>
      </w:pPr>
    </w:p>
    <w:p w14:paraId="1C76B06C" w14:textId="67FAD21F" w:rsidR="00570B9A" w:rsidRPr="006B6D18" w:rsidRDefault="00D45825" w:rsidP="00093EB2">
      <w:pPr>
        <w:spacing w:after="0" w:line="240" w:lineRule="auto"/>
        <w:jc w:val="both"/>
        <w:rPr>
          <w:rFonts w:asciiTheme="minorHAnsi" w:hAnsiTheme="minorHAnsi"/>
        </w:rPr>
      </w:pPr>
      <w:r w:rsidRPr="006B6D18">
        <w:rPr>
          <w:rFonts w:asciiTheme="minorHAnsi" w:hAnsiTheme="minorHAnsi"/>
        </w:rPr>
        <w:t xml:space="preserve">According to </w:t>
      </w:r>
      <w:r w:rsidR="00F42B17" w:rsidRPr="006B6D18">
        <w:rPr>
          <w:rFonts w:asciiTheme="minorHAnsi" w:hAnsiTheme="minorHAnsi"/>
          <w:i/>
          <w:iCs/>
        </w:rPr>
        <w:t>britannica.com</w:t>
      </w:r>
      <w:r w:rsidR="00F42B17" w:rsidRPr="006B6D18">
        <w:rPr>
          <w:rFonts w:asciiTheme="minorHAnsi" w:hAnsiTheme="minorHAnsi"/>
        </w:rPr>
        <w:t xml:space="preserve"> </w:t>
      </w:r>
      <w:r w:rsidR="00570B9A" w:rsidRPr="006B6D18">
        <w:rPr>
          <w:rFonts w:asciiTheme="minorHAnsi" w:hAnsiTheme="minorHAnsi"/>
        </w:rPr>
        <w:t xml:space="preserve">“fideism (is) </w:t>
      </w:r>
      <w:r w:rsidR="001C64C3" w:rsidRPr="006B6D18">
        <w:rPr>
          <w:rFonts w:asciiTheme="minorHAnsi" w:hAnsiTheme="minorHAnsi"/>
        </w:rPr>
        <w:t>a philosophical view extolling theological </w:t>
      </w:r>
      <w:hyperlink r:id="rId8" w:history="1">
        <w:r w:rsidR="001C64C3" w:rsidRPr="006B6D18">
          <w:rPr>
            <w:rStyle w:val="Hyperlink"/>
            <w:rFonts w:asciiTheme="minorHAnsi" w:hAnsiTheme="minorHAnsi"/>
            <w:color w:val="auto"/>
          </w:rPr>
          <w:t>faith</w:t>
        </w:r>
      </w:hyperlink>
      <w:r w:rsidR="001C64C3" w:rsidRPr="006B6D18">
        <w:rPr>
          <w:rFonts w:asciiTheme="minorHAnsi" w:hAnsiTheme="minorHAnsi"/>
        </w:rPr>
        <w:t> by making it the ultimate </w:t>
      </w:r>
      <w:hyperlink r:id="rId9" w:history="1">
        <w:r w:rsidR="001C64C3" w:rsidRPr="006B6D18">
          <w:rPr>
            <w:rStyle w:val="Hyperlink"/>
            <w:rFonts w:asciiTheme="minorHAnsi" w:hAnsiTheme="minorHAnsi"/>
            <w:color w:val="auto"/>
          </w:rPr>
          <w:t>criterion</w:t>
        </w:r>
      </w:hyperlink>
      <w:r w:rsidR="001C64C3" w:rsidRPr="006B6D18">
        <w:rPr>
          <w:rFonts w:asciiTheme="minorHAnsi" w:hAnsiTheme="minorHAnsi"/>
        </w:rPr>
        <w:t> of truth and minimizing the power of </w:t>
      </w:r>
      <w:hyperlink r:id="rId10" w:history="1">
        <w:r w:rsidR="001C64C3" w:rsidRPr="006B6D18">
          <w:rPr>
            <w:rStyle w:val="Hyperlink"/>
            <w:rFonts w:asciiTheme="minorHAnsi" w:hAnsiTheme="minorHAnsi"/>
            <w:color w:val="auto"/>
          </w:rPr>
          <w:t>reason</w:t>
        </w:r>
      </w:hyperlink>
      <w:r w:rsidR="001C64C3" w:rsidRPr="006B6D18">
        <w:rPr>
          <w:rFonts w:asciiTheme="minorHAnsi" w:hAnsiTheme="minorHAnsi"/>
        </w:rPr>
        <w:t> to know religious truths.</w:t>
      </w:r>
      <w:r w:rsidR="001305C3" w:rsidRPr="006B6D18">
        <w:rPr>
          <w:rFonts w:asciiTheme="minorHAnsi" w:hAnsiTheme="minorHAnsi"/>
        </w:rPr>
        <w:t xml:space="preserve">” The article continues: </w:t>
      </w:r>
      <w:r w:rsidR="001C64C3" w:rsidRPr="006B6D18">
        <w:rPr>
          <w:rFonts w:asciiTheme="minorHAnsi" w:hAnsiTheme="minorHAnsi"/>
        </w:rPr>
        <w:t xml:space="preserve"> </w:t>
      </w:r>
    </w:p>
    <w:p w14:paraId="0982E893" w14:textId="77777777" w:rsidR="00570B9A" w:rsidRPr="006B6D18" w:rsidRDefault="00570B9A" w:rsidP="00093EB2">
      <w:pPr>
        <w:spacing w:after="0" w:line="240" w:lineRule="auto"/>
        <w:jc w:val="both"/>
        <w:rPr>
          <w:rFonts w:asciiTheme="minorHAnsi" w:hAnsiTheme="minorHAnsi"/>
        </w:rPr>
      </w:pPr>
    </w:p>
    <w:p w14:paraId="56EC7060" w14:textId="78AD81EA" w:rsidR="00DE6BC5" w:rsidRPr="006B6D18" w:rsidRDefault="001C64C3" w:rsidP="001305C3">
      <w:pPr>
        <w:spacing w:after="0" w:line="240" w:lineRule="auto"/>
        <w:ind w:left="720"/>
        <w:jc w:val="both"/>
        <w:rPr>
          <w:rFonts w:asciiTheme="minorHAnsi" w:hAnsiTheme="minorHAnsi"/>
        </w:rPr>
      </w:pPr>
      <w:r w:rsidRPr="006B6D18">
        <w:rPr>
          <w:rFonts w:asciiTheme="minorHAnsi" w:hAnsiTheme="minorHAnsi"/>
        </w:rPr>
        <w:t xml:space="preserve">Strict </w:t>
      </w:r>
      <w:proofErr w:type="spellStart"/>
      <w:r w:rsidRPr="006B6D18">
        <w:rPr>
          <w:rFonts w:asciiTheme="minorHAnsi" w:hAnsiTheme="minorHAnsi"/>
        </w:rPr>
        <w:t>fideists</w:t>
      </w:r>
      <w:proofErr w:type="spellEnd"/>
      <w:r w:rsidRPr="006B6D18">
        <w:rPr>
          <w:rFonts w:asciiTheme="minorHAnsi" w:hAnsiTheme="minorHAnsi"/>
        </w:rPr>
        <w:t xml:space="preserve"> assign no place to reason in discovering or understanding fundamental tenets of </w:t>
      </w:r>
      <w:hyperlink r:id="rId11" w:history="1">
        <w:r w:rsidRPr="006B6D18">
          <w:rPr>
            <w:rStyle w:val="Hyperlink"/>
            <w:rFonts w:asciiTheme="minorHAnsi" w:hAnsiTheme="minorHAnsi"/>
            <w:color w:val="auto"/>
          </w:rPr>
          <w:t>religion</w:t>
        </w:r>
      </w:hyperlink>
      <w:r w:rsidRPr="006B6D18">
        <w:rPr>
          <w:rFonts w:asciiTheme="minorHAnsi" w:hAnsiTheme="minorHAnsi"/>
        </w:rPr>
        <w:t>. For them blind faith is supreme as the way to certitude and salvation. They defend such faith on various grounds—</w:t>
      </w:r>
      <w:r w:rsidRPr="006B6D18">
        <w:rPr>
          <w:rFonts w:asciiTheme="minorHAnsi" w:hAnsiTheme="minorHAnsi"/>
          <w:i/>
          <w:iCs/>
        </w:rPr>
        <w:t>e.g.,</w:t>
      </w:r>
      <w:r w:rsidRPr="006B6D18">
        <w:rPr>
          <w:rFonts w:asciiTheme="minorHAnsi" w:hAnsiTheme="minorHAnsi"/>
        </w:rPr>
        <w:t> mystical experience, </w:t>
      </w:r>
      <w:hyperlink r:id="rId12" w:history="1">
        <w:r w:rsidRPr="006B6D18">
          <w:rPr>
            <w:rStyle w:val="Hyperlink"/>
            <w:rFonts w:asciiTheme="minorHAnsi" w:hAnsiTheme="minorHAnsi"/>
            <w:color w:val="auto"/>
          </w:rPr>
          <w:t>revelation</w:t>
        </w:r>
      </w:hyperlink>
      <w:r w:rsidRPr="006B6D18">
        <w:rPr>
          <w:rFonts w:asciiTheme="minorHAnsi" w:hAnsiTheme="minorHAnsi"/>
        </w:rPr>
        <w:t>, subjective human need, and common sense. A nonrational attitude so pervades their thinking that some assert that the true object of faith is the absurd, the nonrational, the impossible, or that which directly conflicts with reason</w:t>
      </w:r>
      <w:r w:rsidR="00363E4A" w:rsidRPr="006B6D18">
        <w:rPr>
          <w:rFonts w:asciiTheme="minorHAnsi" w:hAnsiTheme="minorHAnsi"/>
        </w:rPr>
        <w:t xml:space="preserve">. </w:t>
      </w:r>
    </w:p>
    <w:p w14:paraId="5DD8B3AF" w14:textId="77777777" w:rsidR="00DE6BC5" w:rsidRPr="006B6D18" w:rsidRDefault="00DE6BC5" w:rsidP="00093EB2">
      <w:pPr>
        <w:spacing w:after="0" w:line="240" w:lineRule="auto"/>
        <w:jc w:val="both"/>
        <w:rPr>
          <w:rFonts w:asciiTheme="minorHAnsi" w:hAnsiTheme="minorHAnsi"/>
        </w:rPr>
      </w:pPr>
    </w:p>
    <w:p w14:paraId="14870FB8" w14:textId="01DB2005" w:rsidR="001C64C3" w:rsidRPr="006B6D18" w:rsidRDefault="00D46DBA" w:rsidP="00093EB2">
      <w:pPr>
        <w:spacing w:after="0" w:line="240" w:lineRule="auto"/>
        <w:jc w:val="both"/>
        <w:rPr>
          <w:rFonts w:asciiTheme="minorHAnsi" w:hAnsiTheme="minorHAnsi"/>
        </w:rPr>
      </w:pPr>
      <w:r w:rsidRPr="006B6D18">
        <w:rPr>
          <w:rFonts w:asciiTheme="minorHAnsi" w:hAnsiTheme="minorHAnsi"/>
        </w:rPr>
        <w:t>On the other hand</w:t>
      </w:r>
      <w:r w:rsidR="00396370" w:rsidRPr="006B6D18">
        <w:rPr>
          <w:rFonts w:asciiTheme="minorHAnsi" w:hAnsiTheme="minorHAnsi"/>
        </w:rPr>
        <w:t>,</w:t>
      </w:r>
      <w:r w:rsidRPr="006B6D18">
        <w:rPr>
          <w:rFonts w:asciiTheme="minorHAnsi" w:hAnsiTheme="minorHAnsi"/>
        </w:rPr>
        <w:t xml:space="preserve"> “Moderate </w:t>
      </w:r>
      <w:proofErr w:type="spellStart"/>
      <w:r w:rsidR="00C3355F" w:rsidRPr="006B6D18">
        <w:rPr>
          <w:rFonts w:asciiTheme="minorHAnsi" w:hAnsiTheme="minorHAnsi"/>
        </w:rPr>
        <w:t>fideists</w:t>
      </w:r>
      <w:proofErr w:type="spellEnd"/>
      <w:r w:rsidR="00C3355F" w:rsidRPr="006B6D18">
        <w:rPr>
          <w:rFonts w:asciiTheme="minorHAnsi" w:hAnsiTheme="minorHAnsi"/>
        </w:rPr>
        <w:t xml:space="preserve"> “</w:t>
      </w:r>
      <w:r w:rsidR="00D573BB" w:rsidRPr="006B6D18">
        <w:rPr>
          <w:rFonts w:asciiTheme="minorHAnsi" w:hAnsiTheme="minorHAnsi"/>
        </w:rPr>
        <w:t>generally assert that some truths at least (e.g., God’s existence, moral principles) can be known by reason subsequently reinformed and clarified by faith—reason can or must play a role in the search for religious truths.</w:t>
      </w:r>
      <w:r w:rsidR="00C3355F" w:rsidRPr="006B6D18">
        <w:rPr>
          <w:rFonts w:asciiTheme="minorHAnsi" w:hAnsiTheme="minorHAnsi"/>
        </w:rPr>
        <w:t xml:space="preserve">” </w:t>
      </w:r>
    </w:p>
    <w:p w14:paraId="7C022501" w14:textId="77777777" w:rsidR="001C64C3" w:rsidRPr="006B6D18" w:rsidRDefault="001C64C3" w:rsidP="00093EB2">
      <w:pPr>
        <w:spacing w:after="0" w:line="240" w:lineRule="auto"/>
        <w:jc w:val="both"/>
        <w:rPr>
          <w:rFonts w:asciiTheme="minorHAnsi" w:hAnsiTheme="minorHAnsi"/>
        </w:rPr>
      </w:pPr>
    </w:p>
    <w:p w14:paraId="5C115F0B" w14:textId="77777777" w:rsidR="00AF5B50" w:rsidRPr="006B6D18" w:rsidRDefault="00AF5B50" w:rsidP="00093EB2">
      <w:pPr>
        <w:spacing w:after="0" w:line="240" w:lineRule="auto"/>
        <w:jc w:val="both"/>
        <w:rPr>
          <w:rFonts w:asciiTheme="minorHAnsi" w:hAnsiTheme="minorHAnsi"/>
          <w:u w:val="single"/>
        </w:rPr>
      </w:pPr>
    </w:p>
    <w:p w14:paraId="13AFE1D0" w14:textId="77DB8A9F" w:rsidR="00AF5B50" w:rsidRPr="006B6D18" w:rsidRDefault="00205C4E" w:rsidP="006B6D18">
      <w:pPr>
        <w:pStyle w:val="Heading2"/>
      </w:pPr>
      <w:r w:rsidRPr="006B6D18">
        <w:t>Difficulties</w:t>
      </w:r>
    </w:p>
    <w:p w14:paraId="2FF00E9F" w14:textId="77777777" w:rsidR="003D0C66" w:rsidRPr="006B6D18" w:rsidRDefault="003D0C66" w:rsidP="00093EB2">
      <w:pPr>
        <w:spacing w:after="0" w:line="240" w:lineRule="auto"/>
        <w:jc w:val="both"/>
        <w:rPr>
          <w:rFonts w:asciiTheme="minorHAnsi" w:hAnsiTheme="minorHAnsi"/>
          <w:u w:val="single"/>
        </w:rPr>
      </w:pPr>
    </w:p>
    <w:p w14:paraId="1BF426D5" w14:textId="710E7F03" w:rsidR="00ED47E4" w:rsidRPr="006B6D18" w:rsidRDefault="008653E4" w:rsidP="00093EB2">
      <w:pPr>
        <w:spacing w:after="0" w:line="240" w:lineRule="auto"/>
        <w:jc w:val="both"/>
        <w:rPr>
          <w:rFonts w:asciiTheme="minorHAnsi" w:hAnsiTheme="minorHAnsi"/>
        </w:rPr>
      </w:pPr>
      <w:r w:rsidRPr="006B6D18">
        <w:rPr>
          <w:rFonts w:asciiTheme="minorHAnsi" w:hAnsiTheme="minorHAnsi"/>
        </w:rPr>
        <w:t xml:space="preserve">The position that “blind faith is supreme as the way to certitude and salvation” (britannica.com) faces </w:t>
      </w:r>
      <w:proofErr w:type="gramStart"/>
      <w:r w:rsidRPr="006B6D18">
        <w:rPr>
          <w:rFonts w:asciiTheme="minorHAnsi" w:hAnsiTheme="minorHAnsi"/>
        </w:rPr>
        <w:t>a number of</w:t>
      </w:r>
      <w:proofErr w:type="gramEnd"/>
      <w:r w:rsidRPr="006B6D18">
        <w:rPr>
          <w:rFonts w:asciiTheme="minorHAnsi" w:hAnsiTheme="minorHAnsi"/>
        </w:rPr>
        <w:t xml:space="preserve"> challenges. As Geisler and Brooks point out, “If faith alone is the only way to know truth, why not have faith in the Koran or the Book of Mormon? Fideism doesn’t really attempt to justify any beliefs, so we could simply believe anything that we wanted.” I am reminded of the sincere young Mormon missionaries who quoted Moroni 10:4 (Book of Mormon) to me and urged me to pray for a personal, spiritual witness or testimony from the Holy Ghost confirming the truth of the Book of Mormon. At the time, I did not know that believers in many different religions report “spiritual experiences” that are similar in many ways.</w:t>
      </w:r>
    </w:p>
    <w:p w14:paraId="17B04F48" w14:textId="77777777" w:rsidR="002410C3" w:rsidRPr="006B6D18" w:rsidRDefault="002410C3" w:rsidP="00093EB2">
      <w:pPr>
        <w:spacing w:after="0" w:line="240" w:lineRule="auto"/>
        <w:jc w:val="both"/>
        <w:rPr>
          <w:rFonts w:asciiTheme="minorHAnsi" w:hAnsiTheme="minorHAnsi"/>
        </w:rPr>
      </w:pPr>
    </w:p>
    <w:p w14:paraId="2B3ABE61" w14:textId="70B07F04" w:rsidR="00507FED" w:rsidRPr="006B6D18" w:rsidRDefault="002410C3" w:rsidP="00507FED">
      <w:pPr>
        <w:spacing w:after="0" w:line="240" w:lineRule="auto"/>
        <w:jc w:val="both"/>
        <w:rPr>
          <w:rFonts w:asciiTheme="minorHAnsi" w:hAnsiTheme="minorHAnsi"/>
        </w:rPr>
      </w:pPr>
      <w:r w:rsidRPr="006B6D18">
        <w:rPr>
          <w:rFonts w:asciiTheme="minorHAnsi" w:hAnsiTheme="minorHAnsi"/>
        </w:rPr>
        <w:t xml:space="preserve">Fideism also faces what is often called </w:t>
      </w:r>
      <w:r w:rsidR="002B15CA" w:rsidRPr="006B6D18">
        <w:rPr>
          <w:rFonts w:asciiTheme="minorHAnsi" w:hAnsiTheme="minorHAnsi"/>
        </w:rPr>
        <w:t xml:space="preserve">the self-referential problem. </w:t>
      </w:r>
      <w:r w:rsidR="00731ED8" w:rsidRPr="006B6D18">
        <w:rPr>
          <w:rFonts w:asciiTheme="minorHAnsi" w:hAnsiTheme="minorHAnsi"/>
        </w:rPr>
        <w:t>Again,</w:t>
      </w:r>
      <w:r w:rsidR="00CE1A35" w:rsidRPr="006B6D18">
        <w:rPr>
          <w:rFonts w:asciiTheme="minorHAnsi" w:hAnsiTheme="minorHAnsi"/>
        </w:rPr>
        <w:t xml:space="preserve"> as Geisler and Brooks explai</w:t>
      </w:r>
      <w:r w:rsidR="00507FED" w:rsidRPr="006B6D18">
        <w:rPr>
          <w:rFonts w:asciiTheme="minorHAnsi" w:hAnsiTheme="minorHAnsi"/>
        </w:rPr>
        <w:t xml:space="preserve">n “if someone does begin to offer some explanation or </w:t>
      </w:r>
      <w:r w:rsidR="00C36568" w:rsidRPr="006B6D18">
        <w:rPr>
          <w:rFonts w:asciiTheme="minorHAnsi" w:hAnsiTheme="minorHAnsi"/>
        </w:rPr>
        <w:t>defence</w:t>
      </w:r>
      <w:r w:rsidR="00507FED" w:rsidRPr="006B6D18">
        <w:rPr>
          <w:rFonts w:asciiTheme="minorHAnsi" w:hAnsiTheme="minorHAnsi"/>
        </w:rPr>
        <w:t xml:space="preserve"> of why he is a </w:t>
      </w:r>
      <w:proofErr w:type="spellStart"/>
      <w:r w:rsidR="00507FED" w:rsidRPr="006B6D18">
        <w:rPr>
          <w:rFonts w:asciiTheme="minorHAnsi" w:hAnsiTheme="minorHAnsi"/>
        </w:rPr>
        <w:t>fideist</w:t>
      </w:r>
      <w:proofErr w:type="spellEnd"/>
      <w:r w:rsidR="00507FED" w:rsidRPr="006B6D18">
        <w:rPr>
          <w:rFonts w:asciiTheme="minorHAnsi" w:hAnsiTheme="minorHAnsi"/>
        </w:rPr>
        <w:t xml:space="preserve">, then he has ceased to be one. The minute he offers anything other than, </w:t>
      </w:r>
      <w:r w:rsidR="00E5749D" w:rsidRPr="006B6D18">
        <w:rPr>
          <w:rFonts w:asciiTheme="minorHAnsi" w:hAnsiTheme="minorHAnsi"/>
        </w:rPr>
        <w:t>‘</w:t>
      </w:r>
      <w:r w:rsidR="00507FED" w:rsidRPr="006B6D18">
        <w:rPr>
          <w:rFonts w:asciiTheme="minorHAnsi" w:hAnsiTheme="minorHAnsi"/>
        </w:rPr>
        <w:t>Believe it,</w:t>
      </w:r>
      <w:r w:rsidR="00E5749D" w:rsidRPr="006B6D18">
        <w:rPr>
          <w:rFonts w:asciiTheme="minorHAnsi" w:hAnsiTheme="minorHAnsi"/>
        </w:rPr>
        <w:t>’</w:t>
      </w:r>
      <w:r w:rsidR="00507FED" w:rsidRPr="006B6D18">
        <w:rPr>
          <w:rFonts w:asciiTheme="minorHAnsi" w:hAnsiTheme="minorHAnsi"/>
        </w:rPr>
        <w:t xml:space="preserve"> as support for his position, he has stopped being a </w:t>
      </w:r>
      <w:proofErr w:type="spellStart"/>
      <w:r w:rsidR="00507FED" w:rsidRPr="006B6D18">
        <w:rPr>
          <w:rFonts w:asciiTheme="minorHAnsi" w:hAnsiTheme="minorHAnsi"/>
        </w:rPr>
        <w:t>fideist</w:t>
      </w:r>
      <w:proofErr w:type="spellEnd"/>
      <w:r w:rsidR="00507FED" w:rsidRPr="006B6D18">
        <w:rPr>
          <w:rFonts w:asciiTheme="minorHAnsi" w:hAnsiTheme="minorHAnsi"/>
        </w:rPr>
        <w:t xml:space="preserve"> and begun using justifiable beliefs. Either fideism is making no truth </w:t>
      </w:r>
      <w:proofErr w:type="gramStart"/>
      <w:r w:rsidR="00507FED" w:rsidRPr="006B6D18">
        <w:rPr>
          <w:rFonts w:asciiTheme="minorHAnsi" w:hAnsiTheme="minorHAnsi"/>
        </w:rPr>
        <w:t>claims</w:t>
      </w:r>
      <w:proofErr w:type="gramEnd"/>
      <w:r w:rsidR="00507FED" w:rsidRPr="006B6D18">
        <w:rPr>
          <w:rFonts w:asciiTheme="minorHAnsi" w:hAnsiTheme="minorHAnsi"/>
        </w:rPr>
        <w:t xml:space="preserve"> or it is self-defeating. In either case, it cannot answer the question of how we know about God.</w:t>
      </w:r>
      <w:r w:rsidR="008B658E" w:rsidRPr="006B6D18">
        <w:rPr>
          <w:rFonts w:asciiTheme="minorHAnsi" w:hAnsiTheme="minorHAnsi"/>
        </w:rPr>
        <w:t xml:space="preserve">” </w:t>
      </w:r>
    </w:p>
    <w:p w14:paraId="6467EFC0" w14:textId="77777777" w:rsidR="00160215" w:rsidRPr="006B6D18" w:rsidRDefault="00160215" w:rsidP="00507FED">
      <w:pPr>
        <w:spacing w:after="0" w:line="240" w:lineRule="auto"/>
        <w:jc w:val="both"/>
        <w:rPr>
          <w:rFonts w:asciiTheme="minorHAnsi" w:hAnsiTheme="minorHAnsi"/>
        </w:rPr>
      </w:pPr>
    </w:p>
    <w:p w14:paraId="40C3E2F5" w14:textId="0745A141" w:rsidR="00507FED" w:rsidRPr="006B6D18" w:rsidRDefault="00B25A92" w:rsidP="00093EB2">
      <w:pPr>
        <w:spacing w:after="0" w:line="240" w:lineRule="auto"/>
        <w:jc w:val="both"/>
        <w:rPr>
          <w:rFonts w:asciiTheme="minorHAnsi" w:hAnsiTheme="minorHAnsi"/>
        </w:rPr>
      </w:pPr>
      <w:r w:rsidRPr="006B6D18">
        <w:rPr>
          <w:rFonts w:asciiTheme="minorHAnsi" w:hAnsiTheme="minorHAnsi"/>
        </w:rPr>
        <w:t xml:space="preserve">Various other significant challenges confront the </w:t>
      </w:r>
      <w:proofErr w:type="spellStart"/>
      <w:r w:rsidRPr="006B6D18">
        <w:rPr>
          <w:rFonts w:asciiTheme="minorHAnsi" w:hAnsiTheme="minorHAnsi"/>
        </w:rPr>
        <w:t>fideist</w:t>
      </w:r>
      <w:proofErr w:type="spellEnd"/>
      <w:r w:rsidRPr="006B6D18">
        <w:rPr>
          <w:rFonts w:asciiTheme="minorHAnsi" w:hAnsiTheme="minorHAnsi"/>
        </w:rPr>
        <w:t xml:space="preserve"> position, revealing its inadequacy as an account of biblical faith.</w:t>
      </w:r>
    </w:p>
    <w:p w14:paraId="6C93F961" w14:textId="77777777" w:rsidR="00507FED" w:rsidRPr="006B6D18" w:rsidRDefault="00507FED" w:rsidP="00093EB2">
      <w:pPr>
        <w:spacing w:after="0" w:line="240" w:lineRule="auto"/>
        <w:jc w:val="both"/>
        <w:rPr>
          <w:rFonts w:asciiTheme="minorHAnsi" w:hAnsiTheme="minorHAnsi"/>
        </w:rPr>
      </w:pPr>
    </w:p>
    <w:p w14:paraId="78EA51C6" w14:textId="77777777" w:rsidR="009A67D5" w:rsidRPr="006B6D18" w:rsidRDefault="009A67D5" w:rsidP="00093EB2">
      <w:pPr>
        <w:spacing w:after="0" w:line="240" w:lineRule="auto"/>
        <w:jc w:val="both"/>
        <w:rPr>
          <w:rFonts w:asciiTheme="minorHAnsi" w:hAnsiTheme="minorHAnsi"/>
          <w:u w:val="single"/>
        </w:rPr>
      </w:pPr>
    </w:p>
    <w:p w14:paraId="1D63A2D1" w14:textId="2A2BFAB4" w:rsidR="007B3FE3" w:rsidRPr="006B6D18" w:rsidRDefault="00B76E9B" w:rsidP="006B6D18">
      <w:pPr>
        <w:pStyle w:val="Heading2"/>
      </w:pPr>
      <w:r w:rsidRPr="006B6D18">
        <w:t xml:space="preserve">Mental Assent and Trust </w:t>
      </w:r>
    </w:p>
    <w:p w14:paraId="77EAE8CA" w14:textId="77777777" w:rsidR="00B76E9B" w:rsidRPr="006B6D18" w:rsidRDefault="00B76E9B" w:rsidP="00116E7E">
      <w:pPr>
        <w:spacing w:after="0" w:line="240" w:lineRule="auto"/>
        <w:jc w:val="both"/>
        <w:rPr>
          <w:rFonts w:asciiTheme="minorHAnsi" w:hAnsiTheme="minorHAnsi"/>
        </w:rPr>
      </w:pPr>
    </w:p>
    <w:p w14:paraId="1B91F485" w14:textId="743D8A2D" w:rsidR="00116E7E" w:rsidRPr="006B6D18" w:rsidRDefault="00116E7E" w:rsidP="00116E7E">
      <w:pPr>
        <w:spacing w:after="0" w:line="240" w:lineRule="auto"/>
        <w:jc w:val="both"/>
        <w:rPr>
          <w:rFonts w:asciiTheme="minorHAnsi" w:hAnsiTheme="minorHAnsi"/>
        </w:rPr>
      </w:pPr>
      <w:r w:rsidRPr="006B6D18">
        <w:rPr>
          <w:rFonts w:asciiTheme="minorHAnsi" w:hAnsiTheme="minorHAnsi"/>
        </w:rPr>
        <w:t>The late theologian Clark H. Pinnock makes the important point that “faith and reason are certainly not identical” (</w:t>
      </w:r>
      <w:r w:rsidRPr="006B6D18">
        <w:rPr>
          <w:rFonts w:asciiTheme="minorHAnsi" w:hAnsiTheme="minorHAnsi"/>
          <w:i/>
          <w:iCs/>
        </w:rPr>
        <w:t>Faith and Reason</w:t>
      </w:r>
      <w:r w:rsidRPr="006B6D18">
        <w:rPr>
          <w:rFonts w:asciiTheme="minorHAnsi" w:hAnsiTheme="minorHAnsi"/>
        </w:rPr>
        <w:t>, Bibliotheca Sacra, Oct. 1974). He explains that “reason describes the mental process of sifting evidence and evaluating arguments, thinking critically about statements that are made, and striving after rational certainty.” He observes that “faith is very different,” adding:</w:t>
      </w:r>
    </w:p>
    <w:p w14:paraId="0576D45D" w14:textId="77777777" w:rsidR="00116E7E" w:rsidRPr="006B6D18" w:rsidRDefault="00116E7E" w:rsidP="00116E7E">
      <w:pPr>
        <w:spacing w:after="0" w:line="240" w:lineRule="auto"/>
        <w:jc w:val="both"/>
        <w:rPr>
          <w:rFonts w:asciiTheme="minorHAnsi" w:hAnsiTheme="minorHAnsi"/>
        </w:rPr>
      </w:pPr>
    </w:p>
    <w:p w14:paraId="495E48F0" w14:textId="38EA0962" w:rsidR="00116E7E" w:rsidRPr="006B6D18" w:rsidRDefault="00116E7E" w:rsidP="00116E7E">
      <w:pPr>
        <w:spacing w:after="0" w:line="240" w:lineRule="auto"/>
        <w:ind w:left="720"/>
        <w:jc w:val="both"/>
        <w:rPr>
          <w:rFonts w:asciiTheme="minorHAnsi" w:hAnsiTheme="minorHAnsi"/>
        </w:rPr>
      </w:pPr>
      <w:r w:rsidRPr="006B6D18">
        <w:rPr>
          <w:rFonts w:asciiTheme="minorHAnsi" w:hAnsiTheme="minorHAnsi"/>
        </w:rPr>
        <w:t xml:space="preserve">“According to the Bible, faith covers a wide range of meaning, including believing truth, relying on God, trusting in Him. Theology often refers to cognitive faith, or </w:t>
      </w:r>
      <w:r w:rsidRPr="006B6D18">
        <w:rPr>
          <w:rFonts w:asciiTheme="minorHAnsi" w:hAnsiTheme="minorHAnsi"/>
          <w:i/>
          <w:iCs/>
        </w:rPr>
        <w:t>fides</w:t>
      </w:r>
      <w:r w:rsidRPr="006B6D18">
        <w:rPr>
          <w:rFonts w:asciiTheme="minorHAnsi" w:hAnsiTheme="minorHAnsi"/>
        </w:rPr>
        <w:t xml:space="preserve">, the act of believing that something is true, and non-cognitive faith, or </w:t>
      </w:r>
      <w:r w:rsidRPr="006B6D18">
        <w:rPr>
          <w:rFonts w:asciiTheme="minorHAnsi" w:hAnsiTheme="minorHAnsi"/>
          <w:i/>
          <w:iCs/>
        </w:rPr>
        <w:t>fiducia</w:t>
      </w:r>
      <w:r w:rsidRPr="006B6D18">
        <w:rPr>
          <w:rFonts w:asciiTheme="minorHAnsi" w:hAnsiTheme="minorHAnsi"/>
        </w:rPr>
        <w:t>, the confidence in God as reliable. Obviously, we cannot have trust in God if we do not first have belief in His reality.”</w:t>
      </w:r>
    </w:p>
    <w:p w14:paraId="51E7A8B8" w14:textId="77777777" w:rsidR="00713CF4" w:rsidRPr="006B6D18" w:rsidRDefault="00713CF4" w:rsidP="00713CF4">
      <w:pPr>
        <w:pStyle w:val="my-2"/>
        <w:jc w:val="both"/>
        <w:rPr>
          <w:rFonts w:asciiTheme="minorHAnsi" w:hAnsiTheme="minorHAnsi"/>
        </w:rPr>
      </w:pPr>
      <w:r w:rsidRPr="006B6D18">
        <w:rPr>
          <w:rFonts w:asciiTheme="minorHAnsi" w:hAnsiTheme="minorHAnsi"/>
        </w:rPr>
        <w:t xml:space="preserve">The terms </w:t>
      </w:r>
      <w:r w:rsidRPr="006B6D18">
        <w:rPr>
          <w:rFonts w:asciiTheme="minorHAnsi" w:hAnsiTheme="minorHAnsi"/>
          <w:i/>
          <w:iCs/>
        </w:rPr>
        <w:t>fides</w:t>
      </w:r>
      <w:r w:rsidRPr="006B6D18">
        <w:rPr>
          <w:rFonts w:asciiTheme="minorHAnsi" w:hAnsiTheme="minorHAnsi"/>
        </w:rPr>
        <w:t xml:space="preserve"> and </w:t>
      </w:r>
      <w:r w:rsidRPr="006B6D18">
        <w:rPr>
          <w:rFonts w:asciiTheme="minorHAnsi" w:hAnsiTheme="minorHAnsi"/>
          <w:i/>
          <w:iCs/>
        </w:rPr>
        <w:t>fiducia</w:t>
      </w:r>
      <w:r w:rsidRPr="006B6D18">
        <w:rPr>
          <w:rFonts w:asciiTheme="minorHAnsi" w:hAnsiTheme="minorHAnsi"/>
        </w:rPr>
        <w:t xml:space="preserve"> are Latin and are not found in Scripture. They represent later theological distinctions rather than biblical terminology. Nevertheless, the distinction that Clark H. Pinnock and others make between "cognitive faith" and "non-cognitive faith" is helpful. In short, the former refers to belief that certain propositions are true, while the latter refers to trust, commitment, and personal reliance upon God.</w:t>
      </w:r>
    </w:p>
    <w:p w14:paraId="244790E3" w14:textId="77777777" w:rsidR="00387D1E" w:rsidRPr="006B6D18" w:rsidRDefault="005B1CD2" w:rsidP="00D81050">
      <w:pPr>
        <w:pStyle w:val="my-2"/>
        <w:jc w:val="both"/>
        <w:rPr>
          <w:rFonts w:asciiTheme="minorHAnsi" w:hAnsiTheme="minorHAnsi"/>
        </w:rPr>
      </w:pPr>
      <w:r w:rsidRPr="006B6D18">
        <w:rPr>
          <w:rFonts w:asciiTheme="minorHAnsi" w:hAnsiTheme="minorHAnsi"/>
        </w:rPr>
        <w:t>Consider what we have called "cognitive faith." John wrote his Gospel so that his readers might "believe that Jesus is the Christ, the Son of God" (Jn. 20:31), a propositional claim about Jesus. Similarly, Paul urges us to believe in our hearts that God raised Jesus from the dead (Rom. 10:9), a specific historical and theological claim. The writer of Hebrews tells us that believing God exists is essential to pleasing Him (Heb. 11:6). Yet it is equally clear that mere intellectual assent falls short of the trust essential to salvation. We read that "many even of the authorities believed in him, but for fear of the Pharisees they did not confess it, so that they would not be put out of the synagogue" (Jn. 12:42–43). Their recognition of the truth did not lead to genuine discipleship. Likewise, James reminds us that "even the demons believe—and shudder" (Jas. 2:19). Clearly, simple assent to certain truths does not necessarily result in the trusting commitment that characterizes saving faith.</w:t>
      </w:r>
    </w:p>
    <w:p w14:paraId="78DA5A20" w14:textId="688E14D3" w:rsidR="005B1CD2" w:rsidRPr="006B6D18" w:rsidRDefault="00651D06" w:rsidP="00D81050">
      <w:pPr>
        <w:pStyle w:val="my-2"/>
        <w:jc w:val="both"/>
        <w:rPr>
          <w:rFonts w:asciiTheme="minorHAnsi" w:hAnsiTheme="minorHAnsi"/>
        </w:rPr>
      </w:pPr>
      <w:r w:rsidRPr="006B6D18">
        <w:rPr>
          <w:rFonts w:asciiTheme="minorHAnsi" w:hAnsiTheme="minorHAnsi"/>
        </w:rPr>
        <w:t>Scripture also makes clear that trust in God—what Pinnock describes as "confidence in God as reliable"—is central to saving faith. Paul did not have mere assent to doctrinal propositions in mind when he wrote, "I know whom I have believed and am convinced that He is able to guard what I have entrusted to Him until that day" (2 Tim. 1:12). His confidence rested in the trustworthiness of the One in whom he believed. The writer of Hebrews expresses the same confidence when he urges believers to "draw near with confidence to the throne of grace, so that we may receive mercy and find grace to help in time of need" (Heb. 4:16). It is this trusting reliance upon God—Pinnock's "non-cognitive faith"—that gives sinful people access to God's gracious gift of salvation (Eph. 2:8).</w:t>
      </w:r>
    </w:p>
    <w:p w14:paraId="298A01AF" w14:textId="67E0110E" w:rsidR="00CE3D1C" w:rsidRPr="006B6D18" w:rsidRDefault="00396271" w:rsidP="00D81050">
      <w:pPr>
        <w:pStyle w:val="my-2"/>
        <w:jc w:val="both"/>
        <w:rPr>
          <w:rFonts w:asciiTheme="minorHAnsi" w:hAnsiTheme="minorHAnsi"/>
        </w:rPr>
      </w:pPr>
      <w:r w:rsidRPr="006B6D18">
        <w:rPr>
          <w:rFonts w:asciiTheme="minorHAnsi" w:hAnsiTheme="minorHAnsi"/>
        </w:rPr>
        <w:t xml:space="preserve">Typically, Christian </w:t>
      </w:r>
      <w:proofErr w:type="spellStart"/>
      <w:r w:rsidRPr="006B6D18">
        <w:rPr>
          <w:rFonts w:asciiTheme="minorHAnsi" w:hAnsiTheme="minorHAnsi"/>
        </w:rPr>
        <w:t>evidentialists</w:t>
      </w:r>
      <w:proofErr w:type="spellEnd"/>
      <w:r w:rsidRPr="006B6D18">
        <w:rPr>
          <w:rFonts w:asciiTheme="minorHAnsi" w:hAnsiTheme="minorHAnsi"/>
        </w:rPr>
        <w:t xml:space="preserve"> argue that rational investigation of the evidence provides the basis for </w:t>
      </w:r>
      <w:proofErr w:type="gramStart"/>
      <w:r w:rsidRPr="006B6D18">
        <w:rPr>
          <w:rFonts w:asciiTheme="minorHAnsi" w:hAnsiTheme="minorHAnsi"/>
        </w:rPr>
        <w:t>faith as a whole</w:t>
      </w:r>
      <w:proofErr w:type="gramEnd"/>
      <w:r w:rsidRPr="006B6D18">
        <w:rPr>
          <w:rFonts w:asciiTheme="minorHAnsi" w:hAnsiTheme="minorHAnsi"/>
        </w:rPr>
        <w:t xml:space="preserve">. They maintain that Scripture itself supports an </w:t>
      </w:r>
      <w:r w:rsidRPr="006B6D18">
        <w:rPr>
          <w:rFonts w:asciiTheme="minorHAnsi" w:hAnsiTheme="minorHAnsi"/>
        </w:rPr>
        <w:lastRenderedPageBreak/>
        <w:t>evidence-based faith. The Lord has provided a rational basis for believing the truths revealed in Scripture, as well as sound reasons for placing one's trust in Him.</w:t>
      </w:r>
      <w:r w:rsidR="00CB001C" w:rsidRPr="006B6D18">
        <w:rPr>
          <w:rFonts w:asciiTheme="minorHAnsi" w:hAnsiTheme="minorHAnsi"/>
        </w:rPr>
        <w:t xml:space="preserve"> Some are </w:t>
      </w:r>
      <w:r w:rsidR="00611B4F" w:rsidRPr="006B6D18">
        <w:rPr>
          <w:rFonts w:asciiTheme="minorHAnsi" w:hAnsiTheme="minorHAnsi"/>
        </w:rPr>
        <w:t>“</w:t>
      </w:r>
      <w:r w:rsidR="00CB001C" w:rsidRPr="006B6D18">
        <w:rPr>
          <w:rFonts w:asciiTheme="minorHAnsi" w:hAnsiTheme="minorHAnsi"/>
        </w:rPr>
        <w:t>willing to do His will</w:t>
      </w:r>
      <w:r w:rsidR="00611B4F" w:rsidRPr="006B6D18">
        <w:rPr>
          <w:rFonts w:asciiTheme="minorHAnsi" w:hAnsiTheme="minorHAnsi"/>
        </w:rPr>
        <w:t>”</w:t>
      </w:r>
      <w:r w:rsidR="00CB001C" w:rsidRPr="006B6D18">
        <w:rPr>
          <w:rFonts w:asciiTheme="minorHAnsi" w:hAnsiTheme="minorHAnsi"/>
        </w:rPr>
        <w:t xml:space="preserve"> </w:t>
      </w:r>
      <w:r w:rsidR="0001638E" w:rsidRPr="006B6D18">
        <w:rPr>
          <w:rFonts w:asciiTheme="minorHAnsi" w:hAnsiTheme="minorHAnsi"/>
        </w:rPr>
        <w:t>(</w:t>
      </w:r>
      <w:r w:rsidR="00611B4F" w:rsidRPr="006B6D18">
        <w:rPr>
          <w:rFonts w:asciiTheme="minorHAnsi" w:hAnsiTheme="minorHAnsi"/>
        </w:rPr>
        <w:t xml:space="preserve">Jn 7:17) while others </w:t>
      </w:r>
      <w:r w:rsidR="00C64DCC" w:rsidRPr="006B6D18">
        <w:rPr>
          <w:rFonts w:asciiTheme="minorHAnsi" w:hAnsiTheme="minorHAnsi"/>
        </w:rPr>
        <w:t xml:space="preserve">are not (Jn </w:t>
      </w:r>
      <w:r w:rsidR="00F06190" w:rsidRPr="006B6D18">
        <w:rPr>
          <w:rFonts w:asciiTheme="minorHAnsi" w:hAnsiTheme="minorHAnsi"/>
        </w:rPr>
        <w:t>8:44)</w:t>
      </w:r>
      <w:r w:rsidR="00D73D80" w:rsidRPr="006B6D18">
        <w:rPr>
          <w:rFonts w:asciiTheme="minorHAnsi" w:hAnsiTheme="minorHAnsi"/>
        </w:rPr>
        <w:t xml:space="preserve">. </w:t>
      </w:r>
    </w:p>
    <w:p w14:paraId="22C5088A" w14:textId="77777777" w:rsidR="00501277" w:rsidRPr="006B6D18" w:rsidRDefault="00501277" w:rsidP="00EA6D0C">
      <w:pPr>
        <w:rPr>
          <w:rFonts w:asciiTheme="minorHAnsi" w:hAnsiTheme="minorHAnsi"/>
          <w:u w:val="single"/>
        </w:rPr>
      </w:pPr>
    </w:p>
    <w:p w14:paraId="17668CBC" w14:textId="2D6BFC91" w:rsidR="00591BF9" w:rsidRPr="006B6D18" w:rsidRDefault="00ED13B8" w:rsidP="006B6D18">
      <w:pPr>
        <w:pStyle w:val="Heading2"/>
      </w:pPr>
      <w:r w:rsidRPr="006B6D18">
        <w:t xml:space="preserve">Scriptural Justification for </w:t>
      </w:r>
      <w:r w:rsidR="00941E09" w:rsidRPr="006B6D18">
        <w:t xml:space="preserve">Evidence-Based Faith </w:t>
      </w:r>
    </w:p>
    <w:p w14:paraId="3DEA90A0" w14:textId="77777777" w:rsidR="00252F5A" w:rsidRPr="006B6D18" w:rsidRDefault="00252F5A" w:rsidP="00252F5A">
      <w:pPr>
        <w:spacing w:after="0" w:line="240" w:lineRule="auto"/>
        <w:jc w:val="both"/>
        <w:rPr>
          <w:rFonts w:asciiTheme="minorHAnsi" w:hAnsiTheme="minorHAnsi" w:cs="Times New Roman"/>
          <w:color w:val="0F0F0F"/>
          <w:szCs w:val="24"/>
        </w:rPr>
      </w:pPr>
      <w:r w:rsidRPr="006B6D18">
        <w:rPr>
          <w:rFonts w:asciiTheme="minorHAnsi" w:hAnsiTheme="minorHAnsi" w:cs="Times New Roman"/>
          <w:color w:val="0F0F0F"/>
          <w:szCs w:val="24"/>
        </w:rPr>
        <w:t>Nothing in Scripture suggests that faith is independent of adequate evidence or of the exercise of human rational capacities. On the contrary, throughout the Bible the inspired writers repeatedly appeal to credible testimony, fulfilled prophecy, design in nature, logical reasoning, and the like in support of their claims and teachings.</w:t>
      </w:r>
    </w:p>
    <w:p w14:paraId="17F5AD9F" w14:textId="77777777" w:rsidR="00252F5A" w:rsidRPr="006B6D18" w:rsidRDefault="00252F5A" w:rsidP="00252F5A">
      <w:pPr>
        <w:spacing w:after="0" w:line="240" w:lineRule="auto"/>
        <w:jc w:val="both"/>
        <w:rPr>
          <w:rFonts w:asciiTheme="minorHAnsi" w:hAnsiTheme="minorHAnsi" w:cs="Times New Roman"/>
          <w:color w:val="0F0F0F"/>
          <w:szCs w:val="24"/>
        </w:rPr>
      </w:pPr>
    </w:p>
    <w:p w14:paraId="02529782" w14:textId="77777777" w:rsidR="00E1346F" w:rsidRPr="006B6D18" w:rsidRDefault="00252F5A" w:rsidP="00FB7867">
      <w:pPr>
        <w:spacing w:after="0" w:line="240" w:lineRule="auto"/>
        <w:jc w:val="both"/>
        <w:rPr>
          <w:rFonts w:asciiTheme="minorHAnsi" w:hAnsiTheme="minorHAnsi" w:cs="Times New Roman"/>
          <w:color w:val="0F0F0F"/>
          <w:szCs w:val="24"/>
        </w:rPr>
      </w:pPr>
      <w:r w:rsidRPr="006B6D18">
        <w:rPr>
          <w:rFonts w:asciiTheme="minorHAnsi" w:hAnsiTheme="minorHAnsi" w:cs="Times New Roman"/>
          <w:color w:val="0F0F0F"/>
          <w:szCs w:val="24"/>
        </w:rPr>
        <w:t>By way of example, consider Paul's argument in Romans 1 that God's existence and divine attributes can be known from creation, even apart from special revelation. The apostle argues that the created order furnishes evidence which, when fairly interpreted, supports belief in the existence of an all-powerful Creator. Those who "suppress the truth in unrighteousness" are "without excuse" (Rom. 1:18–20), for they are held accountable for their wilful rejection of the truth in the face of compelling evidence.</w:t>
      </w:r>
      <w:r w:rsidR="008313C3" w:rsidRPr="006B6D18">
        <w:rPr>
          <w:rFonts w:asciiTheme="minorHAnsi" w:hAnsiTheme="minorHAnsi" w:cs="Times New Roman"/>
          <w:color w:val="0F0F0F"/>
          <w:szCs w:val="24"/>
        </w:rPr>
        <w:t xml:space="preserve"> The problem is not lack of evidence </w:t>
      </w:r>
      <w:r w:rsidR="00586366" w:rsidRPr="006B6D18">
        <w:rPr>
          <w:rFonts w:asciiTheme="minorHAnsi" w:hAnsiTheme="minorHAnsi" w:cs="Times New Roman"/>
          <w:color w:val="0F0F0F"/>
          <w:szCs w:val="24"/>
        </w:rPr>
        <w:t xml:space="preserve">but an obstinate refusal to </w:t>
      </w:r>
      <w:r w:rsidR="009A4786" w:rsidRPr="006B6D18">
        <w:rPr>
          <w:rFonts w:asciiTheme="minorHAnsi" w:hAnsiTheme="minorHAnsi" w:cs="Times New Roman"/>
          <w:color w:val="0F0F0F"/>
          <w:szCs w:val="24"/>
        </w:rPr>
        <w:t>draw the appropriate conclusion</w:t>
      </w:r>
      <w:r w:rsidR="00B858D3" w:rsidRPr="006B6D18">
        <w:rPr>
          <w:rFonts w:asciiTheme="minorHAnsi" w:hAnsiTheme="minorHAnsi" w:cs="Times New Roman"/>
          <w:color w:val="0F0F0F"/>
          <w:szCs w:val="24"/>
        </w:rPr>
        <w:t xml:space="preserve">. </w:t>
      </w:r>
      <w:r w:rsidR="003827D2" w:rsidRPr="006B6D18">
        <w:rPr>
          <w:rFonts w:asciiTheme="minorHAnsi" w:hAnsiTheme="minorHAnsi" w:cs="Times New Roman"/>
          <w:color w:val="0F0F0F"/>
          <w:szCs w:val="24"/>
        </w:rPr>
        <w:t>“The heavens declare the glory of God; and the firmament shows His handiwork” (</w:t>
      </w:r>
      <w:proofErr w:type="spellStart"/>
      <w:r w:rsidR="003827D2" w:rsidRPr="006B6D18">
        <w:rPr>
          <w:rFonts w:asciiTheme="minorHAnsi" w:hAnsiTheme="minorHAnsi" w:cs="Times New Roman"/>
          <w:color w:val="0F0F0F"/>
          <w:szCs w:val="24"/>
        </w:rPr>
        <w:t>Ps</w:t>
      </w:r>
      <w:r w:rsidR="00B858D3" w:rsidRPr="006B6D18">
        <w:rPr>
          <w:rFonts w:asciiTheme="minorHAnsi" w:hAnsiTheme="minorHAnsi" w:cs="Times New Roman"/>
          <w:color w:val="0F0F0F"/>
          <w:szCs w:val="24"/>
        </w:rPr>
        <w:t>a</w:t>
      </w:r>
      <w:proofErr w:type="spellEnd"/>
      <w:r w:rsidR="003827D2" w:rsidRPr="006B6D18">
        <w:rPr>
          <w:rFonts w:asciiTheme="minorHAnsi" w:hAnsiTheme="minorHAnsi" w:cs="Times New Roman"/>
          <w:color w:val="0F0F0F"/>
          <w:szCs w:val="24"/>
        </w:rPr>
        <w:t xml:space="preserve"> 19:1</w:t>
      </w:r>
      <w:r w:rsidR="00B858D3" w:rsidRPr="006B6D18">
        <w:rPr>
          <w:rFonts w:asciiTheme="minorHAnsi" w:hAnsiTheme="minorHAnsi" w:cs="Times New Roman"/>
          <w:color w:val="0F0F0F"/>
          <w:szCs w:val="24"/>
        </w:rPr>
        <w:t xml:space="preserve">) </w:t>
      </w:r>
      <w:r w:rsidR="000B171E" w:rsidRPr="006B6D18">
        <w:rPr>
          <w:rFonts w:asciiTheme="minorHAnsi" w:hAnsiTheme="minorHAnsi" w:cs="Times New Roman"/>
          <w:color w:val="0F0F0F"/>
          <w:szCs w:val="24"/>
        </w:rPr>
        <w:t>but we must be open to truth</w:t>
      </w:r>
      <w:r w:rsidR="00E1346F" w:rsidRPr="006B6D18">
        <w:rPr>
          <w:rFonts w:asciiTheme="minorHAnsi" w:hAnsiTheme="minorHAnsi" w:cs="Times New Roman"/>
          <w:color w:val="0F0F0F"/>
          <w:szCs w:val="24"/>
        </w:rPr>
        <w:t>.</w:t>
      </w:r>
    </w:p>
    <w:p w14:paraId="316A96CA" w14:textId="77777777" w:rsidR="00E1346F" w:rsidRPr="006B6D18" w:rsidRDefault="00E1346F" w:rsidP="00FB7867">
      <w:pPr>
        <w:spacing w:after="0" w:line="240" w:lineRule="auto"/>
        <w:jc w:val="both"/>
        <w:rPr>
          <w:rFonts w:asciiTheme="minorHAnsi" w:hAnsiTheme="minorHAnsi" w:cs="Times New Roman"/>
          <w:color w:val="0F0F0F"/>
          <w:szCs w:val="24"/>
        </w:rPr>
      </w:pPr>
    </w:p>
    <w:p w14:paraId="3FC84B40" w14:textId="5473181D" w:rsidR="00B008B5" w:rsidRPr="006B6D18" w:rsidRDefault="000B171E" w:rsidP="00FB7867">
      <w:pPr>
        <w:spacing w:after="0" w:line="240" w:lineRule="auto"/>
        <w:jc w:val="both"/>
        <w:rPr>
          <w:rFonts w:asciiTheme="minorHAnsi" w:hAnsiTheme="minorHAnsi" w:cs="Times New Roman"/>
          <w:color w:val="0F0F0F"/>
          <w:szCs w:val="24"/>
        </w:rPr>
      </w:pPr>
      <w:r w:rsidRPr="006B6D18">
        <w:rPr>
          <w:rFonts w:asciiTheme="minorHAnsi" w:hAnsiTheme="minorHAnsi" w:cs="Times New Roman"/>
          <w:color w:val="0F0F0F"/>
          <w:szCs w:val="24"/>
        </w:rPr>
        <w:t xml:space="preserve"> </w:t>
      </w:r>
      <w:r w:rsidR="009F030F" w:rsidRPr="006B6D18">
        <w:rPr>
          <w:rFonts w:asciiTheme="minorHAnsi" w:hAnsiTheme="minorHAnsi" w:cs="Times New Roman"/>
          <w:color w:val="0F0F0F"/>
          <w:szCs w:val="24"/>
        </w:rPr>
        <w:t>Then there is the matter of reliable tes</w:t>
      </w:r>
      <w:r w:rsidR="006F699C" w:rsidRPr="006B6D18">
        <w:rPr>
          <w:rFonts w:asciiTheme="minorHAnsi" w:hAnsiTheme="minorHAnsi" w:cs="Times New Roman"/>
          <w:color w:val="0F0F0F"/>
          <w:szCs w:val="24"/>
        </w:rPr>
        <w:t xml:space="preserve">timony. </w:t>
      </w:r>
      <w:r w:rsidR="009A0A7D" w:rsidRPr="006B6D18">
        <w:rPr>
          <w:rFonts w:asciiTheme="minorHAnsi" w:hAnsiTheme="minorHAnsi" w:cs="Times New Roman"/>
          <w:color w:val="0F0F0F"/>
          <w:szCs w:val="24"/>
        </w:rPr>
        <w:t>Luke introduces his Gospel with the explicit claim that his account to Theophilus is grounded in eyewitness testimony and careful investigation (Luke 1:1–4). The evangelist's purpose is to provide his (likely) patron with certainty that the events recorded in Luke–Acts—Jesus' life, miracles, sacrificial death, and resurrection—are historical realities, not mythical tales or legendary traditions. The "we" passages in Acts indicate Luke's personal involvement in some of the events he records, while eyewitness testimony was still available (Acts 1:3). Moreover, Luke's companion Paul could write in the mid-50s that many eyewitnesses of the risen Christ were still alive (1 Cor. 15:6).</w:t>
      </w:r>
    </w:p>
    <w:p w14:paraId="20BC5C1F" w14:textId="77777777" w:rsidR="008306F7" w:rsidRPr="006B6D18" w:rsidRDefault="008306F7" w:rsidP="00FB7867">
      <w:pPr>
        <w:spacing w:after="0" w:line="240" w:lineRule="auto"/>
        <w:jc w:val="both"/>
        <w:rPr>
          <w:rFonts w:asciiTheme="minorHAnsi" w:hAnsiTheme="minorHAnsi" w:cs="Times New Roman"/>
          <w:color w:val="0F0F0F"/>
          <w:szCs w:val="24"/>
        </w:rPr>
      </w:pPr>
    </w:p>
    <w:p w14:paraId="48870E67" w14:textId="3F8875A4" w:rsidR="00A638B0" w:rsidRPr="006B6D18" w:rsidRDefault="003219A7" w:rsidP="00A638B0">
      <w:pPr>
        <w:spacing w:after="0" w:line="240" w:lineRule="auto"/>
        <w:jc w:val="both"/>
        <w:rPr>
          <w:rFonts w:asciiTheme="minorHAnsi" w:hAnsiTheme="minorHAnsi" w:cs="Times New Roman"/>
          <w:color w:val="0F0F0F"/>
          <w:szCs w:val="24"/>
        </w:rPr>
      </w:pPr>
      <w:r w:rsidRPr="006B6D18">
        <w:rPr>
          <w:rFonts w:asciiTheme="minorHAnsi" w:hAnsiTheme="minorHAnsi" w:cs="Times New Roman"/>
          <w:color w:val="0F0F0F"/>
          <w:szCs w:val="24"/>
        </w:rPr>
        <w:t xml:space="preserve">John’s Gospel reinforces this </w:t>
      </w:r>
      <w:r w:rsidR="0028430E" w:rsidRPr="006B6D18">
        <w:rPr>
          <w:rFonts w:asciiTheme="minorHAnsi" w:hAnsiTheme="minorHAnsi" w:cs="Times New Roman"/>
          <w:color w:val="0F0F0F"/>
          <w:szCs w:val="24"/>
        </w:rPr>
        <w:t xml:space="preserve">point. </w:t>
      </w:r>
      <w:r w:rsidR="00A638B0" w:rsidRPr="006B6D18">
        <w:rPr>
          <w:rFonts w:asciiTheme="minorHAnsi" w:hAnsiTheme="minorHAnsi" w:cs="Times New Roman"/>
          <w:color w:val="0F0F0F"/>
          <w:szCs w:val="24"/>
        </w:rPr>
        <w:t>When Thomas demanded physical evidence of Jesus' resurrection (John 20:25), he refused to believe the testimony of his fellow disciples, whose witness was deserving of his trust. Following His appearance to Thomas, Jesus said, "Because you have seen Me, you have believed; blessed are those who have not seen and yet have believed" (John 20:29). John immediately adds:</w:t>
      </w:r>
    </w:p>
    <w:p w14:paraId="2F6D1838" w14:textId="77777777" w:rsidR="00A638B0" w:rsidRPr="006B6D18" w:rsidRDefault="00A638B0" w:rsidP="00A638B0">
      <w:pPr>
        <w:spacing w:after="0" w:line="240" w:lineRule="auto"/>
        <w:jc w:val="both"/>
        <w:rPr>
          <w:rFonts w:asciiTheme="minorHAnsi" w:hAnsiTheme="minorHAnsi" w:cs="Times New Roman"/>
          <w:color w:val="0F0F0F"/>
          <w:szCs w:val="24"/>
        </w:rPr>
      </w:pPr>
    </w:p>
    <w:p w14:paraId="00406BA0" w14:textId="53CE6106" w:rsidR="00A638B0" w:rsidRPr="006B6D18" w:rsidRDefault="00A638B0" w:rsidP="00A638B0">
      <w:pPr>
        <w:spacing w:after="0" w:line="240" w:lineRule="auto"/>
        <w:ind w:left="720"/>
        <w:jc w:val="both"/>
        <w:rPr>
          <w:rFonts w:asciiTheme="minorHAnsi" w:hAnsiTheme="minorHAnsi" w:cs="Times New Roman"/>
          <w:color w:val="0F0F0F"/>
          <w:szCs w:val="24"/>
        </w:rPr>
      </w:pPr>
      <w:r w:rsidRPr="006B6D18">
        <w:rPr>
          <w:rFonts w:asciiTheme="minorHAnsi" w:hAnsiTheme="minorHAnsi" w:cs="Times New Roman"/>
          <w:color w:val="0F0F0F"/>
          <w:szCs w:val="24"/>
        </w:rPr>
        <w:t>"</w:t>
      </w:r>
      <w:proofErr w:type="gramStart"/>
      <w:r w:rsidRPr="006B6D18">
        <w:rPr>
          <w:rFonts w:asciiTheme="minorHAnsi" w:hAnsiTheme="minorHAnsi" w:cs="Times New Roman"/>
          <w:color w:val="0F0F0F"/>
          <w:szCs w:val="24"/>
        </w:rPr>
        <w:t>Therefore</w:t>
      </w:r>
      <w:proofErr w:type="gramEnd"/>
      <w:r w:rsidRPr="006B6D18">
        <w:rPr>
          <w:rFonts w:asciiTheme="minorHAnsi" w:hAnsiTheme="minorHAnsi" w:cs="Times New Roman"/>
          <w:color w:val="0F0F0F"/>
          <w:szCs w:val="24"/>
        </w:rPr>
        <w:t xml:space="preserve"> many other signs Jesus also performed in the presence of the disciples, which are not written in this book; but these have been written so that you may believe that Jesus is the Christ, the Son of God; and that believing you may have life in His name" (John 20:30–31).</w:t>
      </w:r>
    </w:p>
    <w:p w14:paraId="46C70D1C" w14:textId="77777777" w:rsidR="00A638B0" w:rsidRPr="006B6D18" w:rsidRDefault="00A638B0" w:rsidP="00A638B0">
      <w:pPr>
        <w:spacing w:after="0" w:line="240" w:lineRule="auto"/>
        <w:jc w:val="both"/>
        <w:rPr>
          <w:rFonts w:asciiTheme="minorHAnsi" w:hAnsiTheme="minorHAnsi" w:cs="Times New Roman"/>
          <w:color w:val="0F0F0F"/>
          <w:szCs w:val="24"/>
        </w:rPr>
      </w:pPr>
    </w:p>
    <w:p w14:paraId="426D834F" w14:textId="0746EB8C" w:rsidR="00A638B0" w:rsidRPr="006B6D18" w:rsidRDefault="00A638B0" w:rsidP="00A638B0">
      <w:pPr>
        <w:spacing w:after="0" w:line="240" w:lineRule="auto"/>
        <w:jc w:val="both"/>
        <w:rPr>
          <w:rFonts w:asciiTheme="minorHAnsi" w:hAnsiTheme="minorHAnsi" w:cs="Times New Roman"/>
          <w:color w:val="0F0F0F"/>
          <w:szCs w:val="24"/>
        </w:rPr>
      </w:pPr>
      <w:r w:rsidRPr="006B6D18">
        <w:rPr>
          <w:rFonts w:asciiTheme="minorHAnsi" w:hAnsiTheme="minorHAnsi" w:cs="Times New Roman"/>
          <w:color w:val="0F0F0F"/>
          <w:szCs w:val="24"/>
        </w:rPr>
        <w:t xml:space="preserve">These verses strongly support the conclusion that the Lord intends people to believe </w:t>
      </w:r>
      <w:proofErr w:type="gramStart"/>
      <w:r w:rsidRPr="006B6D18">
        <w:rPr>
          <w:rFonts w:asciiTheme="minorHAnsi" w:hAnsiTheme="minorHAnsi" w:cs="Times New Roman"/>
          <w:color w:val="0F0F0F"/>
          <w:szCs w:val="24"/>
        </w:rPr>
        <w:t>on the basis of</w:t>
      </w:r>
      <w:proofErr w:type="gramEnd"/>
      <w:r w:rsidRPr="006B6D18">
        <w:rPr>
          <w:rFonts w:asciiTheme="minorHAnsi" w:hAnsiTheme="minorHAnsi" w:cs="Times New Roman"/>
          <w:color w:val="0F0F0F"/>
          <w:szCs w:val="24"/>
        </w:rPr>
        <w:t xml:space="preserve"> reliable testimony and compelling evidence.</w:t>
      </w:r>
    </w:p>
    <w:p w14:paraId="21109DC6" w14:textId="77777777" w:rsidR="00D651C3" w:rsidRPr="006B6D18" w:rsidRDefault="00D651C3" w:rsidP="00FB7867">
      <w:pPr>
        <w:spacing w:after="0" w:line="240" w:lineRule="auto"/>
        <w:jc w:val="both"/>
        <w:rPr>
          <w:rFonts w:asciiTheme="minorHAnsi" w:hAnsiTheme="minorHAnsi" w:cs="Times New Roman"/>
          <w:color w:val="0F0F0F"/>
          <w:szCs w:val="24"/>
        </w:rPr>
      </w:pPr>
    </w:p>
    <w:p w14:paraId="216ED066" w14:textId="44C55161" w:rsidR="00FF05BE" w:rsidRPr="006B6D18" w:rsidRDefault="00D710D4" w:rsidP="00093EB2">
      <w:pPr>
        <w:spacing w:after="0" w:line="240" w:lineRule="auto"/>
        <w:jc w:val="both"/>
        <w:rPr>
          <w:rFonts w:asciiTheme="minorHAnsi" w:hAnsiTheme="minorHAnsi" w:cs="Times New Roman"/>
          <w:color w:val="0F0F0F"/>
          <w:szCs w:val="24"/>
        </w:rPr>
      </w:pPr>
      <w:r w:rsidRPr="006B6D18">
        <w:rPr>
          <w:rFonts w:asciiTheme="minorHAnsi" w:hAnsiTheme="minorHAnsi" w:cs="Times New Roman"/>
          <w:color w:val="0F0F0F"/>
          <w:szCs w:val="24"/>
        </w:rPr>
        <w:lastRenderedPageBreak/>
        <w:t xml:space="preserve">Then there is the evidential value of prophecy. Throughout the New Testament, the inspired writers repeatedly appeal to fulfilled prophecy as evidence that Jesus is the promised Messiah. For example, in Matthew's Gospel alone, the verb </w:t>
      </w:r>
      <w:r w:rsidRPr="006B6D18">
        <w:rPr>
          <w:rFonts w:asciiTheme="minorHAnsi" w:hAnsiTheme="minorHAnsi" w:cs="Times New Roman"/>
          <w:b/>
          <w:bCs/>
          <w:color w:val="0F0F0F"/>
          <w:szCs w:val="24"/>
        </w:rPr>
        <w:t>"fulfil"</w:t>
      </w:r>
      <w:r w:rsidRPr="006B6D18">
        <w:rPr>
          <w:rFonts w:asciiTheme="minorHAnsi" w:hAnsiTheme="minorHAnsi" w:cs="Times New Roman"/>
          <w:color w:val="0F0F0F"/>
          <w:szCs w:val="24"/>
        </w:rPr>
        <w:t xml:space="preserve"> is used about thirteen times in connection with Old Testament prophecy. Thus, Herod's slaughter of the infants (2:17–18), Christ's residence at Nazareth (2:23), His ministry in Galilee (4:14–16), His miraculous ministry (8:17), His teaching in parables (13:35), and numerous other events associated with His life and ministry (e.g., 21:4–5; 26:54, 56; 27:9–10) are presented as fulfilments of Old Testament prophecy. Matthew also employs the expression </w:t>
      </w:r>
      <w:r w:rsidRPr="006B6D18">
        <w:rPr>
          <w:rFonts w:asciiTheme="minorHAnsi" w:hAnsiTheme="minorHAnsi" w:cs="Times New Roman"/>
          <w:b/>
          <w:bCs/>
          <w:color w:val="0F0F0F"/>
          <w:szCs w:val="24"/>
        </w:rPr>
        <w:t>"it is written"</w:t>
      </w:r>
      <w:r w:rsidRPr="006B6D18">
        <w:rPr>
          <w:rFonts w:asciiTheme="minorHAnsi" w:hAnsiTheme="minorHAnsi" w:cs="Times New Roman"/>
          <w:color w:val="0F0F0F"/>
          <w:szCs w:val="24"/>
        </w:rPr>
        <w:t xml:space="preserve"> on nine occasions, while Jesus Himself repeatedly directs His hearers to the Scriptures with the question, </w:t>
      </w:r>
      <w:r w:rsidRPr="006B6D18">
        <w:rPr>
          <w:rFonts w:asciiTheme="minorHAnsi" w:hAnsiTheme="minorHAnsi" w:cs="Times New Roman"/>
          <w:b/>
          <w:bCs/>
          <w:color w:val="0F0F0F"/>
          <w:szCs w:val="24"/>
        </w:rPr>
        <w:t>"Have you not read?"</w:t>
      </w:r>
      <w:r w:rsidRPr="006B6D18">
        <w:rPr>
          <w:rFonts w:asciiTheme="minorHAnsi" w:hAnsiTheme="minorHAnsi" w:cs="Times New Roman"/>
          <w:color w:val="0F0F0F"/>
          <w:szCs w:val="24"/>
        </w:rPr>
        <w:t xml:space="preserve"> Furthermore, Matthew cites or alludes to the Old Testament at least sixty-five times—the same Old Testament that we can examine today as we evaluate these claims</w:t>
      </w:r>
      <w:r w:rsidR="001A2179" w:rsidRPr="006B6D18">
        <w:rPr>
          <w:rFonts w:asciiTheme="minorHAnsi" w:hAnsiTheme="minorHAnsi" w:cs="Times New Roman"/>
          <w:color w:val="0F0F0F"/>
          <w:szCs w:val="24"/>
        </w:rPr>
        <w:t>, just</w:t>
      </w:r>
      <w:r w:rsidR="00421ACC" w:rsidRPr="006B6D18">
        <w:rPr>
          <w:rFonts w:asciiTheme="minorHAnsi" w:hAnsiTheme="minorHAnsi" w:cs="Times New Roman"/>
          <w:color w:val="0F0F0F"/>
          <w:szCs w:val="24"/>
        </w:rPr>
        <w:t xml:space="preserve"> </w:t>
      </w:r>
      <w:r w:rsidR="00957DC7" w:rsidRPr="006B6D18">
        <w:rPr>
          <w:rFonts w:asciiTheme="minorHAnsi" w:hAnsiTheme="minorHAnsi" w:cs="Times New Roman"/>
          <w:color w:val="0F0F0F"/>
          <w:szCs w:val="24"/>
        </w:rPr>
        <w:t>like the Bereans (</w:t>
      </w:r>
      <w:r w:rsidR="00081006" w:rsidRPr="006B6D18">
        <w:rPr>
          <w:rFonts w:asciiTheme="minorHAnsi" w:hAnsiTheme="minorHAnsi" w:cs="Times New Roman"/>
          <w:color w:val="0F0F0F"/>
          <w:szCs w:val="24"/>
        </w:rPr>
        <w:t>Acts 17:11)</w:t>
      </w:r>
      <w:r w:rsidR="00590908" w:rsidRPr="006B6D18">
        <w:rPr>
          <w:rFonts w:asciiTheme="minorHAnsi" w:hAnsiTheme="minorHAnsi" w:cs="Times New Roman"/>
          <w:color w:val="0F0F0F"/>
          <w:szCs w:val="24"/>
        </w:rPr>
        <w:t>.</w:t>
      </w:r>
    </w:p>
    <w:p w14:paraId="23456E63" w14:textId="77777777" w:rsidR="00AF7B38" w:rsidRPr="006B6D18" w:rsidRDefault="00AF7B38" w:rsidP="00093EB2">
      <w:pPr>
        <w:spacing w:after="0" w:line="240" w:lineRule="auto"/>
        <w:jc w:val="both"/>
        <w:rPr>
          <w:rFonts w:asciiTheme="minorHAnsi" w:hAnsiTheme="minorHAnsi" w:cs="Times New Roman"/>
          <w:color w:val="0F0F0F"/>
          <w:szCs w:val="24"/>
        </w:rPr>
      </w:pPr>
    </w:p>
    <w:p w14:paraId="70A3C491" w14:textId="0D39E530" w:rsidR="008B5DB2" w:rsidRPr="006B6D18" w:rsidRDefault="00B80DF3" w:rsidP="00093EB2">
      <w:pPr>
        <w:spacing w:after="0" w:line="240" w:lineRule="auto"/>
        <w:jc w:val="both"/>
        <w:rPr>
          <w:rFonts w:asciiTheme="minorHAnsi" w:hAnsiTheme="minorHAnsi" w:cs="Times New Roman"/>
          <w:color w:val="0F0F0F"/>
          <w:szCs w:val="24"/>
        </w:rPr>
      </w:pPr>
      <w:r w:rsidRPr="006B6D18">
        <w:rPr>
          <w:rFonts w:asciiTheme="minorHAnsi" w:hAnsiTheme="minorHAnsi" w:cs="Times New Roman"/>
          <w:color w:val="0F0F0F"/>
          <w:szCs w:val="24"/>
        </w:rPr>
        <w:t xml:space="preserve">Many believers share our view that human beings, created in the image of God, are rational and capable of evaluating evidence and making choices </w:t>
      </w:r>
      <w:proofErr w:type="gramStart"/>
      <w:r w:rsidRPr="006B6D18">
        <w:rPr>
          <w:rFonts w:asciiTheme="minorHAnsi" w:hAnsiTheme="minorHAnsi" w:cs="Times New Roman"/>
          <w:color w:val="0F0F0F"/>
          <w:szCs w:val="24"/>
        </w:rPr>
        <w:t>on the basis of</w:t>
      </w:r>
      <w:proofErr w:type="gramEnd"/>
      <w:r w:rsidRPr="006B6D18">
        <w:rPr>
          <w:rFonts w:asciiTheme="minorHAnsi" w:hAnsiTheme="minorHAnsi" w:cs="Times New Roman"/>
          <w:color w:val="0F0F0F"/>
          <w:szCs w:val="24"/>
        </w:rPr>
        <w:t xml:space="preserve"> that evidence. We are convinced that it is possible to vindicate and defend the faith, refute opposing beliefs, and persuade those with receptive hearts to place their trust in the living God. But we must stress this point: apologetics does not rival God. It is His powerful word that opens the heart (Rom 1:16; </w:t>
      </w:r>
      <w:proofErr w:type="spellStart"/>
      <w:r w:rsidRPr="006B6D18">
        <w:rPr>
          <w:rFonts w:asciiTheme="minorHAnsi" w:hAnsiTheme="minorHAnsi" w:cs="Times New Roman"/>
          <w:color w:val="0F0F0F"/>
          <w:szCs w:val="24"/>
        </w:rPr>
        <w:t>Heb</w:t>
      </w:r>
      <w:proofErr w:type="spellEnd"/>
      <w:r w:rsidRPr="006B6D18">
        <w:rPr>
          <w:rFonts w:asciiTheme="minorHAnsi" w:hAnsiTheme="minorHAnsi" w:cs="Times New Roman"/>
          <w:color w:val="0F0F0F"/>
          <w:szCs w:val="24"/>
        </w:rPr>
        <w:t xml:space="preserve"> 4:12–13), and it is the tools He supplies that enable the apologist to present the truth clearly and deal with misconceptions. </w:t>
      </w:r>
      <w:r w:rsidR="008B5DB2" w:rsidRPr="006B6D18">
        <w:rPr>
          <w:rFonts w:asciiTheme="minorHAnsi" w:hAnsiTheme="minorHAnsi" w:cs="Times New Roman"/>
          <w:color w:val="0F0F0F"/>
          <w:szCs w:val="24"/>
        </w:rPr>
        <w:t xml:space="preserve">Divine power and human reasoning are not competitors. </w:t>
      </w:r>
    </w:p>
    <w:p w14:paraId="0FFC00C9" w14:textId="1A667281" w:rsidR="001A20BF" w:rsidRPr="006B6D18" w:rsidRDefault="00B80DF3" w:rsidP="00093EB2">
      <w:pPr>
        <w:spacing w:after="0" w:line="240" w:lineRule="auto"/>
        <w:jc w:val="both"/>
        <w:rPr>
          <w:rFonts w:asciiTheme="minorHAnsi" w:hAnsiTheme="minorHAnsi" w:cs="Times New Roman"/>
          <w:color w:val="0F0F0F"/>
          <w:szCs w:val="24"/>
        </w:rPr>
      </w:pPr>
      <w:r w:rsidRPr="006B6D18">
        <w:rPr>
          <w:rFonts w:asciiTheme="minorHAnsi" w:hAnsiTheme="minorHAnsi" w:cs="Times New Roman"/>
          <w:color w:val="0F0F0F"/>
          <w:szCs w:val="24"/>
        </w:rPr>
        <w:t>Peter urges his brethren: “but sanctify Christ as Lord in your hearts, always being ready to make a defence (apologia) to everyone who asks you to give an account for the hope that is in you, yet with gentleness and reverence” (1 Pet 3:15). We honour our Lord when we do so</w:t>
      </w:r>
      <w:r w:rsidR="00ED19F3" w:rsidRPr="006B6D18">
        <w:rPr>
          <w:rFonts w:asciiTheme="minorHAnsi" w:hAnsiTheme="minorHAnsi" w:cs="Times New Roman"/>
          <w:color w:val="0F0F0F"/>
          <w:szCs w:val="24"/>
        </w:rPr>
        <w:t>.</w:t>
      </w:r>
    </w:p>
    <w:p w14:paraId="0EFAFBCA" w14:textId="77777777" w:rsidR="00A74E9F" w:rsidRPr="006B6D18" w:rsidRDefault="00A74E9F" w:rsidP="00A74E9F">
      <w:pPr>
        <w:spacing w:after="0" w:line="240" w:lineRule="auto"/>
        <w:jc w:val="right"/>
        <w:rPr>
          <w:rFonts w:asciiTheme="minorHAnsi" w:hAnsiTheme="minorHAnsi" w:cs="Times New Roman"/>
          <w:color w:val="0F0F0F"/>
          <w:szCs w:val="24"/>
        </w:rPr>
      </w:pPr>
      <w:r w:rsidRPr="006B6D18">
        <w:rPr>
          <w:rFonts w:asciiTheme="minorHAnsi" w:hAnsiTheme="minorHAnsi" w:cs="Times New Roman"/>
          <w:color w:val="0F0F0F"/>
          <w:szCs w:val="24"/>
        </w:rPr>
        <w:t xml:space="preserve">Rex </w:t>
      </w:r>
    </w:p>
    <w:p w14:paraId="44FB0496" w14:textId="77777777" w:rsidR="00A74E9F" w:rsidRPr="006B6D18" w:rsidRDefault="00A74E9F" w:rsidP="00A74E9F">
      <w:pPr>
        <w:spacing w:after="0" w:line="240" w:lineRule="auto"/>
        <w:jc w:val="both"/>
        <w:rPr>
          <w:rFonts w:asciiTheme="minorHAnsi" w:hAnsiTheme="minorHAnsi" w:cs="Times New Roman"/>
          <w:color w:val="0F0F0F"/>
          <w:szCs w:val="24"/>
        </w:rPr>
      </w:pPr>
    </w:p>
    <w:p w14:paraId="4D9A3EA3" w14:textId="3C272674" w:rsidR="00A74E9F" w:rsidRPr="006B6D18" w:rsidRDefault="00A74E9F" w:rsidP="00A74E9F">
      <w:pPr>
        <w:spacing w:after="0" w:line="240" w:lineRule="auto"/>
        <w:jc w:val="both"/>
        <w:rPr>
          <w:rFonts w:asciiTheme="minorHAnsi" w:hAnsiTheme="minorHAnsi" w:cs="Times New Roman"/>
          <w:color w:val="0F0F0F"/>
          <w:szCs w:val="24"/>
        </w:rPr>
      </w:pPr>
      <w:r w:rsidRPr="006B6D18">
        <w:rPr>
          <w:rFonts w:asciiTheme="minorHAnsi" w:hAnsiTheme="minorHAnsi" w:cs="Times New Roman"/>
          <w:color w:val="0F0F0F"/>
          <w:szCs w:val="24"/>
        </w:rPr>
        <w:t xml:space="preserve">Christians meeting at 360 </w:t>
      </w:r>
      <w:proofErr w:type="spellStart"/>
      <w:r w:rsidRPr="006B6D18">
        <w:rPr>
          <w:rFonts w:asciiTheme="minorHAnsi" w:hAnsiTheme="minorHAnsi" w:cs="Times New Roman"/>
          <w:color w:val="0F0F0F"/>
          <w:szCs w:val="24"/>
        </w:rPr>
        <w:t>Peachgrove</w:t>
      </w:r>
      <w:proofErr w:type="spellEnd"/>
      <w:r w:rsidRPr="006B6D18">
        <w:rPr>
          <w:rFonts w:asciiTheme="minorHAnsi" w:hAnsiTheme="minorHAnsi" w:cs="Times New Roman"/>
          <w:color w:val="0F0F0F"/>
          <w:szCs w:val="24"/>
        </w:rPr>
        <w:t xml:space="preserve"> Road Hamilton</w:t>
      </w:r>
    </w:p>
    <w:p w14:paraId="3161CD48" w14:textId="77777777" w:rsidR="00A74E9F" w:rsidRPr="006B6D18" w:rsidRDefault="00A74E9F" w:rsidP="00A74E9F">
      <w:pPr>
        <w:spacing w:after="0" w:line="240" w:lineRule="auto"/>
        <w:jc w:val="both"/>
        <w:rPr>
          <w:rFonts w:asciiTheme="minorHAnsi" w:hAnsiTheme="minorHAnsi" w:cs="Times New Roman"/>
          <w:color w:val="0F0F0F"/>
          <w:szCs w:val="24"/>
        </w:rPr>
      </w:pPr>
    </w:p>
    <w:p w14:paraId="100D0360" w14:textId="77777777" w:rsidR="00A74E9F" w:rsidRPr="006B6D18" w:rsidRDefault="00A74E9F" w:rsidP="00A74E9F">
      <w:pPr>
        <w:spacing w:after="0" w:line="240" w:lineRule="auto"/>
        <w:jc w:val="both"/>
        <w:rPr>
          <w:rFonts w:asciiTheme="minorHAnsi" w:hAnsiTheme="minorHAnsi" w:cs="Times New Roman"/>
          <w:color w:val="0F0F0F"/>
          <w:szCs w:val="24"/>
        </w:rPr>
      </w:pPr>
      <w:r w:rsidRPr="006B6D18">
        <w:rPr>
          <w:rFonts w:asciiTheme="minorHAnsi" w:hAnsiTheme="minorHAnsi" w:cs="Times New Roman"/>
          <w:color w:val="0F0F0F"/>
          <w:szCs w:val="24"/>
        </w:rPr>
        <w:t>Please accept our invitation to attend worship services with us at the times and location advertised. Under What to Expect we explain format and give Scriptural explanations for our practices.</w:t>
      </w:r>
    </w:p>
    <w:p w14:paraId="6E8ADA3C" w14:textId="77777777" w:rsidR="001A20BF" w:rsidRPr="006B6D18" w:rsidRDefault="001A20BF" w:rsidP="00093EB2">
      <w:pPr>
        <w:spacing w:after="0" w:line="240" w:lineRule="auto"/>
        <w:jc w:val="both"/>
        <w:rPr>
          <w:rFonts w:asciiTheme="minorHAnsi" w:hAnsiTheme="minorHAnsi" w:cs="Times New Roman"/>
          <w:color w:val="0F0F0F"/>
          <w:szCs w:val="24"/>
        </w:rPr>
      </w:pPr>
    </w:p>
    <w:p w14:paraId="29EEBF29" w14:textId="77777777" w:rsidR="001A20BF" w:rsidRPr="006B6D18" w:rsidRDefault="001A20BF" w:rsidP="00093EB2">
      <w:pPr>
        <w:spacing w:after="0" w:line="240" w:lineRule="auto"/>
        <w:jc w:val="both"/>
        <w:rPr>
          <w:rFonts w:asciiTheme="minorHAnsi" w:hAnsiTheme="minorHAnsi" w:cs="Times New Roman"/>
          <w:color w:val="0F0F0F"/>
          <w:szCs w:val="24"/>
        </w:rPr>
      </w:pPr>
    </w:p>
    <w:p w14:paraId="7359D98B" w14:textId="77777777" w:rsidR="001A20BF" w:rsidRPr="006B6D18" w:rsidRDefault="001A20BF" w:rsidP="00093EB2">
      <w:pPr>
        <w:spacing w:after="0" w:line="240" w:lineRule="auto"/>
        <w:jc w:val="both"/>
        <w:rPr>
          <w:rFonts w:asciiTheme="minorHAnsi" w:hAnsiTheme="minorHAnsi" w:cs="Times New Roman"/>
          <w:color w:val="0F0F0F"/>
          <w:szCs w:val="24"/>
        </w:rPr>
      </w:pPr>
    </w:p>
    <w:p w14:paraId="488D7681" w14:textId="77777777" w:rsidR="001A20BF" w:rsidRPr="006B6D18" w:rsidRDefault="001A20BF" w:rsidP="00093EB2">
      <w:pPr>
        <w:spacing w:after="0" w:line="240" w:lineRule="auto"/>
        <w:jc w:val="both"/>
        <w:rPr>
          <w:rFonts w:asciiTheme="minorHAnsi" w:hAnsiTheme="minorHAnsi" w:cs="Times New Roman"/>
          <w:color w:val="0F0F0F"/>
          <w:szCs w:val="24"/>
        </w:rPr>
      </w:pPr>
    </w:p>
    <w:p w14:paraId="2BB16006" w14:textId="77777777" w:rsidR="001A20BF" w:rsidRPr="006B6D18" w:rsidRDefault="001A20BF" w:rsidP="00093EB2">
      <w:pPr>
        <w:spacing w:after="0" w:line="240" w:lineRule="auto"/>
        <w:jc w:val="both"/>
        <w:rPr>
          <w:rFonts w:asciiTheme="minorHAnsi" w:hAnsiTheme="minorHAnsi" w:cs="Times New Roman"/>
          <w:color w:val="0F0F0F"/>
          <w:szCs w:val="24"/>
        </w:rPr>
      </w:pPr>
    </w:p>
    <w:p w14:paraId="02C7546A" w14:textId="77777777" w:rsidR="00590908" w:rsidRPr="006B6D18" w:rsidRDefault="00590908" w:rsidP="00093EB2">
      <w:pPr>
        <w:spacing w:after="0" w:line="240" w:lineRule="auto"/>
        <w:jc w:val="both"/>
        <w:rPr>
          <w:rFonts w:asciiTheme="minorHAnsi" w:hAnsiTheme="minorHAnsi" w:cs="Times New Roman"/>
          <w:color w:val="0F0F0F"/>
          <w:szCs w:val="24"/>
        </w:rPr>
      </w:pPr>
    </w:p>
    <w:sectPr w:rsidR="00590908" w:rsidRPr="006B6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3F02" w14:textId="77777777" w:rsidR="00704A9F" w:rsidRDefault="00704A9F" w:rsidP="003174D0">
      <w:pPr>
        <w:spacing w:after="0" w:line="240" w:lineRule="auto"/>
      </w:pPr>
      <w:r>
        <w:separator/>
      </w:r>
    </w:p>
  </w:endnote>
  <w:endnote w:type="continuationSeparator" w:id="0">
    <w:p w14:paraId="7D5F3C14" w14:textId="77777777" w:rsidR="00704A9F" w:rsidRDefault="00704A9F" w:rsidP="0031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EA74B" w14:textId="77777777" w:rsidR="00704A9F" w:rsidRDefault="00704A9F" w:rsidP="003174D0">
      <w:pPr>
        <w:spacing w:after="0" w:line="240" w:lineRule="auto"/>
      </w:pPr>
      <w:r>
        <w:separator/>
      </w:r>
    </w:p>
  </w:footnote>
  <w:footnote w:type="continuationSeparator" w:id="0">
    <w:p w14:paraId="129E5354" w14:textId="77777777" w:rsidR="00704A9F" w:rsidRDefault="00704A9F" w:rsidP="003174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F3D5C"/>
    <w:multiLevelType w:val="multilevel"/>
    <w:tmpl w:val="411E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5C1E38"/>
    <w:multiLevelType w:val="multilevel"/>
    <w:tmpl w:val="11E8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9577E7"/>
    <w:multiLevelType w:val="hybridMultilevel"/>
    <w:tmpl w:val="F6F2347A"/>
    <w:lvl w:ilvl="0" w:tplc="91AAAFF2">
      <w:start w:val="1"/>
      <w:numFmt w:val="bullet"/>
      <w:pStyle w:val="ListBullet"/>
      <w:lvlText w:val=""/>
      <w:lvlJc w:val="left"/>
      <w:pPr>
        <w:tabs>
          <w:tab w:val="num" w:pos="924"/>
        </w:tabs>
        <w:ind w:left="924" w:hanging="357"/>
      </w:pPr>
      <w:rPr>
        <w:rFonts w:ascii="Symbol" w:hAnsi="Symbol" w:hint="default"/>
      </w:rPr>
    </w:lvl>
    <w:lvl w:ilvl="1" w:tplc="F17239B4">
      <w:start w:val="1"/>
      <w:numFmt w:val="bullet"/>
      <w:lvlText w:val=""/>
      <w:lvlJc w:val="left"/>
      <w:pPr>
        <w:tabs>
          <w:tab w:val="num" w:pos="1647"/>
        </w:tabs>
        <w:ind w:left="1647" w:hanging="567"/>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746FF2"/>
    <w:multiLevelType w:val="multilevel"/>
    <w:tmpl w:val="D49038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A5762A8"/>
    <w:multiLevelType w:val="multilevel"/>
    <w:tmpl w:val="2820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BC29CF"/>
    <w:multiLevelType w:val="multilevel"/>
    <w:tmpl w:val="6FD0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2440917">
    <w:abstractNumId w:val="1"/>
  </w:num>
  <w:num w:numId="2" w16cid:durableId="187379633">
    <w:abstractNumId w:val="3"/>
  </w:num>
  <w:num w:numId="3" w16cid:durableId="130364083">
    <w:abstractNumId w:val="5"/>
  </w:num>
  <w:num w:numId="4" w16cid:durableId="1425957210">
    <w:abstractNumId w:val="0"/>
  </w:num>
  <w:num w:numId="5" w16cid:durableId="1674725002">
    <w:abstractNumId w:val="4"/>
  </w:num>
  <w:num w:numId="6" w16cid:durableId="177889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71"/>
    <w:rsid w:val="00000AF7"/>
    <w:rsid w:val="00000D1F"/>
    <w:rsid w:val="00001BD9"/>
    <w:rsid w:val="00011582"/>
    <w:rsid w:val="00013D4D"/>
    <w:rsid w:val="00015180"/>
    <w:rsid w:val="0001638E"/>
    <w:rsid w:val="00017552"/>
    <w:rsid w:val="0002203D"/>
    <w:rsid w:val="000225D5"/>
    <w:rsid w:val="00025BE1"/>
    <w:rsid w:val="00027866"/>
    <w:rsid w:val="000305B6"/>
    <w:rsid w:val="000319D0"/>
    <w:rsid w:val="00031AA8"/>
    <w:rsid w:val="00033663"/>
    <w:rsid w:val="00034500"/>
    <w:rsid w:val="00035BCB"/>
    <w:rsid w:val="00037C18"/>
    <w:rsid w:val="00041FDB"/>
    <w:rsid w:val="00042177"/>
    <w:rsid w:val="00046322"/>
    <w:rsid w:val="00064CF0"/>
    <w:rsid w:val="000703A6"/>
    <w:rsid w:val="00081006"/>
    <w:rsid w:val="00087344"/>
    <w:rsid w:val="00091C9F"/>
    <w:rsid w:val="00093EB2"/>
    <w:rsid w:val="00095941"/>
    <w:rsid w:val="000A1323"/>
    <w:rsid w:val="000A2A56"/>
    <w:rsid w:val="000B171E"/>
    <w:rsid w:val="000B37ED"/>
    <w:rsid w:val="000B51F3"/>
    <w:rsid w:val="000C35C5"/>
    <w:rsid w:val="000D1919"/>
    <w:rsid w:val="000E0FD0"/>
    <w:rsid w:val="000E198C"/>
    <w:rsid w:val="000E52F6"/>
    <w:rsid w:val="000F1179"/>
    <w:rsid w:val="000F3EB6"/>
    <w:rsid w:val="000F50E3"/>
    <w:rsid w:val="000F6951"/>
    <w:rsid w:val="00102B73"/>
    <w:rsid w:val="00105D3E"/>
    <w:rsid w:val="001065A1"/>
    <w:rsid w:val="00107EA0"/>
    <w:rsid w:val="00110DA4"/>
    <w:rsid w:val="00116E7E"/>
    <w:rsid w:val="00117239"/>
    <w:rsid w:val="00117928"/>
    <w:rsid w:val="00121126"/>
    <w:rsid w:val="001227B8"/>
    <w:rsid w:val="0012403A"/>
    <w:rsid w:val="0012419A"/>
    <w:rsid w:val="001305C3"/>
    <w:rsid w:val="00154DC0"/>
    <w:rsid w:val="00155558"/>
    <w:rsid w:val="00160215"/>
    <w:rsid w:val="001609DE"/>
    <w:rsid w:val="00161962"/>
    <w:rsid w:val="001645EB"/>
    <w:rsid w:val="0016613E"/>
    <w:rsid w:val="001703CE"/>
    <w:rsid w:val="00173FFF"/>
    <w:rsid w:val="00174117"/>
    <w:rsid w:val="00180BC9"/>
    <w:rsid w:val="001813F7"/>
    <w:rsid w:val="0018213E"/>
    <w:rsid w:val="001921B8"/>
    <w:rsid w:val="00193070"/>
    <w:rsid w:val="001A20BF"/>
    <w:rsid w:val="001A2131"/>
    <w:rsid w:val="001A2179"/>
    <w:rsid w:val="001A2388"/>
    <w:rsid w:val="001A2B73"/>
    <w:rsid w:val="001A5A2A"/>
    <w:rsid w:val="001A6E8E"/>
    <w:rsid w:val="001B06AB"/>
    <w:rsid w:val="001C64C3"/>
    <w:rsid w:val="001D057B"/>
    <w:rsid w:val="001D3F76"/>
    <w:rsid w:val="001D47EF"/>
    <w:rsid w:val="001E20CA"/>
    <w:rsid w:val="001E7428"/>
    <w:rsid w:val="001F22DC"/>
    <w:rsid w:val="001F3504"/>
    <w:rsid w:val="001F48BF"/>
    <w:rsid w:val="001F64F0"/>
    <w:rsid w:val="002016DA"/>
    <w:rsid w:val="002056BE"/>
    <w:rsid w:val="00205C4E"/>
    <w:rsid w:val="00206B68"/>
    <w:rsid w:val="002324CD"/>
    <w:rsid w:val="00232C56"/>
    <w:rsid w:val="00235B0A"/>
    <w:rsid w:val="002366F6"/>
    <w:rsid w:val="002410C3"/>
    <w:rsid w:val="00245193"/>
    <w:rsid w:val="002506D9"/>
    <w:rsid w:val="00252F5A"/>
    <w:rsid w:val="002645AD"/>
    <w:rsid w:val="002677EB"/>
    <w:rsid w:val="002718B5"/>
    <w:rsid w:val="00273290"/>
    <w:rsid w:val="002804F2"/>
    <w:rsid w:val="00280679"/>
    <w:rsid w:val="0028430E"/>
    <w:rsid w:val="00285248"/>
    <w:rsid w:val="002854B7"/>
    <w:rsid w:val="002863B1"/>
    <w:rsid w:val="002870AC"/>
    <w:rsid w:val="00296A5A"/>
    <w:rsid w:val="002A2911"/>
    <w:rsid w:val="002B15CA"/>
    <w:rsid w:val="002B3022"/>
    <w:rsid w:val="002B6D87"/>
    <w:rsid w:val="002B74AE"/>
    <w:rsid w:val="002C2B97"/>
    <w:rsid w:val="002C3906"/>
    <w:rsid w:val="002C39AD"/>
    <w:rsid w:val="002C42B6"/>
    <w:rsid w:val="002D569B"/>
    <w:rsid w:val="002D6343"/>
    <w:rsid w:val="002E0EA3"/>
    <w:rsid w:val="002E54E9"/>
    <w:rsid w:val="002F70AE"/>
    <w:rsid w:val="002F7CC9"/>
    <w:rsid w:val="0030633D"/>
    <w:rsid w:val="00307054"/>
    <w:rsid w:val="00307368"/>
    <w:rsid w:val="00312924"/>
    <w:rsid w:val="00312B92"/>
    <w:rsid w:val="003170B4"/>
    <w:rsid w:val="003174D0"/>
    <w:rsid w:val="003219A7"/>
    <w:rsid w:val="00321E26"/>
    <w:rsid w:val="00322964"/>
    <w:rsid w:val="00331D59"/>
    <w:rsid w:val="00336BF2"/>
    <w:rsid w:val="003373CD"/>
    <w:rsid w:val="003377B2"/>
    <w:rsid w:val="003418FD"/>
    <w:rsid w:val="003435A6"/>
    <w:rsid w:val="00350A69"/>
    <w:rsid w:val="0035113C"/>
    <w:rsid w:val="003625AD"/>
    <w:rsid w:val="00363E4A"/>
    <w:rsid w:val="003658B2"/>
    <w:rsid w:val="0036615E"/>
    <w:rsid w:val="003827D2"/>
    <w:rsid w:val="0038539E"/>
    <w:rsid w:val="00385665"/>
    <w:rsid w:val="00387D1E"/>
    <w:rsid w:val="00396271"/>
    <w:rsid w:val="00396370"/>
    <w:rsid w:val="003A3FB2"/>
    <w:rsid w:val="003A7453"/>
    <w:rsid w:val="003C0589"/>
    <w:rsid w:val="003D0C66"/>
    <w:rsid w:val="003D2AC5"/>
    <w:rsid w:val="003D468D"/>
    <w:rsid w:val="003D7EEF"/>
    <w:rsid w:val="003E240A"/>
    <w:rsid w:val="003E31FC"/>
    <w:rsid w:val="003E59CB"/>
    <w:rsid w:val="00400079"/>
    <w:rsid w:val="00400B96"/>
    <w:rsid w:val="004041F2"/>
    <w:rsid w:val="00421ACC"/>
    <w:rsid w:val="00424C89"/>
    <w:rsid w:val="00425438"/>
    <w:rsid w:val="00430312"/>
    <w:rsid w:val="00430353"/>
    <w:rsid w:val="00431EC5"/>
    <w:rsid w:val="00432101"/>
    <w:rsid w:val="004326C9"/>
    <w:rsid w:val="00442A88"/>
    <w:rsid w:val="004508C2"/>
    <w:rsid w:val="00454A69"/>
    <w:rsid w:val="00456F19"/>
    <w:rsid w:val="00457023"/>
    <w:rsid w:val="00465124"/>
    <w:rsid w:val="00467EF4"/>
    <w:rsid w:val="00471AC2"/>
    <w:rsid w:val="00475BE4"/>
    <w:rsid w:val="004857EE"/>
    <w:rsid w:val="004A08F2"/>
    <w:rsid w:val="004A6326"/>
    <w:rsid w:val="004A7987"/>
    <w:rsid w:val="004B29D8"/>
    <w:rsid w:val="004D280F"/>
    <w:rsid w:val="004D7DEF"/>
    <w:rsid w:val="004E6C04"/>
    <w:rsid w:val="004F3EC5"/>
    <w:rsid w:val="004F5309"/>
    <w:rsid w:val="00501277"/>
    <w:rsid w:val="00502E99"/>
    <w:rsid w:val="00504712"/>
    <w:rsid w:val="00505229"/>
    <w:rsid w:val="00505E01"/>
    <w:rsid w:val="00507FED"/>
    <w:rsid w:val="00516DFB"/>
    <w:rsid w:val="00525E8A"/>
    <w:rsid w:val="00526D3B"/>
    <w:rsid w:val="0053558E"/>
    <w:rsid w:val="0054214C"/>
    <w:rsid w:val="00545420"/>
    <w:rsid w:val="00554708"/>
    <w:rsid w:val="00557DD0"/>
    <w:rsid w:val="00562740"/>
    <w:rsid w:val="00565898"/>
    <w:rsid w:val="00570B9A"/>
    <w:rsid w:val="005750F0"/>
    <w:rsid w:val="00576EE3"/>
    <w:rsid w:val="0058356F"/>
    <w:rsid w:val="00586366"/>
    <w:rsid w:val="00587ACF"/>
    <w:rsid w:val="00590908"/>
    <w:rsid w:val="00591BF9"/>
    <w:rsid w:val="005939B6"/>
    <w:rsid w:val="00595B67"/>
    <w:rsid w:val="00596AB7"/>
    <w:rsid w:val="005A4A3C"/>
    <w:rsid w:val="005B0F1A"/>
    <w:rsid w:val="005B1CD2"/>
    <w:rsid w:val="005C5319"/>
    <w:rsid w:val="005D267A"/>
    <w:rsid w:val="005D6102"/>
    <w:rsid w:val="005E263A"/>
    <w:rsid w:val="005E308F"/>
    <w:rsid w:val="005E336D"/>
    <w:rsid w:val="005E48A4"/>
    <w:rsid w:val="005E55A0"/>
    <w:rsid w:val="005E7850"/>
    <w:rsid w:val="005F5244"/>
    <w:rsid w:val="0060175E"/>
    <w:rsid w:val="00607769"/>
    <w:rsid w:val="00611B4F"/>
    <w:rsid w:val="006271FE"/>
    <w:rsid w:val="00632ED0"/>
    <w:rsid w:val="00643A28"/>
    <w:rsid w:val="00647C92"/>
    <w:rsid w:val="00647D29"/>
    <w:rsid w:val="00651485"/>
    <w:rsid w:val="00651D06"/>
    <w:rsid w:val="00657305"/>
    <w:rsid w:val="00662027"/>
    <w:rsid w:val="00663FCD"/>
    <w:rsid w:val="00665BBE"/>
    <w:rsid w:val="006825F4"/>
    <w:rsid w:val="00682A1A"/>
    <w:rsid w:val="00684983"/>
    <w:rsid w:val="0069189E"/>
    <w:rsid w:val="00693045"/>
    <w:rsid w:val="006941EC"/>
    <w:rsid w:val="006A4E73"/>
    <w:rsid w:val="006B299B"/>
    <w:rsid w:val="006B3692"/>
    <w:rsid w:val="006B3BAE"/>
    <w:rsid w:val="006B6D18"/>
    <w:rsid w:val="006B7123"/>
    <w:rsid w:val="006C7587"/>
    <w:rsid w:val="006D34CC"/>
    <w:rsid w:val="006E012F"/>
    <w:rsid w:val="006E2CB1"/>
    <w:rsid w:val="006E3031"/>
    <w:rsid w:val="006E6F33"/>
    <w:rsid w:val="006E727D"/>
    <w:rsid w:val="006F210D"/>
    <w:rsid w:val="006F3199"/>
    <w:rsid w:val="006F3F95"/>
    <w:rsid w:val="006F699C"/>
    <w:rsid w:val="007040D8"/>
    <w:rsid w:val="00704A9F"/>
    <w:rsid w:val="007075DD"/>
    <w:rsid w:val="00713CF4"/>
    <w:rsid w:val="00722125"/>
    <w:rsid w:val="0072786C"/>
    <w:rsid w:val="00731ED8"/>
    <w:rsid w:val="00732F50"/>
    <w:rsid w:val="007331AC"/>
    <w:rsid w:val="00746FB2"/>
    <w:rsid w:val="0075173C"/>
    <w:rsid w:val="007651D2"/>
    <w:rsid w:val="00765A81"/>
    <w:rsid w:val="007672D3"/>
    <w:rsid w:val="007726DB"/>
    <w:rsid w:val="00774B7E"/>
    <w:rsid w:val="00783ECA"/>
    <w:rsid w:val="00785DD3"/>
    <w:rsid w:val="00792E52"/>
    <w:rsid w:val="007A3B7A"/>
    <w:rsid w:val="007B1662"/>
    <w:rsid w:val="007B3FE3"/>
    <w:rsid w:val="007C7086"/>
    <w:rsid w:val="007D5C95"/>
    <w:rsid w:val="007D6238"/>
    <w:rsid w:val="007E2051"/>
    <w:rsid w:val="007E26E4"/>
    <w:rsid w:val="007E6861"/>
    <w:rsid w:val="007F253F"/>
    <w:rsid w:val="007F35FA"/>
    <w:rsid w:val="007F7C66"/>
    <w:rsid w:val="00805DD4"/>
    <w:rsid w:val="008061D2"/>
    <w:rsid w:val="008070DD"/>
    <w:rsid w:val="00810F51"/>
    <w:rsid w:val="00811148"/>
    <w:rsid w:val="00812A50"/>
    <w:rsid w:val="0081587E"/>
    <w:rsid w:val="00816386"/>
    <w:rsid w:val="00817824"/>
    <w:rsid w:val="008201A2"/>
    <w:rsid w:val="00825296"/>
    <w:rsid w:val="008306F7"/>
    <w:rsid w:val="008313C3"/>
    <w:rsid w:val="008370EA"/>
    <w:rsid w:val="008402DF"/>
    <w:rsid w:val="008409FA"/>
    <w:rsid w:val="00843D41"/>
    <w:rsid w:val="00845F1A"/>
    <w:rsid w:val="008569DD"/>
    <w:rsid w:val="0086227A"/>
    <w:rsid w:val="008652F9"/>
    <w:rsid w:val="008653E4"/>
    <w:rsid w:val="0086787B"/>
    <w:rsid w:val="00873DBA"/>
    <w:rsid w:val="008740AB"/>
    <w:rsid w:val="00883A1A"/>
    <w:rsid w:val="00885498"/>
    <w:rsid w:val="0089144B"/>
    <w:rsid w:val="00897E46"/>
    <w:rsid w:val="008A002B"/>
    <w:rsid w:val="008A2B78"/>
    <w:rsid w:val="008A32D1"/>
    <w:rsid w:val="008A7595"/>
    <w:rsid w:val="008A79C1"/>
    <w:rsid w:val="008B3B72"/>
    <w:rsid w:val="008B429B"/>
    <w:rsid w:val="008B5DB2"/>
    <w:rsid w:val="008B658E"/>
    <w:rsid w:val="008B7801"/>
    <w:rsid w:val="008C5521"/>
    <w:rsid w:val="008C6072"/>
    <w:rsid w:val="008C77CA"/>
    <w:rsid w:val="008D388E"/>
    <w:rsid w:val="008D40B2"/>
    <w:rsid w:val="008E1CA9"/>
    <w:rsid w:val="008E74B5"/>
    <w:rsid w:val="008F479A"/>
    <w:rsid w:val="008F47B3"/>
    <w:rsid w:val="00901B8A"/>
    <w:rsid w:val="00903F14"/>
    <w:rsid w:val="00905B1F"/>
    <w:rsid w:val="00906AE3"/>
    <w:rsid w:val="009131EB"/>
    <w:rsid w:val="00913955"/>
    <w:rsid w:val="00915BDA"/>
    <w:rsid w:val="00916C61"/>
    <w:rsid w:val="00917390"/>
    <w:rsid w:val="00917D33"/>
    <w:rsid w:val="00920283"/>
    <w:rsid w:val="00926DF8"/>
    <w:rsid w:val="00927D81"/>
    <w:rsid w:val="0093414B"/>
    <w:rsid w:val="00934E0A"/>
    <w:rsid w:val="00935BA8"/>
    <w:rsid w:val="00941E09"/>
    <w:rsid w:val="009425FD"/>
    <w:rsid w:val="00945747"/>
    <w:rsid w:val="00946973"/>
    <w:rsid w:val="009536EA"/>
    <w:rsid w:val="00957DC7"/>
    <w:rsid w:val="00965F3A"/>
    <w:rsid w:val="00971CBE"/>
    <w:rsid w:val="009747F5"/>
    <w:rsid w:val="00986081"/>
    <w:rsid w:val="009A0A7D"/>
    <w:rsid w:val="009A4786"/>
    <w:rsid w:val="009A67D5"/>
    <w:rsid w:val="009B635E"/>
    <w:rsid w:val="009C3708"/>
    <w:rsid w:val="009C570B"/>
    <w:rsid w:val="009C6A01"/>
    <w:rsid w:val="009D2B04"/>
    <w:rsid w:val="009D344B"/>
    <w:rsid w:val="009D52BA"/>
    <w:rsid w:val="009D5AD0"/>
    <w:rsid w:val="009D5B78"/>
    <w:rsid w:val="009E0060"/>
    <w:rsid w:val="009E3896"/>
    <w:rsid w:val="009E5904"/>
    <w:rsid w:val="009E77D9"/>
    <w:rsid w:val="009F030F"/>
    <w:rsid w:val="009F04F4"/>
    <w:rsid w:val="009F37F4"/>
    <w:rsid w:val="009F5F04"/>
    <w:rsid w:val="009F7459"/>
    <w:rsid w:val="00A036A8"/>
    <w:rsid w:val="00A11943"/>
    <w:rsid w:val="00A2601B"/>
    <w:rsid w:val="00A27C95"/>
    <w:rsid w:val="00A341BD"/>
    <w:rsid w:val="00A41D35"/>
    <w:rsid w:val="00A5358F"/>
    <w:rsid w:val="00A5408E"/>
    <w:rsid w:val="00A638B0"/>
    <w:rsid w:val="00A7214E"/>
    <w:rsid w:val="00A74E9F"/>
    <w:rsid w:val="00A77E06"/>
    <w:rsid w:val="00A80C16"/>
    <w:rsid w:val="00A90366"/>
    <w:rsid w:val="00AC2060"/>
    <w:rsid w:val="00AC478C"/>
    <w:rsid w:val="00AD1B77"/>
    <w:rsid w:val="00AD5E3B"/>
    <w:rsid w:val="00AE28ED"/>
    <w:rsid w:val="00AE3476"/>
    <w:rsid w:val="00AF0A51"/>
    <w:rsid w:val="00AF4BBD"/>
    <w:rsid w:val="00AF5B50"/>
    <w:rsid w:val="00AF7B38"/>
    <w:rsid w:val="00B008B5"/>
    <w:rsid w:val="00B11A4E"/>
    <w:rsid w:val="00B1404D"/>
    <w:rsid w:val="00B25A92"/>
    <w:rsid w:val="00B266DE"/>
    <w:rsid w:val="00B3505E"/>
    <w:rsid w:val="00B40CA2"/>
    <w:rsid w:val="00B42027"/>
    <w:rsid w:val="00B47365"/>
    <w:rsid w:val="00B52050"/>
    <w:rsid w:val="00B5591D"/>
    <w:rsid w:val="00B70B95"/>
    <w:rsid w:val="00B72A70"/>
    <w:rsid w:val="00B76E9B"/>
    <w:rsid w:val="00B80DF3"/>
    <w:rsid w:val="00B858D3"/>
    <w:rsid w:val="00B8646C"/>
    <w:rsid w:val="00B909F8"/>
    <w:rsid w:val="00B932CD"/>
    <w:rsid w:val="00B93443"/>
    <w:rsid w:val="00BA0F63"/>
    <w:rsid w:val="00BA4268"/>
    <w:rsid w:val="00BB1DC9"/>
    <w:rsid w:val="00BB72AB"/>
    <w:rsid w:val="00BC25AA"/>
    <w:rsid w:val="00BC6DCC"/>
    <w:rsid w:val="00BC6E34"/>
    <w:rsid w:val="00BC7128"/>
    <w:rsid w:val="00BC7B76"/>
    <w:rsid w:val="00BD12D9"/>
    <w:rsid w:val="00BD7D73"/>
    <w:rsid w:val="00BE225B"/>
    <w:rsid w:val="00BE287D"/>
    <w:rsid w:val="00BF7423"/>
    <w:rsid w:val="00C1590C"/>
    <w:rsid w:val="00C17112"/>
    <w:rsid w:val="00C25826"/>
    <w:rsid w:val="00C3355F"/>
    <w:rsid w:val="00C35E86"/>
    <w:rsid w:val="00C36568"/>
    <w:rsid w:val="00C41907"/>
    <w:rsid w:val="00C4301D"/>
    <w:rsid w:val="00C44D7B"/>
    <w:rsid w:val="00C50CE5"/>
    <w:rsid w:val="00C5268F"/>
    <w:rsid w:val="00C52CD0"/>
    <w:rsid w:val="00C541D8"/>
    <w:rsid w:val="00C547B4"/>
    <w:rsid w:val="00C549FA"/>
    <w:rsid w:val="00C64DCC"/>
    <w:rsid w:val="00C70D29"/>
    <w:rsid w:val="00C80155"/>
    <w:rsid w:val="00C847CC"/>
    <w:rsid w:val="00C85C2F"/>
    <w:rsid w:val="00C92EBF"/>
    <w:rsid w:val="00C9448A"/>
    <w:rsid w:val="00CA3B86"/>
    <w:rsid w:val="00CA7034"/>
    <w:rsid w:val="00CB001C"/>
    <w:rsid w:val="00CB3D21"/>
    <w:rsid w:val="00CB4444"/>
    <w:rsid w:val="00CC20AE"/>
    <w:rsid w:val="00CD2153"/>
    <w:rsid w:val="00CD3E01"/>
    <w:rsid w:val="00CD6B57"/>
    <w:rsid w:val="00CD7E07"/>
    <w:rsid w:val="00CE1A35"/>
    <w:rsid w:val="00CE3998"/>
    <w:rsid w:val="00CE3D1C"/>
    <w:rsid w:val="00CE7654"/>
    <w:rsid w:val="00CF5097"/>
    <w:rsid w:val="00D01465"/>
    <w:rsid w:val="00D067D5"/>
    <w:rsid w:val="00D14113"/>
    <w:rsid w:val="00D14E80"/>
    <w:rsid w:val="00D20513"/>
    <w:rsid w:val="00D26895"/>
    <w:rsid w:val="00D26962"/>
    <w:rsid w:val="00D316B9"/>
    <w:rsid w:val="00D342ED"/>
    <w:rsid w:val="00D345E1"/>
    <w:rsid w:val="00D3732B"/>
    <w:rsid w:val="00D42787"/>
    <w:rsid w:val="00D45621"/>
    <w:rsid w:val="00D45825"/>
    <w:rsid w:val="00D46DBA"/>
    <w:rsid w:val="00D50A0A"/>
    <w:rsid w:val="00D526F4"/>
    <w:rsid w:val="00D54E0A"/>
    <w:rsid w:val="00D5545A"/>
    <w:rsid w:val="00D570BB"/>
    <w:rsid w:val="00D573BB"/>
    <w:rsid w:val="00D63682"/>
    <w:rsid w:val="00D651C3"/>
    <w:rsid w:val="00D65502"/>
    <w:rsid w:val="00D67AF2"/>
    <w:rsid w:val="00D67F1E"/>
    <w:rsid w:val="00D710D4"/>
    <w:rsid w:val="00D72A19"/>
    <w:rsid w:val="00D73D80"/>
    <w:rsid w:val="00D73ED3"/>
    <w:rsid w:val="00D81050"/>
    <w:rsid w:val="00D84DD4"/>
    <w:rsid w:val="00D85299"/>
    <w:rsid w:val="00D868A1"/>
    <w:rsid w:val="00D93F45"/>
    <w:rsid w:val="00DA3775"/>
    <w:rsid w:val="00DA528D"/>
    <w:rsid w:val="00DA6297"/>
    <w:rsid w:val="00DB5016"/>
    <w:rsid w:val="00DD46C0"/>
    <w:rsid w:val="00DD59DD"/>
    <w:rsid w:val="00DD67A8"/>
    <w:rsid w:val="00DE28F9"/>
    <w:rsid w:val="00DE6BC5"/>
    <w:rsid w:val="00DF0827"/>
    <w:rsid w:val="00DF32D2"/>
    <w:rsid w:val="00DF394D"/>
    <w:rsid w:val="00E0686E"/>
    <w:rsid w:val="00E1346F"/>
    <w:rsid w:val="00E146FC"/>
    <w:rsid w:val="00E152AD"/>
    <w:rsid w:val="00E2010C"/>
    <w:rsid w:val="00E211A5"/>
    <w:rsid w:val="00E22564"/>
    <w:rsid w:val="00E35671"/>
    <w:rsid w:val="00E4178D"/>
    <w:rsid w:val="00E443BF"/>
    <w:rsid w:val="00E46ECE"/>
    <w:rsid w:val="00E5749D"/>
    <w:rsid w:val="00E6651C"/>
    <w:rsid w:val="00E71DE7"/>
    <w:rsid w:val="00E749E7"/>
    <w:rsid w:val="00E769B6"/>
    <w:rsid w:val="00E91A25"/>
    <w:rsid w:val="00E928F9"/>
    <w:rsid w:val="00E95DAD"/>
    <w:rsid w:val="00E975FB"/>
    <w:rsid w:val="00EA072C"/>
    <w:rsid w:val="00EA21DE"/>
    <w:rsid w:val="00EA5F7F"/>
    <w:rsid w:val="00EA6D0C"/>
    <w:rsid w:val="00EB1669"/>
    <w:rsid w:val="00EB1930"/>
    <w:rsid w:val="00EB513F"/>
    <w:rsid w:val="00EB728B"/>
    <w:rsid w:val="00EC23A2"/>
    <w:rsid w:val="00EC4038"/>
    <w:rsid w:val="00EC607F"/>
    <w:rsid w:val="00EC6845"/>
    <w:rsid w:val="00EC7F4C"/>
    <w:rsid w:val="00ED13B8"/>
    <w:rsid w:val="00ED16F7"/>
    <w:rsid w:val="00ED19F3"/>
    <w:rsid w:val="00ED47E4"/>
    <w:rsid w:val="00EE3A33"/>
    <w:rsid w:val="00EE792F"/>
    <w:rsid w:val="00EF0836"/>
    <w:rsid w:val="00EF7455"/>
    <w:rsid w:val="00F0015E"/>
    <w:rsid w:val="00F0295E"/>
    <w:rsid w:val="00F06190"/>
    <w:rsid w:val="00F42B17"/>
    <w:rsid w:val="00F4329E"/>
    <w:rsid w:val="00F454AE"/>
    <w:rsid w:val="00F475BD"/>
    <w:rsid w:val="00F554EE"/>
    <w:rsid w:val="00F55555"/>
    <w:rsid w:val="00F5767B"/>
    <w:rsid w:val="00F63A19"/>
    <w:rsid w:val="00F655DA"/>
    <w:rsid w:val="00F71365"/>
    <w:rsid w:val="00F759DC"/>
    <w:rsid w:val="00F776D0"/>
    <w:rsid w:val="00F81AEA"/>
    <w:rsid w:val="00F83669"/>
    <w:rsid w:val="00F94440"/>
    <w:rsid w:val="00FA1284"/>
    <w:rsid w:val="00FA3358"/>
    <w:rsid w:val="00FB0E91"/>
    <w:rsid w:val="00FB45B1"/>
    <w:rsid w:val="00FB5510"/>
    <w:rsid w:val="00FB7867"/>
    <w:rsid w:val="00FC0B7D"/>
    <w:rsid w:val="00FC4BC7"/>
    <w:rsid w:val="00FD5245"/>
    <w:rsid w:val="00FD6788"/>
    <w:rsid w:val="00FD7D57"/>
    <w:rsid w:val="00FE2544"/>
    <w:rsid w:val="00FE77B8"/>
    <w:rsid w:val="00FF05BE"/>
    <w:rsid w:val="00FF125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5474"/>
  <w15:chartTrackingRefBased/>
  <w15:docId w15:val="{06F98CCB-79A5-4445-92CA-59C7CA5F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E34"/>
  </w:style>
  <w:style w:type="paragraph" w:styleId="Heading1">
    <w:name w:val="heading 1"/>
    <w:basedOn w:val="Normal"/>
    <w:next w:val="Normal"/>
    <w:link w:val="Heading1Char"/>
    <w:uiPriority w:val="9"/>
    <w:qFormat/>
    <w:rsid w:val="00E35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5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67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6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3567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356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567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567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567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5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67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67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3567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356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56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56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56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5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67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6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5671"/>
    <w:pPr>
      <w:spacing w:before="160"/>
      <w:jc w:val="center"/>
    </w:pPr>
    <w:rPr>
      <w:i/>
      <w:iCs/>
      <w:color w:val="404040" w:themeColor="text1" w:themeTint="BF"/>
    </w:rPr>
  </w:style>
  <w:style w:type="character" w:customStyle="1" w:styleId="QuoteChar">
    <w:name w:val="Quote Char"/>
    <w:basedOn w:val="DefaultParagraphFont"/>
    <w:link w:val="Quote"/>
    <w:uiPriority w:val="29"/>
    <w:rsid w:val="00E35671"/>
    <w:rPr>
      <w:i/>
      <w:iCs/>
      <w:color w:val="404040" w:themeColor="text1" w:themeTint="BF"/>
    </w:rPr>
  </w:style>
  <w:style w:type="paragraph" w:styleId="ListParagraph">
    <w:name w:val="List Paragraph"/>
    <w:basedOn w:val="Normal"/>
    <w:uiPriority w:val="34"/>
    <w:qFormat/>
    <w:rsid w:val="00E35671"/>
    <w:pPr>
      <w:ind w:left="720"/>
      <w:contextualSpacing/>
    </w:pPr>
  </w:style>
  <w:style w:type="character" w:styleId="IntenseEmphasis">
    <w:name w:val="Intense Emphasis"/>
    <w:basedOn w:val="DefaultParagraphFont"/>
    <w:uiPriority w:val="21"/>
    <w:qFormat/>
    <w:rsid w:val="00E35671"/>
    <w:rPr>
      <w:i/>
      <w:iCs/>
      <w:color w:val="0F4761" w:themeColor="accent1" w:themeShade="BF"/>
    </w:rPr>
  </w:style>
  <w:style w:type="paragraph" w:styleId="IntenseQuote">
    <w:name w:val="Intense Quote"/>
    <w:basedOn w:val="Normal"/>
    <w:next w:val="Normal"/>
    <w:link w:val="IntenseQuoteChar"/>
    <w:uiPriority w:val="30"/>
    <w:qFormat/>
    <w:rsid w:val="00E35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671"/>
    <w:rPr>
      <w:i/>
      <w:iCs/>
      <w:color w:val="0F4761" w:themeColor="accent1" w:themeShade="BF"/>
    </w:rPr>
  </w:style>
  <w:style w:type="character" w:styleId="IntenseReference">
    <w:name w:val="Intense Reference"/>
    <w:basedOn w:val="DefaultParagraphFont"/>
    <w:uiPriority w:val="32"/>
    <w:qFormat/>
    <w:rsid w:val="00E35671"/>
    <w:rPr>
      <w:b/>
      <w:bCs/>
      <w:smallCaps/>
      <w:color w:val="0F4761" w:themeColor="accent1" w:themeShade="BF"/>
      <w:spacing w:val="5"/>
    </w:rPr>
  </w:style>
  <w:style w:type="character" w:styleId="Hyperlink">
    <w:name w:val="Hyperlink"/>
    <w:basedOn w:val="DefaultParagraphFont"/>
    <w:uiPriority w:val="99"/>
    <w:unhideWhenUsed/>
    <w:rsid w:val="00EB1669"/>
    <w:rPr>
      <w:color w:val="467886" w:themeColor="hyperlink"/>
      <w:u w:val="single"/>
    </w:rPr>
  </w:style>
  <w:style w:type="character" w:styleId="UnresolvedMention">
    <w:name w:val="Unresolved Mention"/>
    <w:basedOn w:val="DefaultParagraphFont"/>
    <w:uiPriority w:val="99"/>
    <w:semiHidden/>
    <w:unhideWhenUsed/>
    <w:rsid w:val="00EB1669"/>
    <w:rPr>
      <w:color w:val="605E5C"/>
      <w:shd w:val="clear" w:color="auto" w:fill="E1DFDD"/>
    </w:rPr>
  </w:style>
  <w:style w:type="paragraph" w:customStyle="1" w:styleId="isselectedend">
    <w:name w:val="isselectedend"/>
    <w:basedOn w:val="Normal"/>
    <w:rsid w:val="0060175E"/>
    <w:pPr>
      <w:spacing w:before="100" w:beforeAutospacing="1" w:after="100" w:afterAutospacing="1" w:line="240" w:lineRule="auto"/>
    </w:pPr>
    <w:rPr>
      <w:rFonts w:eastAsia="Times New Roman" w:cs="Times New Roman"/>
      <w:kern w:val="0"/>
      <w:szCs w:val="24"/>
      <w:lang w:eastAsia="en-NZ"/>
      <w14:ligatures w14:val="none"/>
    </w:rPr>
  </w:style>
  <w:style w:type="character" w:styleId="Emphasis">
    <w:name w:val="Emphasis"/>
    <w:basedOn w:val="DefaultParagraphFont"/>
    <w:uiPriority w:val="20"/>
    <w:qFormat/>
    <w:rsid w:val="0060175E"/>
    <w:rPr>
      <w:i/>
      <w:iCs/>
    </w:rPr>
  </w:style>
  <w:style w:type="paragraph" w:styleId="NormalWeb">
    <w:name w:val="Normal (Web)"/>
    <w:basedOn w:val="Normal"/>
    <w:uiPriority w:val="99"/>
    <w:unhideWhenUsed/>
    <w:rsid w:val="0060175E"/>
    <w:pPr>
      <w:spacing w:before="100" w:beforeAutospacing="1" w:after="100" w:afterAutospacing="1" w:line="240" w:lineRule="auto"/>
    </w:pPr>
    <w:rPr>
      <w:rFonts w:eastAsia="Times New Roman" w:cs="Times New Roman"/>
      <w:kern w:val="0"/>
      <w:szCs w:val="24"/>
      <w:lang w:eastAsia="en-NZ"/>
      <w14:ligatures w14:val="none"/>
    </w:rPr>
  </w:style>
  <w:style w:type="character" w:styleId="Strong">
    <w:name w:val="Strong"/>
    <w:basedOn w:val="DefaultParagraphFont"/>
    <w:uiPriority w:val="22"/>
    <w:qFormat/>
    <w:rsid w:val="0060175E"/>
    <w:rPr>
      <w:b/>
      <w:bCs/>
    </w:rPr>
  </w:style>
  <w:style w:type="paragraph" w:customStyle="1" w:styleId="my-2">
    <w:name w:val="my-2"/>
    <w:basedOn w:val="Normal"/>
    <w:rsid w:val="00E749E7"/>
    <w:pPr>
      <w:spacing w:before="100" w:beforeAutospacing="1" w:after="100" w:afterAutospacing="1" w:line="240" w:lineRule="auto"/>
    </w:pPr>
    <w:rPr>
      <w:rFonts w:eastAsia="Times New Roman" w:cs="Times New Roman"/>
      <w:kern w:val="0"/>
      <w:szCs w:val="24"/>
      <w:lang w:eastAsia="en-NZ"/>
      <w14:ligatures w14:val="none"/>
    </w:rPr>
  </w:style>
  <w:style w:type="paragraph" w:styleId="ListBullet">
    <w:name w:val="List Bullet"/>
    <w:basedOn w:val="List"/>
    <w:link w:val="ListBulletChar"/>
    <w:rsid w:val="002C3906"/>
    <w:pPr>
      <w:numPr>
        <w:numId w:val="6"/>
      </w:numPr>
      <w:tabs>
        <w:tab w:val="clear" w:pos="924"/>
      </w:tabs>
      <w:overflowPunct w:val="0"/>
      <w:autoSpaceDE w:val="0"/>
      <w:autoSpaceDN w:val="0"/>
      <w:adjustRightInd w:val="0"/>
      <w:spacing w:after="0" w:line="240" w:lineRule="auto"/>
      <w:ind w:left="0" w:firstLine="0"/>
      <w:contextualSpacing w:val="0"/>
      <w:jc w:val="both"/>
      <w:textAlignment w:val="baseline"/>
    </w:pPr>
    <w:rPr>
      <w:rFonts w:eastAsia="Times New Roman" w:cs="Times New Roman"/>
      <w:kern w:val="0"/>
      <w:szCs w:val="20"/>
      <w:lang w:val="en-US" w:eastAsia="en-AU"/>
      <w14:ligatures w14:val="none"/>
    </w:rPr>
  </w:style>
  <w:style w:type="character" w:customStyle="1" w:styleId="ListBulletChar">
    <w:name w:val="List Bullet Char"/>
    <w:link w:val="ListBullet"/>
    <w:rsid w:val="002C3906"/>
    <w:rPr>
      <w:rFonts w:eastAsia="Times New Roman" w:cs="Times New Roman"/>
      <w:kern w:val="0"/>
      <w:szCs w:val="20"/>
      <w:lang w:val="en-US" w:eastAsia="en-AU"/>
      <w14:ligatures w14:val="none"/>
    </w:rPr>
  </w:style>
  <w:style w:type="paragraph" w:styleId="List">
    <w:name w:val="List"/>
    <w:basedOn w:val="Normal"/>
    <w:uiPriority w:val="99"/>
    <w:semiHidden/>
    <w:unhideWhenUsed/>
    <w:rsid w:val="002C3906"/>
    <w:pPr>
      <w:ind w:left="283" w:hanging="283"/>
      <w:contextualSpacing/>
    </w:pPr>
  </w:style>
  <w:style w:type="paragraph" w:styleId="Header">
    <w:name w:val="header"/>
    <w:basedOn w:val="Normal"/>
    <w:link w:val="HeaderChar"/>
    <w:uiPriority w:val="99"/>
    <w:unhideWhenUsed/>
    <w:rsid w:val="00317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4D0"/>
  </w:style>
  <w:style w:type="paragraph" w:styleId="Footer">
    <w:name w:val="footer"/>
    <w:basedOn w:val="Normal"/>
    <w:link w:val="FooterChar"/>
    <w:uiPriority w:val="99"/>
    <w:unhideWhenUsed/>
    <w:rsid w:val="00317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fait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fa3iat.com/wp-content/uploads/2016/09/www.difa3iat.com_-15.pdf?utm_source=chatgpt.com" TargetMode="External"/><Relationship Id="rId12" Type="http://schemas.openxmlformats.org/officeDocument/2006/relationships/hyperlink" Target="https://www.britannica.com/topic/reve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topic/religion" TargetMode="External"/><Relationship Id="rId5" Type="http://schemas.openxmlformats.org/officeDocument/2006/relationships/footnotes" Target="footnotes.xml"/><Relationship Id="rId10" Type="http://schemas.openxmlformats.org/officeDocument/2006/relationships/hyperlink" Target="https://www.britannica.com/topic/reason" TargetMode="External"/><Relationship Id="rId4" Type="http://schemas.openxmlformats.org/officeDocument/2006/relationships/webSettings" Target="webSettings.xml"/><Relationship Id="rId9" Type="http://schemas.openxmlformats.org/officeDocument/2006/relationships/hyperlink" Target="https://www.merriam-webster.com/dictionary/criter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2250</Words>
  <Characters>11589</Characters>
  <Application>Microsoft Office Word</Application>
  <DocSecurity>0</DocSecurity>
  <Lines>218</Lines>
  <Paragraphs>46</Paragraphs>
  <ScaleCrop>false</ScaleCrop>
  <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Banks</dc:creator>
  <cp:keywords/>
  <dc:description/>
  <cp:lastModifiedBy>Don Cranston</cp:lastModifiedBy>
  <cp:revision>2</cp:revision>
  <dcterms:created xsi:type="dcterms:W3CDTF">2026-07-23T06:22:00Z</dcterms:created>
  <dcterms:modified xsi:type="dcterms:W3CDTF">2026-07-23T06:22:00Z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b39aeaa4-fa83-4cbd-b292-8b4947c7537e</vt:lpwstr>
  </property>
</Properties>
</file>