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595959"/>
          <w:sz w:val="20"/>
          <w:szCs w:val="20"/>
        </w:rPr>
        <w:t xml:space="preserve">INFORMATION PACKAGE &amp; COMPARATIVE MARKET ANALYSIS</w:t>
      </w:r>
    </w:p>
    <w:p>
      <w:pPr>
        <w:spacing w:after="40"/>
      </w:pPr>
      <w:r>
        <w:rPr>
          <w:b/>
          <w:bCs/>
          <w:color w:val="A6192E"/>
          <w:sz w:val="40"/>
          <w:szCs w:val="40"/>
        </w:rPr>
        <w:t xml:space="preserve">26.7 Acres — Cardwell &amp; Castlewood Road</w:t>
      </w:r>
    </w:p>
    <w:p>
      <w:pPr>
        <w:spacing w:after="40"/>
      </w:pPr>
      <w:r>
        <w:rPr>
          <w:color w:val="1A1A1A"/>
          <w:sz w:val="22"/>
          <w:szCs w:val="22"/>
        </w:rPr>
        <w:t xml:space="preserve">Chesterfield County, VA 23112  |  Midlothian District</w:t>
      </w:r>
    </w:p>
    <w:p>
      <w:pPr>
        <w:spacing w:after="300"/>
      </w:pPr>
      <w:r>
        <w:rPr>
          <w:i/>
          <w:iCs/>
          <w:color w:val="595959"/>
          <w:sz w:val="18"/>
          <w:szCs w:val="18"/>
        </w:rPr>
        <w:t xml:space="preserve">Prepared July 9, 2026  •  Listing broker: Shread Companies (Neemit Shah, 203-526-4406)</w:t>
      </w:r>
    </w:p>
    <w:p>
      <w:pPr>
        <w:spacing w:after="120" w:line="264"/>
      </w:pPr>
      <w:r>
        <w:rPr>
          <w:color w:val="1A1A1A"/>
          <w:sz w:val="20"/>
          <w:szCs w:val="20"/>
        </w:rPr>
        <w:t xml:space="preserve">This package supplements the Shread Companies marketing flyer with independent research into zoning, traffic/access, utilities, development potential, and comparable land sales. It is intended as a working reference for underwriting — not a substitute for a title report, survey, formal traffic study, or written utility availability determination from Chesterfield County.</w:t>
      </w:r>
    </w:p>
    <w:p>
      <w:pPr>
        <w:pStyle w:val="Heading1"/>
        <w:pBdr>
          <w:bottom w:val="single" w:color="A6192E" w:sz="6" w:space="4"/>
        </w:pBdr>
        <w:spacing w:after="120" w:before="260"/>
      </w:pPr>
      <w:r>
        <w:rPr>
          <w:b/>
          <w:bCs/>
          <w:color w:val="A6192E"/>
          <w:sz w:val="28"/>
          <w:szCs w:val="28"/>
        </w:rPr>
        <w:t xml:space="preserve">1. Property Snapshot</w:t>
      </w:r>
    </w:p>
    <w:tbl>
      <w:tblPr>
        <w:tblW w:type="dxa" w:w="10100"/>
        <w:tblBorders>
          <w:top w:val="single" w:color="auto" w:sz="4"/>
          <w:left w:val="single" w:color="auto" w:sz="4"/>
          <w:bottom w:val="single" w:color="auto" w:sz="4"/>
          <w:right w:val="single" w:color="auto" w:sz="4"/>
          <w:insideH w:val="single" w:color="auto" w:sz="4"/>
          <w:insideV w:val="single" w:color="auto" w:sz="4"/>
        </w:tblBorders>
      </w:tblPr>
      <w:tblGrid>
        <w:gridCol w:w="3200"/>
        <w:gridCol w:w="1800"/>
        <w:gridCol w:w="2400"/>
        <w:gridCol w:w="2700"/>
      </w:tblGrid>
      <w:tr>
        <w:trPr>
          <w:tblHeader/>
        </w:trPr>
        <w:tc>
          <w:tcPr>
            <w:tcW w:type="dxa" w:w="3200"/>
            <w:shd w:fill="A6192E" w:val="clear"/>
            <w:tcMar>
              <w:top w:type="dxa" w:w="80"/>
              <w:left w:type="dxa" w:w="100"/>
              <w:bottom w:type="dxa" w:w="80"/>
              <w:right w:type="dxa" w:w="100"/>
            </w:tcMar>
          </w:tcPr>
          <w:p>
            <w:pPr>
              <w:jc w:val="left"/>
            </w:pPr>
            <w:r>
              <w:rPr>
                <w:b/>
                <w:bCs/>
                <w:color w:val="FFFFFF"/>
                <w:sz w:val="19"/>
                <w:szCs w:val="19"/>
              </w:rPr>
              <w:t xml:space="preserve">Address</w:t>
            </w:r>
          </w:p>
        </w:tc>
        <w:tc>
          <w:tcPr>
            <w:tcW w:type="dxa" w:w="1800"/>
            <w:shd w:fill="A6192E" w:val="clear"/>
            <w:tcMar>
              <w:top w:type="dxa" w:w="80"/>
              <w:left w:type="dxa" w:w="100"/>
              <w:bottom w:type="dxa" w:w="80"/>
              <w:right w:type="dxa" w:w="100"/>
            </w:tcMar>
          </w:tcPr>
          <w:p>
            <w:pPr>
              <w:jc w:val="left"/>
            </w:pPr>
            <w:r>
              <w:rPr>
                <w:b/>
                <w:bCs/>
                <w:color w:val="FFFFFF"/>
                <w:sz w:val="19"/>
                <w:szCs w:val="19"/>
              </w:rPr>
              <w:t xml:space="preserve">Acreage</w:t>
            </w:r>
          </w:p>
        </w:tc>
        <w:tc>
          <w:tcPr>
            <w:tcW w:type="dxa" w:w="2400"/>
            <w:shd w:fill="A6192E" w:val="clear"/>
            <w:tcMar>
              <w:top w:type="dxa" w:w="80"/>
              <w:left w:type="dxa" w:w="100"/>
              <w:bottom w:type="dxa" w:w="80"/>
              <w:right w:type="dxa" w:w="100"/>
            </w:tcMar>
          </w:tcPr>
          <w:p>
            <w:pPr>
              <w:jc w:val="left"/>
            </w:pPr>
            <w:r>
              <w:rPr>
                <w:b/>
                <w:bCs/>
                <w:color w:val="FFFFFF"/>
                <w:sz w:val="19"/>
                <w:szCs w:val="19"/>
              </w:rPr>
              <w:t xml:space="preserve">GPIN</w:t>
            </w:r>
          </w:p>
        </w:tc>
        <w:tc>
          <w:tcPr>
            <w:tcW w:type="dxa" w:w="2700"/>
            <w:shd w:fill="A6192E" w:val="clear"/>
            <w:tcMar>
              <w:top w:type="dxa" w:w="80"/>
              <w:left w:type="dxa" w:w="100"/>
              <w:bottom w:type="dxa" w:w="80"/>
              <w:right w:type="dxa" w:w="100"/>
            </w:tcMar>
          </w:tcPr>
          <w:p>
            <w:pPr>
              <w:jc w:val="left"/>
            </w:pPr>
            <w:r>
              <w:rPr>
                <w:b/>
                <w:bCs/>
                <w:color w:val="FFFFFF"/>
                <w:sz w:val="19"/>
                <w:szCs w:val="19"/>
              </w:rPr>
              <w:t xml:space="preserve">Zoning</w:t>
            </w:r>
          </w:p>
        </w:tc>
      </w:tr>
      <w:tr>
        <w:tc>
          <w:tcPr>
            <w:tcW w:type="dxa" w:w="3200"/>
            <w:shd w:fill="FFFFFF" w:val="clear"/>
            <w:tcMar>
              <w:top w:type="dxa" w:w="80"/>
              <w:left w:type="dxa" w:w="100"/>
              <w:bottom w:type="dxa" w:w="80"/>
              <w:right w:type="dxa" w:w="100"/>
            </w:tcMar>
          </w:tcPr>
          <w:p>
            <w:pPr>
              <w:jc w:val="left"/>
            </w:pPr>
            <w:r>
              <w:rPr>
                <w:b w:val="false"/>
                <w:bCs w:val="false"/>
                <w:color w:val="1A1A1A"/>
                <w:sz w:val="19"/>
                <w:szCs w:val="19"/>
              </w:rPr>
              <w:t xml:space="preserve">2945 Cardwell Road</w:t>
            </w:r>
          </w:p>
        </w:tc>
        <w:tc>
          <w:tcPr>
            <w:tcW w:type="dxa" w:w="1800"/>
            <w:shd w:fill="FFFFFF" w:val="clear"/>
            <w:tcMar>
              <w:top w:type="dxa" w:w="80"/>
              <w:left w:type="dxa" w:w="100"/>
              <w:bottom w:type="dxa" w:w="80"/>
              <w:right w:type="dxa" w:w="100"/>
            </w:tcMar>
          </w:tcPr>
          <w:p>
            <w:pPr>
              <w:jc w:val="left"/>
            </w:pPr>
            <w:r>
              <w:rPr>
                <w:b w:val="false"/>
                <w:bCs w:val="false"/>
                <w:color w:val="1A1A1A"/>
                <w:sz w:val="19"/>
                <w:szCs w:val="19"/>
              </w:rPr>
              <w:t xml:space="preserve">10.00 AC</w:t>
            </w:r>
          </w:p>
        </w:tc>
        <w:tc>
          <w:tcPr>
            <w:tcW w:type="dxa" w:w="2400"/>
            <w:shd w:fill="FFFFFF" w:val="clear"/>
            <w:tcMar>
              <w:top w:type="dxa" w:w="80"/>
              <w:left w:type="dxa" w:w="100"/>
              <w:bottom w:type="dxa" w:w="80"/>
              <w:right w:type="dxa" w:w="100"/>
            </w:tcMar>
          </w:tcPr>
          <w:p>
            <w:pPr>
              <w:jc w:val="left"/>
            </w:pPr>
            <w:r>
              <w:rPr>
                <w:b w:val="false"/>
                <w:bCs w:val="false"/>
                <w:color w:val="1A1A1A"/>
                <w:sz w:val="19"/>
                <w:szCs w:val="19"/>
              </w:rPr>
              <w:t xml:space="preserve">7856913031</w:t>
            </w:r>
          </w:p>
        </w:tc>
        <w:tc>
          <w:tcPr>
            <w:tcW w:type="dxa" w:w="2700"/>
            <w:shd w:fill="FFFFFF" w:val="clear"/>
            <w:tcMar>
              <w:top w:type="dxa" w:w="80"/>
              <w:left w:type="dxa" w:w="100"/>
              <w:bottom w:type="dxa" w:w="80"/>
              <w:right w:type="dxa" w:w="100"/>
            </w:tcMar>
          </w:tcPr>
          <w:p>
            <w:pPr>
              <w:jc w:val="left"/>
            </w:pPr>
            <w:r>
              <w:rPr>
                <w:b w:val="false"/>
                <w:bCs w:val="false"/>
                <w:color w:val="1A1A1A"/>
                <w:sz w:val="19"/>
                <w:szCs w:val="19"/>
              </w:rPr>
              <w:t xml:space="preserve">EC – Employment Center</w:t>
            </w:r>
          </w:p>
        </w:tc>
      </w:tr>
      <w:tr>
        <w:tc>
          <w:tcPr>
            <w:tcW w:type="dxa" w:w="3200"/>
            <w:shd w:fill="F2F2F2" w:val="clear"/>
            <w:tcMar>
              <w:top w:type="dxa" w:w="80"/>
              <w:left w:type="dxa" w:w="100"/>
              <w:bottom w:type="dxa" w:w="80"/>
              <w:right w:type="dxa" w:w="100"/>
            </w:tcMar>
          </w:tcPr>
          <w:p>
            <w:pPr>
              <w:jc w:val="left"/>
            </w:pPr>
            <w:r>
              <w:rPr>
                <w:b w:val="false"/>
                <w:bCs w:val="false"/>
                <w:color w:val="1A1A1A"/>
                <w:sz w:val="19"/>
                <w:szCs w:val="19"/>
              </w:rPr>
              <w:t xml:space="preserve">2931 Cardwell Road</w:t>
            </w:r>
          </w:p>
        </w:tc>
        <w:tc>
          <w:tcPr>
            <w:tcW w:type="dxa" w:w="1800"/>
            <w:shd w:fill="F2F2F2" w:val="clear"/>
            <w:tcMar>
              <w:top w:type="dxa" w:w="80"/>
              <w:left w:type="dxa" w:w="100"/>
              <w:bottom w:type="dxa" w:w="80"/>
              <w:right w:type="dxa" w:w="100"/>
            </w:tcMar>
          </w:tcPr>
          <w:p>
            <w:pPr>
              <w:jc w:val="left"/>
            </w:pPr>
            <w:r>
              <w:rPr>
                <w:b w:val="false"/>
                <w:bCs w:val="false"/>
                <w:color w:val="1A1A1A"/>
                <w:sz w:val="19"/>
                <w:szCs w:val="19"/>
              </w:rPr>
              <w:t xml:space="preserve">10.00 AC</w:t>
            </w:r>
          </w:p>
        </w:tc>
        <w:tc>
          <w:tcPr>
            <w:tcW w:type="dxa" w:w="2400"/>
            <w:shd w:fill="F2F2F2" w:val="clear"/>
            <w:tcMar>
              <w:top w:type="dxa" w:w="80"/>
              <w:left w:type="dxa" w:w="100"/>
              <w:bottom w:type="dxa" w:w="80"/>
              <w:right w:type="dxa" w:w="100"/>
            </w:tcMar>
          </w:tcPr>
          <w:p>
            <w:pPr>
              <w:jc w:val="left"/>
            </w:pPr>
            <w:r>
              <w:rPr>
                <w:b w:val="false"/>
                <w:bCs w:val="false"/>
                <w:color w:val="1A1A1A"/>
                <w:sz w:val="19"/>
                <w:szCs w:val="19"/>
              </w:rPr>
              <w:t xml:space="preserve">7856909564</w:t>
            </w:r>
          </w:p>
        </w:tc>
        <w:tc>
          <w:tcPr>
            <w:tcW w:type="dxa" w:w="2700"/>
            <w:shd w:fill="F2F2F2" w:val="clear"/>
            <w:tcMar>
              <w:top w:type="dxa" w:w="80"/>
              <w:left w:type="dxa" w:w="100"/>
              <w:bottom w:type="dxa" w:w="80"/>
              <w:right w:type="dxa" w:w="100"/>
            </w:tcMar>
          </w:tcPr>
          <w:p>
            <w:pPr>
              <w:jc w:val="left"/>
            </w:pPr>
            <w:r>
              <w:rPr>
                <w:b w:val="false"/>
                <w:bCs w:val="false"/>
                <w:color w:val="1A1A1A"/>
                <w:sz w:val="19"/>
                <w:szCs w:val="19"/>
              </w:rPr>
              <w:t xml:space="preserve">EC – Employment Center</w:t>
            </w:r>
          </w:p>
        </w:tc>
      </w:tr>
      <w:tr>
        <w:tc>
          <w:tcPr>
            <w:tcW w:type="dxa" w:w="3200"/>
            <w:shd w:fill="FFFFFF" w:val="clear"/>
            <w:tcMar>
              <w:top w:type="dxa" w:w="80"/>
              <w:left w:type="dxa" w:w="100"/>
              <w:bottom w:type="dxa" w:w="80"/>
              <w:right w:type="dxa" w:w="100"/>
            </w:tcMar>
          </w:tcPr>
          <w:p>
            <w:pPr>
              <w:jc w:val="left"/>
            </w:pPr>
            <w:r>
              <w:rPr>
                <w:b w:val="false"/>
                <w:bCs w:val="false"/>
                <w:color w:val="1A1A1A"/>
                <w:sz w:val="19"/>
                <w:szCs w:val="19"/>
              </w:rPr>
              <w:t xml:space="preserve">5030 Castlewood Road</w:t>
            </w:r>
          </w:p>
        </w:tc>
        <w:tc>
          <w:tcPr>
            <w:tcW w:type="dxa" w:w="1800"/>
            <w:shd w:fill="FFFFFF" w:val="clear"/>
            <w:tcMar>
              <w:top w:type="dxa" w:w="80"/>
              <w:left w:type="dxa" w:w="100"/>
              <w:bottom w:type="dxa" w:w="80"/>
              <w:right w:type="dxa" w:w="100"/>
            </w:tcMar>
          </w:tcPr>
          <w:p>
            <w:pPr>
              <w:jc w:val="left"/>
            </w:pPr>
            <w:r>
              <w:rPr>
                <w:b w:val="false"/>
                <w:bCs w:val="false"/>
                <w:color w:val="1A1A1A"/>
                <w:sz w:val="19"/>
                <w:szCs w:val="19"/>
              </w:rPr>
              <w:t xml:space="preserve">6.73 AC</w:t>
            </w:r>
          </w:p>
        </w:tc>
        <w:tc>
          <w:tcPr>
            <w:tcW w:type="dxa" w:w="2400"/>
            <w:shd w:fill="FFFFFF" w:val="clear"/>
            <w:tcMar>
              <w:top w:type="dxa" w:w="80"/>
              <w:left w:type="dxa" w:w="100"/>
              <w:bottom w:type="dxa" w:w="80"/>
              <w:right w:type="dxa" w:w="100"/>
            </w:tcMar>
          </w:tcPr>
          <w:p>
            <w:pPr>
              <w:jc w:val="left"/>
            </w:pPr>
            <w:r>
              <w:rPr>
                <w:b w:val="false"/>
                <w:bCs w:val="false"/>
                <w:color w:val="1A1A1A"/>
                <w:sz w:val="19"/>
                <w:szCs w:val="19"/>
              </w:rPr>
              <w:t xml:space="preserve">7856908295</w:t>
            </w:r>
          </w:p>
        </w:tc>
        <w:tc>
          <w:tcPr>
            <w:tcW w:type="dxa" w:w="2700"/>
            <w:shd w:fill="FFFFFF" w:val="clear"/>
            <w:tcMar>
              <w:top w:type="dxa" w:w="80"/>
              <w:left w:type="dxa" w:w="100"/>
              <w:bottom w:type="dxa" w:w="80"/>
              <w:right w:type="dxa" w:w="100"/>
            </w:tcMar>
          </w:tcPr>
          <w:p>
            <w:pPr>
              <w:jc w:val="left"/>
            </w:pPr>
            <w:r>
              <w:rPr>
                <w:b w:val="false"/>
                <w:bCs w:val="false"/>
                <w:color w:val="1A1A1A"/>
                <w:sz w:val="19"/>
                <w:szCs w:val="19"/>
              </w:rPr>
              <w:t xml:space="preserve">EG – Employment General</w:t>
            </w:r>
          </w:p>
        </w:tc>
      </w:tr>
    </w:tbl>
    <w:p>
      <w:pPr>
        <w:spacing w:after="120" w:line="264"/>
      </w:pPr>
      <w:r>
        <w:rPr>
          <w:color w:val="1A1A1A"/>
          <w:sz w:val="20"/>
          <w:szCs w:val="20"/>
        </w:rPr>
        <w:t xml:space="preserve"/>
      </w:r>
    </w:p>
    <w:p>
      <w:pPr>
        <w:spacing w:after="120" w:line="264"/>
      </w:pPr>
      <w:r>
        <w:rPr>
          <w:color w:val="1A1A1A"/>
          <w:sz w:val="20"/>
          <w:szCs w:val="20"/>
        </w:rPr>
        <w:t xml:space="preserve">Total assemblage: 26.7 acres across three contiguous, separately-deeded parcels. A buyer wanting to develop the site as a single project would typically combine (or plat) the parcels, or at minimum coordinate site plans across all three since two zoning districts (EC and EG) apply.</w:t>
      </w:r>
    </w:p>
    <w:p>
      <w:pPr>
        <w:pStyle w:val="Heading1"/>
        <w:pBdr>
          <w:bottom w:val="single" w:color="A6192E" w:sz="6" w:space="4"/>
        </w:pBdr>
        <w:spacing w:after="120" w:before="260"/>
      </w:pPr>
      <w:r>
        <w:rPr>
          <w:b/>
          <w:bCs/>
          <w:color w:val="A6192E"/>
          <w:sz w:val="28"/>
          <w:szCs w:val="28"/>
        </w:rPr>
        <w:t xml:space="preserve">2. Zoning</w:t>
      </w:r>
    </w:p>
    <w:p>
      <w:pPr>
        <w:pStyle w:val="Heading2"/>
        <w:spacing w:after="90" w:before="200"/>
      </w:pPr>
      <w:r>
        <w:rPr>
          <w:b/>
          <w:bCs/>
          <w:color w:val="1A1A1A"/>
          <w:sz w:val="23"/>
          <w:szCs w:val="23"/>
        </w:rPr>
        <w:t xml:space="preserve">2.1 Important context: the ordinance changed on January 1, 2026</w:t>
      </w:r>
    </w:p>
    <w:p>
      <w:pPr>
        <w:spacing w:after="120" w:line="264"/>
      </w:pPr>
      <w:r>
        <w:rPr>
          <w:color w:val="1A1A1A"/>
          <w:sz w:val="20"/>
          <w:szCs w:val="20"/>
        </w:rPr>
        <w:t xml:space="preserve">Chesterfield County adopted a complete rewrite of its zoning ordinance — the Zoning Ordinance Modernization project, or "ZOMod" — approved by the Board of Supervisors on September 17, 2025 and effective January 1, 2026. The county went from 24 legacy districts to 14. EC (Employment Center) and EG (Employment General) are themselves the new post-ZOMod district names, so the flyer's zoning is already stated in current terms (Chapter 19.2, §19.2-19 EC and §19.2-20 EG).</w:t>
      </w:r>
    </w:p>
    <w:p>
      <w:pPr>
        <w:spacing w:after="140" w:line="248"/>
      </w:pPr>
      <w:r>
        <w:rPr>
          <w:i/>
          <w:iCs/>
          <w:color w:val="595959"/>
          <w:sz w:val="19"/>
          <w:szCs w:val="19"/>
        </w:rPr>
        <w:t xml:space="preserve">Because this is a brand-new ordinance (in effect only since Jan. 1, 2026), case law, staff interpretation, and precedent are all still developing. Confirm current permitted-use interpretations directly with Chesterfield Planning before relying on them.</w:t>
      </w:r>
    </w:p>
    <w:p>
      <w:pPr>
        <w:pStyle w:val="Heading2"/>
        <w:spacing w:after="90" w:before="200"/>
      </w:pPr>
      <w:r>
        <w:rPr>
          <w:b/>
          <w:bCs/>
          <w:color w:val="1A1A1A"/>
          <w:sz w:val="23"/>
          <w:szCs w:val="23"/>
        </w:rPr>
        <w:t xml:space="preserve">2.2 EC and EG in the new ordinance</w:t>
      </w:r>
    </w:p>
    <w:p>
      <w:pPr>
        <w:pStyle w:val="ListParagraph"/>
        <w:numPr>
          <w:ilvl w:val="0"/>
          <w:numId w:val="2"/>
        </w:numPr>
        <w:spacing w:after="60" w:line="248"/>
      </w:pPr>
      <w:r>
        <w:rPr>
          <w:color w:val="1A1A1A"/>
          <w:sz w:val="20"/>
          <w:szCs w:val="20"/>
        </w:rPr>
        <w:t xml:space="preserve">EC (Employment Center) and EG (Employment General) are both Employment-category districts under Article 2, Division 4, intended for office, business park, and general employment uses.</w:t>
      </w:r>
    </w:p>
    <w:p>
      <w:pPr>
        <w:pStyle w:val="ListParagraph"/>
        <w:numPr>
          <w:ilvl w:val="0"/>
          <w:numId w:val="2"/>
        </w:numPr>
        <w:spacing w:after="60" w:line="248"/>
      </w:pPr>
      <w:r>
        <w:rPr>
          <w:color w:val="1A1A1A"/>
          <w:sz w:val="20"/>
          <w:szCs w:val="20"/>
        </w:rPr>
        <w:t xml:space="preserve">A third, separate district — WD (Warehouse &amp; Distribution) — was created specifically for large-scale logistics/distribution uses. County planning staff have described WD as reserved for logistics projects sited near a major highway, explicitly to preserve EC/EG-type land for "higher-value" office, flex, and light-industrial/manufacturing development rather than big-box warehousing.</w:t>
      </w:r>
    </w:p>
    <w:p>
      <w:pPr>
        <w:pStyle w:val="ListParagraph"/>
        <w:numPr>
          <w:ilvl w:val="0"/>
          <w:numId w:val="2"/>
        </w:numPr>
        <w:spacing w:after="60" w:line="248"/>
      </w:pPr>
      <w:r>
        <w:rPr>
          <w:color w:val="1A1A1A"/>
          <w:sz w:val="20"/>
          <w:szCs w:val="20"/>
        </w:rPr>
        <w:t xml:space="preserve">Practical implication: office, flex space, business park, light industrial/assembly, and general commercial-employment uses should fit within EC/EG's by-right or restricted-use categories. A large-format warehouse/distribution building, however, may fall more naturally under WD and could require a use determination or rezoning component — this is a point to confirm with the Planning Department before underwriting a big-box distribution use on this specific site.</w:t>
      </w:r>
    </w:p>
    <w:p>
      <w:pPr>
        <w:pStyle w:val="ListParagraph"/>
        <w:numPr>
          <w:ilvl w:val="0"/>
          <w:numId w:val="2"/>
        </w:numPr>
        <w:spacing w:after="60" w:line="248"/>
      </w:pPr>
      <w:r>
        <w:rPr>
          <w:color w:val="1A1A1A"/>
          <w:sz w:val="20"/>
          <w:szCs w:val="20"/>
        </w:rPr>
        <w:t xml:space="preserve">Data centers: under the new ordinance, data centers are no longer by-right anywhere in the county. They are permitted only in EC and EG (among other districts) and only as a Conditional Use requiring Planning Commission/Board of Supervisors approval — relevant given regional data-center demand along the 288 corridor.</w:t>
      </w:r>
    </w:p>
    <w:p>
      <w:pPr>
        <w:pStyle w:val="ListParagraph"/>
        <w:numPr>
          <w:ilvl w:val="0"/>
          <w:numId w:val="2"/>
        </w:numPr>
        <w:spacing w:after="60" w:line="248"/>
      </w:pPr>
      <w:r>
        <w:rPr>
          <w:color w:val="1A1A1A"/>
          <w:sz w:val="20"/>
          <w:szCs w:val="20"/>
        </w:rPr>
        <w:t xml:space="preserve">The old CUPD (Conditional Use Planned Development) process has been renamed "Zoning Deviation" and works similarly — used when a project needs relief from a standard (lot size, setback, etc.).</w:t>
      </w:r>
    </w:p>
    <w:p>
      <w:pPr>
        <w:pStyle w:val="Heading2"/>
        <w:spacing w:after="90" w:before="200"/>
      </w:pPr>
      <w:r>
        <w:rPr>
          <w:b/>
          <w:bCs/>
          <w:color w:val="1A1A1A"/>
          <w:sz w:val="23"/>
          <w:szCs w:val="23"/>
        </w:rPr>
        <w:t xml:space="preserve">2.3 Uses generally supported in EC/EG (subject to verification)</w:t>
      </w:r>
    </w:p>
    <w:p>
      <w:pPr>
        <w:pStyle w:val="ListParagraph"/>
        <w:numPr>
          <w:ilvl w:val="0"/>
          <w:numId w:val="2"/>
        </w:numPr>
        <w:spacing w:after="60" w:line="248"/>
      </w:pPr>
      <w:r>
        <w:rPr>
          <w:color w:val="1A1A1A"/>
          <w:sz w:val="20"/>
          <w:szCs w:val="20"/>
        </w:rPr>
        <w:t xml:space="preserve">Business/professional offices, corporate campus</w:t>
      </w:r>
    </w:p>
    <w:p>
      <w:pPr>
        <w:pStyle w:val="ListParagraph"/>
        <w:numPr>
          <w:ilvl w:val="0"/>
          <w:numId w:val="2"/>
        </w:numPr>
        <w:spacing w:after="60" w:line="248"/>
      </w:pPr>
      <w:r>
        <w:rPr>
          <w:color w:val="1A1A1A"/>
          <w:sz w:val="20"/>
          <w:szCs w:val="20"/>
        </w:rPr>
        <w:t xml:space="preserve">Flex space (office/warehouse hybrid) and light industrial/assembly</w:t>
      </w:r>
    </w:p>
    <w:p>
      <w:pPr>
        <w:pStyle w:val="ListParagraph"/>
        <w:numPr>
          <w:ilvl w:val="0"/>
          <w:numId w:val="2"/>
        </w:numPr>
        <w:spacing w:after="60" w:line="248"/>
      </w:pPr>
      <w:r>
        <w:rPr>
          <w:color w:val="1A1A1A"/>
          <w:sz w:val="20"/>
          <w:szCs w:val="20"/>
        </w:rPr>
        <w:t xml:space="preserve">Research &amp; development, light manufacturing</w:t>
      </w:r>
    </w:p>
    <w:p>
      <w:pPr>
        <w:pStyle w:val="ListParagraph"/>
        <w:numPr>
          <w:ilvl w:val="0"/>
          <w:numId w:val="2"/>
        </w:numPr>
        <w:spacing w:after="60" w:line="248"/>
      </w:pPr>
      <w:r>
        <w:rPr>
          <w:color w:val="1A1A1A"/>
          <w:sz w:val="20"/>
          <w:szCs w:val="20"/>
        </w:rPr>
        <w:t xml:space="preserve">Limited warehousing accessory to an office/flex use (as opposed to standalone big-box distribution)</w:t>
      </w:r>
    </w:p>
    <w:p>
      <w:pPr>
        <w:pStyle w:val="ListParagraph"/>
        <w:numPr>
          <w:ilvl w:val="0"/>
          <w:numId w:val="2"/>
        </w:numPr>
        <w:spacing w:after="60" w:line="248"/>
      </w:pPr>
      <w:r>
        <w:rPr>
          <w:color w:val="1A1A1A"/>
          <w:sz w:val="20"/>
          <w:szCs w:val="20"/>
        </w:rPr>
        <w:t xml:space="preserve">Data centers — Conditional Use only, in EC/EG</w:t>
      </w:r>
    </w:p>
    <w:p>
      <w:pPr>
        <w:spacing w:after="140" w:line="248"/>
      </w:pPr>
      <w:r>
        <w:rPr>
          <w:i/>
          <w:iCs/>
          <w:color w:val="595959"/>
          <w:sz w:val="19"/>
          <w:szCs w:val="19"/>
        </w:rPr>
        <w:t xml:space="preserve">The county's full Principal Use Matrix (Article 3) lists every permitted, restricted, and conditional use by district. It's published online at online.encodeplus.com but blocks automated retrieval, so pull the current matrix directly (or have the Planning Department confirm in writing) before finalizing an offer contingent on a specific use.</w:t>
      </w:r>
    </w:p>
    <w:p>
      <w:pPr>
        <w:pStyle w:val="Heading2"/>
        <w:spacing w:after="90" w:before="200"/>
      </w:pPr>
      <w:r>
        <w:rPr>
          <w:b/>
          <w:bCs/>
          <w:color w:val="1A1A1A"/>
          <w:sz w:val="23"/>
          <w:szCs w:val="23"/>
        </w:rPr>
        <w:t xml:space="preserve">2.4 Development standards</w:t>
      </w:r>
    </w:p>
    <w:p>
      <w:pPr>
        <w:spacing w:after="120" w:line="264"/>
      </w:pPr>
      <w:r>
        <w:rPr>
          <w:color w:val="1A1A1A"/>
          <w:sz w:val="20"/>
          <w:szCs w:val="20"/>
        </w:rPr>
        <w:t xml:space="preserve">ZOMod ties maximum density/intensity in the new districts to the land-use category designated for the property in the county's Comprehensive Plan, rather than stating a flat number in the zoning ordinance itself. Setbacks, height limits, buffers, parking ratios and amenity-space requirements for EC/EG are in Article 4 (Development Standards) of Chapter 19.2. Recommend a zoning consultant or the Planning Department confirm the specific building envelope (max height, FAR/lot coverage, required buffers to adjacent residential, parking ratios) for these three GPINs before pricing out a building program.</w:t>
      </w:r>
    </w:p>
    <w:p>
      <w:pPr>
        <w:pStyle w:val="Heading1"/>
        <w:pBdr>
          <w:bottom w:val="single" w:color="A6192E" w:sz="6" w:space="4"/>
        </w:pBdr>
        <w:spacing w:after="120" w:before="260"/>
      </w:pPr>
      <w:r>
        <w:rPr>
          <w:b/>
          <w:bCs/>
          <w:color w:val="A6192E"/>
          <w:sz w:val="28"/>
          <w:szCs w:val="28"/>
        </w:rPr>
        <w:t xml:space="preserve">3. Traffic &amp; Access</w:t>
      </w:r>
    </w:p>
    <w:p>
      <w:pPr>
        <w:pStyle w:val="Heading2"/>
        <w:spacing w:after="90" w:before="200"/>
      </w:pPr>
      <w:r>
        <w:rPr>
          <w:b/>
          <w:bCs/>
          <w:color w:val="1A1A1A"/>
          <w:sz w:val="23"/>
          <w:szCs w:val="23"/>
        </w:rPr>
        <w:t xml:space="preserve">3.1 Corridor context</w:t>
      </w:r>
    </w:p>
    <w:p>
      <w:pPr>
        <w:spacing w:after="120" w:line="264"/>
      </w:pPr>
      <w:r>
        <w:rPr>
          <w:color w:val="1A1A1A"/>
          <w:sz w:val="20"/>
          <w:szCs w:val="20"/>
        </w:rPr>
        <w:t xml:space="preserve">The site fronts Cardwell Road and Castlewood Road and sits near the Route 288 corridor, which is the subject of an active, multi-phase VDOT/county improvement program:</w:t>
      </w:r>
    </w:p>
    <w:p>
      <w:pPr>
        <w:pStyle w:val="ListParagraph"/>
        <w:numPr>
          <w:ilvl w:val="0"/>
          <w:numId w:val="2"/>
        </w:numPr>
        <w:spacing w:after="60" w:line="248"/>
      </w:pPr>
      <w:r>
        <w:rPr>
          <w:color w:val="1A1A1A"/>
          <w:sz w:val="20"/>
          <w:szCs w:val="20"/>
        </w:rPr>
        <w:t xml:space="preserve">"Streamline 360/288" — a Central Virginia Transportation Authority (CVTA)-funded project widening Route 288 from four to six lanes between Powhite Parkway and the Commonwealth Centre Parkway area, plus a new southbound collector-distributor (CD) road and reconstructed loop ramps at the US 360/Route 288 interchange.</w:t>
      </w:r>
    </w:p>
    <w:p>
      <w:pPr>
        <w:pStyle w:val="ListParagraph"/>
        <w:numPr>
          <w:ilvl w:val="0"/>
          <w:numId w:val="2"/>
        </w:numPr>
        <w:spacing w:after="60" w:line="248"/>
      </w:pPr>
      <w:r>
        <w:rPr>
          <w:color w:val="1A1A1A"/>
          <w:sz w:val="20"/>
          <w:szCs w:val="20"/>
        </w:rPr>
        <w:t xml:space="preserve">A county/VDOT study has evaluated a potential new interchange at Route 288 and Genito Road, which — if built — would materially improve access from this submarket to Route 288.</w:t>
      </w:r>
    </w:p>
    <w:p>
      <w:pPr>
        <w:pStyle w:val="ListParagraph"/>
        <w:numPr>
          <w:ilvl w:val="0"/>
          <w:numId w:val="2"/>
        </w:numPr>
        <w:spacing w:after="60" w:line="248"/>
      </w:pPr>
      <w:r>
        <w:rPr>
          <w:color w:val="1A1A1A"/>
          <w:sz w:val="20"/>
          <w:szCs w:val="20"/>
        </w:rPr>
        <w:t xml:space="preserve">A separate corridor study is underway addressing long-term safety/operational issues along Genito Road, and CVTA/local funds are being used to widen Woolridge Road and extend it to Old Hundred Road, reflecting continued public investment in the broader road network around this submarket.</w:t>
      </w:r>
    </w:p>
    <w:p>
      <w:pPr>
        <w:pStyle w:val="Heading2"/>
        <w:spacing w:after="90" w:before="200"/>
      </w:pPr>
      <w:r>
        <w:rPr>
          <w:b/>
          <w:bCs/>
          <w:color w:val="1A1A1A"/>
          <w:sz w:val="23"/>
          <w:szCs w:val="23"/>
        </w:rPr>
        <w:t xml:space="preserve">3.2 Site-specific counts</w:t>
      </w:r>
    </w:p>
    <w:p>
      <w:pPr>
        <w:spacing w:after="120" w:line="264"/>
      </w:pPr>
      <w:r>
        <w:rPr>
          <w:color w:val="1A1A1A"/>
          <w:sz w:val="20"/>
          <w:szCs w:val="20"/>
        </w:rPr>
        <w:t xml:space="preserve">Cardwell Road and Castlewood Road are local/secondary roads and are not part of VDOT's continuous count network, so a published, current AADT figure specific to the frontage isn't available through VDOT's public traffic-count tools. For an actual traffic count and level-of-service analysis at these two intersections, order a current AADT pull through VDOT's traffic count GIS layer (virginiaroads.org) and, if a specific use is contemplated, a formal traffic impact analysis (TIA) — Chesterfield will require one at site plan for any use generating material trip volume.</w:t>
      </w:r>
    </w:p>
    <w:p>
      <w:pPr>
        <w:spacing w:after="140" w:line="248"/>
      </w:pPr>
      <w:r>
        <w:rPr>
          <w:i/>
          <w:iCs/>
          <w:color w:val="595959"/>
          <w:sz w:val="19"/>
          <w:szCs w:val="19"/>
        </w:rPr>
        <w:t xml:space="preserve">Bottom line for underwriting: regional access is improving (funded, multi-year VDOT investment), but local frontage-road volumes need a site-specific count/TIA rather than a desktop estimate.</w:t>
      </w:r>
    </w:p>
    <w:p>
      <w:pPr>
        <w:pStyle w:val="Heading1"/>
        <w:pBdr>
          <w:bottom w:val="single" w:color="A6192E" w:sz="6" w:space="4"/>
        </w:pBdr>
        <w:spacing w:after="120" w:before="260"/>
      </w:pPr>
      <w:r>
        <w:rPr>
          <w:b/>
          <w:bCs/>
          <w:color w:val="A6192E"/>
          <w:sz w:val="28"/>
          <w:szCs w:val="28"/>
        </w:rPr>
        <w:t xml:space="preserve">4. Utilities</w:t>
      </w:r>
    </w:p>
    <w:p>
      <w:pPr>
        <w:spacing w:after="120" w:line="264"/>
      </w:pPr>
      <w:r>
        <w:rPr>
          <w:color w:val="1A1A1A"/>
          <w:sz w:val="20"/>
          <w:szCs w:val="20"/>
        </w:rPr>
        <w:t xml:space="preserve">Chesterfield County Utilities (public water and sewer) serves most of this submarket, and the flyer's own point about adjacent "established office, flex, and light industrial development" is a good proxy for nearby water/sewer trunk lines already being in the ground. That said, availability to these three specific GPINs has to be confirmed parcel-by-parcel — the county does not publish a self-service GIS layer showing exact main locations/capacity for undeveloped parcels.</w:t>
      </w:r>
    </w:p>
    <w:p>
      <w:pPr>
        <w:pStyle w:val="ListParagraph"/>
        <w:numPr>
          <w:ilvl w:val="0"/>
          <w:numId w:val="2"/>
        </w:numPr>
        <w:spacing w:after="60" w:line="248"/>
      </w:pPr>
      <w:r>
        <w:rPr>
          <w:color w:val="1A1A1A"/>
          <w:sz w:val="20"/>
          <w:szCs w:val="20"/>
        </w:rPr>
        <w:t xml:space="preserve">Water &amp; sewer availability determination: request directly from Chesterfield Utilities — email "Sewer Availability" or call 804-748-1864 — for a written statement of what's available at each of the three GPINs (main size, location, capacity, connection fees).</w:t>
      </w:r>
    </w:p>
    <w:p>
      <w:pPr>
        <w:pStyle w:val="ListParagraph"/>
        <w:numPr>
          <w:ilvl w:val="0"/>
          <w:numId w:val="2"/>
        </w:numPr>
        <w:spacing w:after="60" w:line="248"/>
      </w:pPr>
      <w:r>
        <w:rPr>
          <w:color w:val="1A1A1A"/>
          <w:sz w:val="20"/>
          <w:szCs w:val="20"/>
        </w:rPr>
        <w:t xml:space="preserve">Electric: Dominion Energy serves this part of the county.</w:t>
      </w:r>
    </w:p>
    <w:p>
      <w:pPr>
        <w:pStyle w:val="ListParagraph"/>
        <w:numPr>
          <w:ilvl w:val="0"/>
          <w:numId w:val="2"/>
        </w:numPr>
        <w:spacing w:after="60" w:line="248"/>
      </w:pPr>
      <w:r>
        <w:rPr>
          <w:color w:val="1A1A1A"/>
          <w:sz w:val="20"/>
          <w:szCs w:val="20"/>
        </w:rPr>
        <w:t xml:space="preserve">Natural gas: Columbia Gas of Virginia has distribution infrastructure in the area (per its Chester, VA service presence).</w:t>
      </w:r>
    </w:p>
    <w:p>
      <w:pPr>
        <w:pStyle w:val="ListParagraph"/>
        <w:numPr>
          <w:ilvl w:val="0"/>
          <w:numId w:val="2"/>
        </w:numPr>
        <w:spacing w:after="60" w:line="248"/>
      </w:pPr>
      <w:r>
        <w:rPr>
          <w:color w:val="1A1A1A"/>
          <w:sz w:val="20"/>
          <w:szCs w:val="20"/>
        </w:rPr>
        <w:t xml:space="preserve">Stormwater / environmental: any EC/EG development will need to meet the county's stormwater management and Chesapeake Bay Preservation Act requirements — relevant given the wooded character visible in the aerial; expect environmental site assessment and a wetlands/RPA delineation as part of due diligence.</w:t>
      </w:r>
    </w:p>
    <w:p>
      <w:pPr>
        <w:spacing w:after="140" w:line="248"/>
      </w:pPr>
      <w:r>
        <w:rPr>
          <w:i/>
          <w:iCs/>
          <w:color w:val="595959"/>
          <w:sz w:val="19"/>
          <w:szCs w:val="19"/>
        </w:rPr>
        <w:t xml:space="preserve">Treat utility availability and exact capacity as unverified until Chesterfield Utilities responds in writing — this is normally a 1–2 week turnaround and should be requested early in due diligence.</w:t>
      </w:r>
    </w:p>
    <w:p>
      <w:pPr>
        <w:pStyle w:val="Heading1"/>
        <w:pBdr>
          <w:bottom w:val="single" w:color="A6192E" w:sz="6" w:space="4"/>
        </w:pBdr>
        <w:spacing w:after="120" w:before="260"/>
      </w:pPr>
      <w:r>
        <w:rPr>
          <w:b/>
          <w:bCs/>
          <w:color w:val="A6192E"/>
          <w:sz w:val="28"/>
          <w:szCs w:val="28"/>
        </w:rPr>
        <w:t xml:space="preserve">5. What Can Realistically Be Built Here</w:t>
      </w:r>
    </w:p>
    <w:p>
      <w:pPr>
        <w:spacing w:after="120" w:line="264"/>
      </w:pPr>
      <w:r>
        <w:rPr>
          <w:color w:val="1A1A1A"/>
          <w:sz w:val="20"/>
          <w:szCs w:val="20"/>
        </w:rPr>
        <w:t xml:space="preserve">Based on current EC/EG zoning, the regional employment-growth designation, and the adjacent development pattern described in the flyer, the site is best suited to:</w:t>
      </w:r>
    </w:p>
    <w:p>
      <w:pPr>
        <w:pStyle w:val="ListParagraph"/>
        <w:numPr>
          <w:ilvl w:val="0"/>
          <w:numId w:val="2"/>
        </w:numPr>
        <w:spacing w:after="60" w:line="248"/>
      </w:pPr>
      <w:r>
        <w:rPr>
          <w:color w:val="1A1A1A"/>
          <w:sz w:val="20"/>
          <w:szCs w:val="20"/>
        </w:rPr>
        <w:t xml:space="preserve">Suburban office or corporate campus buildings (single- or multi-tenant)</w:t>
      </w:r>
    </w:p>
    <w:p>
      <w:pPr>
        <w:pStyle w:val="ListParagraph"/>
        <w:numPr>
          <w:ilvl w:val="0"/>
          <w:numId w:val="2"/>
        </w:numPr>
        <w:spacing w:after="60" w:line="248"/>
      </w:pPr>
      <w:r>
        <w:rPr>
          <w:color w:val="1A1A1A"/>
          <w:sz w:val="20"/>
          <w:szCs w:val="20"/>
        </w:rPr>
        <w:t xml:space="preserve">Flex/light-industrial business park (office-front, warehouse/shop rear)</w:t>
      </w:r>
    </w:p>
    <w:p>
      <w:pPr>
        <w:pStyle w:val="ListParagraph"/>
        <w:numPr>
          <w:ilvl w:val="0"/>
          <w:numId w:val="2"/>
        </w:numPr>
        <w:spacing w:after="60" w:line="248"/>
      </w:pPr>
      <w:r>
        <w:rPr>
          <w:color w:val="1A1A1A"/>
          <w:sz w:val="20"/>
          <w:szCs w:val="20"/>
        </w:rPr>
        <w:t xml:space="preserve">Light manufacturing or R&amp;D/assembly space</w:t>
      </w:r>
    </w:p>
    <w:p>
      <w:pPr>
        <w:pStyle w:val="ListParagraph"/>
        <w:numPr>
          <w:ilvl w:val="0"/>
          <w:numId w:val="2"/>
        </w:numPr>
        <w:spacing w:after="60" w:line="248"/>
      </w:pPr>
      <w:r>
        <w:rPr>
          <w:color w:val="1A1A1A"/>
          <w:sz w:val="20"/>
          <w:szCs w:val="20"/>
        </w:rPr>
        <w:t xml:space="preserve">A data center — possible in EC/EG, but only via Conditional Use approval (Planning Commission + Board of Supervisors), which adds time, cost, and community-input risk versus a by-right use</w:t>
      </w:r>
    </w:p>
    <w:p>
      <w:pPr>
        <w:spacing w:after="120" w:line="264"/>
      </w:pPr>
      <w:r>
        <w:rPr>
          <w:color w:val="1A1A1A"/>
          <w:sz w:val="20"/>
          <w:szCs w:val="20"/>
        </w:rPr>
        <w:t xml:space="preserve">Less certain / needs confirmation:</w:t>
      </w:r>
    </w:p>
    <w:p>
      <w:pPr>
        <w:pStyle w:val="ListParagraph"/>
        <w:numPr>
          <w:ilvl w:val="0"/>
          <w:numId w:val="2"/>
        </w:numPr>
        <w:spacing w:after="60" w:line="248"/>
      </w:pPr>
      <w:r>
        <w:rPr>
          <w:color w:val="1A1A1A"/>
          <w:sz w:val="20"/>
          <w:szCs w:val="20"/>
        </w:rPr>
        <w:t xml:space="preserve">Large-format, standalone warehouse or distribution center — the county's new WD district was created specifically to house this use type and to keep EC/EG oriented toward higher-value employment uses; a big-box logistics building on this site may need a formal use determination or, in the least favorable case, a rezoning to (or overlay of) WD.</w:t>
      </w:r>
    </w:p>
    <w:p>
      <w:pPr>
        <w:pStyle w:val="ListParagraph"/>
        <w:numPr>
          <w:ilvl w:val="0"/>
          <w:numId w:val="2"/>
        </w:numPr>
        <w:spacing w:after="60" w:line="248"/>
      </w:pPr>
      <w:r>
        <w:rPr>
          <w:color w:val="1A1A1A"/>
          <w:sz w:val="20"/>
          <w:szCs w:val="20"/>
        </w:rPr>
        <w:t xml:space="preserve">Any use not explicitly listed in the Article 3 Use Matrix requires a Director of Planning finding of "substantially similar" character before it can proceed as a conditional use.</w:t>
      </w:r>
    </w:p>
    <w:p>
      <w:pPr>
        <w:spacing w:after="120" w:line="264"/>
      </w:pPr>
      <w:r>
        <w:rPr>
          <w:color w:val="1A1A1A"/>
          <w:sz w:val="20"/>
          <w:szCs w:val="20"/>
        </w:rPr>
        <w:t xml:space="preserve">Recommended next step: request a written zoning verification letter (or a pre-application meeting) from Chesterfield Planning confirming, use-by-use, what's by-right vs. restricted vs. conditional on these specific GPINs — inexpensive relative to the acquisition size and removes most of the entitlement risk before hard money is spent.</w:t>
      </w:r>
    </w:p>
    <w:p>
      <w:pPr>
        <w:pStyle w:val="Heading1"/>
        <w:pBdr>
          <w:bottom w:val="single" w:color="A6192E" w:sz="6" w:space="4"/>
        </w:pBdr>
        <w:spacing w:after="120" w:before="260"/>
      </w:pPr>
      <w:r>
        <w:rPr>
          <w:b/>
          <w:bCs/>
          <w:color w:val="A6192E"/>
          <w:sz w:val="28"/>
          <w:szCs w:val="28"/>
        </w:rPr>
        <w:t xml:space="preserve">6. Comparative Market Analysis</w:t>
      </w:r>
    </w:p>
    <w:p>
      <w:pPr>
        <w:pStyle w:val="Heading2"/>
        <w:spacing w:after="90" w:before="200"/>
      </w:pPr>
      <w:r>
        <w:rPr>
          <w:b/>
          <w:bCs/>
          <w:color w:val="1A1A1A"/>
          <w:sz w:val="23"/>
          <w:szCs w:val="23"/>
        </w:rPr>
        <w:t xml:space="preserve">6.1 County-wide asking-price benchmarks (active listings, mid-2026)</w:t>
      </w:r>
    </w:p>
    <w:tbl>
      <w:tblPr>
        <w:tblW w:type="dxa" w:w="11100"/>
        <w:tblBorders>
          <w:top w:val="single" w:color="auto" w:sz="4"/>
          <w:left w:val="single" w:color="auto" w:sz="4"/>
          <w:bottom w:val="single" w:color="auto" w:sz="4"/>
          <w:right w:val="single" w:color="auto" w:sz="4"/>
          <w:insideH w:val="single" w:color="auto" w:sz="4"/>
          <w:insideV w:val="single" w:color="auto" w:sz="4"/>
        </w:tblBorders>
      </w:tblPr>
      <w:tblGrid>
        <w:gridCol w:w="4200"/>
        <w:gridCol w:w="2200"/>
        <w:gridCol w:w="2400"/>
        <w:gridCol w:w="2300"/>
      </w:tblGrid>
      <w:tr>
        <w:trPr>
          <w:tblHeader/>
        </w:trPr>
        <w:tc>
          <w:tcPr>
            <w:tcW w:type="dxa" w:w="4200"/>
            <w:shd w:fill="A6192E" w:val="clear"/>
            <w:tcMar>
              <w:top w:type="dxa" w:w="80"/>
              <w:left w:type="dxa" w:w="100"/>
              <w:bottom w:type="dxa" w:w="80"/>
              <w:right w:type="dxa" w:w="100"/>
            </w:tcMar>
          </w:tcPr>
          <w:p>
            <w:pPr>
              <w:jc w:val="left"/>
            </w:pPr>
            <w:r>
              <w:rPr>
                <w:b/>
                <w:bCs/>
                <w:color w:val="FFFFFF"/>
                <w:sz w:val="19"/>
                <w:szCs w:val="19"/>
              </w:rPr>
              <w:t xml:space="preserve">Land Category</w:t>
            </w:r>
          </w:p>
        </w:tc>
        <w:tc>
          <w:tcPr>
            <w:tcW w:type="dxa" w:w="2200"/>
            <w:shd w:fill="A6192E" w:val="clear"/>
            <w:tcMar>
              <w:top w:type="dxa" w:w="80"/>
              <w:left w:type="dxa" w:w="100"/>
              <w:bottom w:type="dxa" w:w="80"/>
              <w:right w:type="dxa" w:w="100"/>
            </w:tcMar>
          </w:tcPr>
          <w:p>
            <w:pPr>
              <w:jc w:val="left"/>
            </w:pPr>
            <w:r>
              <w:rPr>
                <w:b/>
                <w:bCs/>
                <w:color w:val="FFFFFF"/>
                <w:sz w:val="19"/>
                <w:szCs w:val="19"/>
              </w:rPr>
              <w:t xml:space="preserve">Active Listings</w:t>
            </w:r>
          </w:p>
        </w:tc>
        <w:tc>
          <w:tcPr>
            <w:tcW w:type="dxa" w:w="2400"/>
            <w:shd w:fill="A6192E" w:val="clear"/>
            <w:tcMar>
              <w:top w:type="dxa" w:w="80"/>
              <w:left w:type="dxa" w:w="100"/>
              <w:bottom w:type="dxa" w:w="80"/>
              <w:right w:type="dxa" w:w="100"/>
            </w:tcMar>
          </w:tcPr>
          <w:p>
            <w:pPr>
              <w:jc w:val="left"/>
            </w:pPr>
            <w:r>
              <w:rPr>
                <w:b/>
                <w:bCs/>
                <w:color w:val="FFFFFF"/>
                <w:sz w:val="19"/>
                <w:szCs w:val="19"/>
              </w:rPr>
              <w:t xml:space="preserve">Avg. List Price</w:t>
            </w:r>
          </w:p>
        </w:tc>
        <w:tc>
          <w:tcPr>
            <w:tcW w:type="dxa" w:w="2300"/>
            <w:shd w:fill="A6192E" w:val="clear"/>
            <w:tcMar>
              <w:top w:type="dxa" w:w="80"/>
              <w:left w:type="dxa" w:w="100"/>
              <w:bottom w:type="dxa" w:w="80"/>
              <w:right w:type="dxa" w:w="100"/>
            </w:tcMar>
          </w:tcPr>
          <w:p>
            <w:pPr>
              <w:jc w:val="left"/>
            </w:pPr>
            <w:r>
              <w:rPr>
                <w:b/>
                <w:bCs/>
                <w:color w:val="FFFFFF"/>
                <w:sz w:val="19"/>
                <w:szCs w:val="19"/>
              </w:rPr>
              <w:t xml:space="preserve">Avg. $ / Acre</w:t>
            </w:r>
          </w:p>
        </w:tc>
      </w:tr>
      <w:tr>
        <w:tc>
          <w:tcPr>
            <w:tcW w:type="dxa" w:w="4200"/>
            <w:shd w:fill="FFFFFF" w:val="clear"/>
            <w:tcMar>
              <w:top w:type="dxa" w:w="80"/>
              <w:left w:type="dxa" w:w="100"/>
              <w:bottom w:type="dxa" w:w="80"/>
              <w:right w:type="dxa" w:w="100"/>
            </w:tcMar>
          </w:tcPr>
          <w:p>
            <w:pPr>
              <w:jc w:val="left"/>
            </w:pPr>
            <w:r>
              <w:rPr>
                <w:b w:val="false"/>
                <w:bCs w:val="false"/>
                <w:color w:val="1A1A1A"/>
                <w:sz w:val="19"/>
                <w:szCs w:val="19"/>
              </w:rPr>
              <w:t xml:space="preserve">Industrial-zoned land, Chesterfield Co.</w:t>
            </w:r>
          </w:p>
        </w:tc>
        <w:tc>
          <w:tcPr>
            <w:tcW w:type="dxa" w:w="2200"/>
            <w:shd w:fill="FFFFFF" w:val="clear"/>
            <w:tcMar>
              <w:top w:type="dxa" w:w="80"/>
              <w:left w:type="dxa" w:w="100"/>
              <w:bottom w:type="dxa" w:w="80"/>
              <w:right w:type="dxa" w:w="100"/>
            </w:tcMar>
          </w:tcPr>
          <w:p>
            <w:pPr>
              <w:jc w:val="left"/>
            </w:pPr>
            <w:r>
              <w:rPr>
                <w:b w:val="false"/>
                <w:bCs w:val="false"/>
                <w:color w:val="1A1A1A"/>
                <w:sz w:val="19"/>
                <w:szCs w:val="19"/>
              </w:rPr>
              <w:t xml:space="preserve">4</w:t>
            </w:r>
          </w:p>
        </w:tc>
        <w:tc>
          <w:tcPr>
            <w:tcW w:type="dxa" w:w="2400"/>
            <w:shd w:fill="FFFFFF" w:val="clear"/>
            <w:tcMar>
              <w:top w:type="dxa" w:w="80"/>
              <w:left w:type="dxa" w:w="100"/>
              <w:bottom w:type="dxa" w:w="80"/>
              <w:right w:type="dxa" w:w="100"/>
            </w:tcMar>
          </w:tcPr>
          <w:p>
            <w:pPr>
              <w:jc w:val="left"/>
            </w:pPr>
            <w:r>
              <w:rPr>
                <w:b w:val="false"/>
                <w:bCs w:val="false"/>
                <w:color w:val="1A1A1A"/>
                <w:sz w:val="19"/>
                <w:szCs w:val="19"/>
              </w:rPr>
              <w:t xml:space="preserve">$1,440,750</w:t>
            </w:r>
          </w:p>
        </w:tc>
        <w:tc>
          <w:tcPr>
            <w:tcW w:type="dxa" w:w="2300"/>
            <w:shd w:fill="FFFFFF" w:val="clear"/>
            <w:tcMar>
              <w:top w:type="dxa" w:w="80"/>
              <w:left w:type="dxa" w:w="100"/>
              <w:bottom w:type="dxa" w:w="80"/>
              <w:right w:type="dxa" w:w="100"/>
            </w:tcMar>
          </w:tcPr>
          <w:p>
            <w:pPr>
              <w:jc w:val="left"/>
            </w:pPr>
            <w:r>
              <w:rPr>
                <w:b w:val="false"/>
                <w:bCs w:val="false"/>
                <w:color w:val="1A1A1A"/>
                <w:sz w:val="19"/>
                <w:szCs w:val="19"/>
              </w:rPr>
              <w:t xml:space="preserve">$382,644</w:t>
            </w:r>
          </w:p>
        </w:tc>
      </w:tr>
      <w:tr>
        <w:tc>
          <w:tcPr>
            <w:tcW w:type="dxa" w:w="4200"/>
            <w:shd w:fill="F2F2F2" w:val="clear"/>
            <w:tcMar>
              <w:top w:type="dxa" w:w="80"/>
              <w:left w:type="dxa" w:w="100"/>
              <w:bottom w:type="dxa" w:w="80"/>
              <w:right w:type="dxa" w:w="100"/>
            </w:tcMar>
          </w:tcPr>
          <w:p>
            <w:pPr>
              <w:jc w:val="left"/>
            </w:pPr>
            <w:r>
              <w:rPr>
                <w:b w:val="false"/>
                <w:bCs w:val="false"/>
                <w:color w:val="1A1A1A"/>
                <w:sz w:val="19"/>
                <w:szCs w:val="19"/>
              </w:rPr>
              <w:t xml:space="preserve">Commercial land, Chesterfield Co. (all)</w:t>
            </w:r>
          </w:p>
        </w:tc>
        <w:tc>
          <w:tcPr>
            <w:tcW w:type="dxa" w:w="2200"/>
            <w:shd w:fill="F2F2F2" w:val="clear"/>
            <w:tcMar>
              <w:top w:type="dxa" w:w="80"/>
              <w:left w:type="dxa" w:w="100"/>
              <w:bottom w:type="dxa" w:w="80"/>
              <w:right w:type="dxa" w:w="100"/>
            </w:tcMar>
          </w:tcPr>
          <w:p>
            <w:pPr>
              <w:jc w:val="left"/>
            </w:pPr>
            <w:r>
              <w:rPr>
                <w:b w:val="false"/>
                <w:bCs w:val="false"/>
                <w:color w:val="1A1A1A"/>
                <w:sz w:val="19"/>
                <w:szCs w:val="19"/>
              </w:rPr>
              <w:t xml:space="preserve">19</w:t>
            </w:r>
          </w:p>
        </w:tc>
        <w:tc>
          <w:tcPr>
            <w:tcW w:type="dxa" w:w="2400"/>
            <w:shd w:fill="F2F2F2" w:val="clear"/>
            <w:tcMar>
              <w:top w:type="dxa" w:w="80"/>
              <w:left w:type="dxa" w:w="100"/>
              <w:bottom w:type="dxa" w:w="80"/>
              <w:right w:type="dxa" w:w="100"/>
            </w:tcMar>
          </w:tcPr>
          <w:p>
            <w:pPr>
              <w:jc w:val="left"/>
            </w:pPr>
            <w:r>
              <w:rPr>
                <w:b w:val="false"/>
                <w:bCs w:val="false"/>
                <w:color w:val="1A1A1A"/>
                <w:sz w:val="19"/>
                <w:szCs w:val="19"/>
              </w:rPr>
              <w:t xml:space="preserve">$866,283</w:t>
            </w:r>
          </w:p>
        </w:tc>
        <w:tc>
          <w:tcPr>
            <w:tcW w:type="dxa" w:w="2300"/>
            <w:shd w:fill="F2F2F2" w:val="clear"/>
            <w:tcMar>
              <w:top w:type="dxa" w:w="80"/>
              <w:left w:type="dxa" w:w="100"/>
              <w:bottom w:type="dxa" w:w="80"/>
              <w:right w:type="dxa" w:w="100"/>
            </w:tcMar>
          </w:tcPr>
          <w:p>
            <w:pPr>
              <w:jc w:val="left"/>
            </w:pPr>
            <w:r>
              <w:rPr>
                <w:b w:val="false"/>
                <w:bCs w:val="false"/>
                <w:color w:val="1A1A1A"/>
                <w:sz w:val="19"/>
                <w:szCs w:val="19"/>
              </w:rPr>
              <w:t xml:space="preserve">$111,756</w:t>
            </w:r>
          </w:p>
        </w:tc>
      </w:tr>
      <w:tr>
        <w:tc>
          <w:tcPr>
            <w:tcW w:type="dxa" w:w="4200"/>
            <w:shd w:fill="FFFFFF" w:val="clear"/>
            <w:tcMar>
              <w:top w:type="dxa" w:w="80"/>
              <w:left w:type="dxa" w:w="100"/>
              <w:bottom w:type="dxa" w:w="80"/>
              <w:right w:type="dxa" w:w="100"/>
            </w:tcMar>
          </w:tcPr>
          <w:p>
            <w:pPr>
              <w:jc w:val="left"/>
            </w:pPr>
            <w:r>
              <w:rPr>
                <w:b w:val="false"/>
                <w:bCs w:val="false"/>
                <w:color w:val="1A1A1A"/>
                <w:sz w:val="19"/>
                <w:szCs w:val="19"/>
              </w:rPr>
              <w:t xml:space="preserve">All land for sale, Chesterfield Co.</w:t>
            </w:r>
          </w:p>
        </w:tc>
        <w:tc>
          <w:tcPr>
            <w:tcW w:type="dxa" w:w="2200"/>
            <w:shd w:fill="FFFFFF" w:val="clear"/>
            <w:tcMar>
              <w:top w:type="dxa" w:w="80"/>
              <w:left w:type="dxa" w:w="100"/>
              <w:bottom w:type="dxa" w:w="80"/>
              <w:right w:type="dxa" w:w="100"/>
            </w:tcMar>
          </w:tcPr>
          <w:p>
            <w:pPr>
              <w:jc w:val="left"/>
            </w:pPr>
            <w:r>
              <w:rPr>
                <w:b w:val="false"/>
                <w:bCs w:val="false"/>
                <w:color w:val="1A1A1A"/>
                <w:sz w:val="19"/>
                <w:szCs w:val="19"/>
              </w:rPr>
              <w:t xml:space="preserve">99</w:t>
            </w:r>
          </w:p>
        </w:tc>
        <w:tc>
          <w:tcPr>
            <w:tcW w:type="dxa" w:w="2400"/>
            <w:shd w:fill="FFFFFF" w:val="clear"/>
            <w:tcMar>
              <w:top w:type="dxa" w:w="80"/>
              <w:left w:type="dxa" w:w="100"/>
              <w:bottom w:type="dxa" w:w="80"/>
              <w:right w:type="dxa" w:w="100"/>
            </w:tcMar>
          </w:tcPr>
          <w:p>
            <w:pPr>
              <w:jc w:val="left"/>
            </w:pPr>
            <w:r>
              <w:rPr>
                <w:b w:val="false"/>
                <w:bCs w:val="false"/>
                <w:color w:val="1A1A1A"/>
                <w:sz w:val="19"/>
                <w:szCs w:val="19"/>
              </w:rPr>
              <w:t xml:space="preserve">$776,430</w:t>
            </w:r>
          </w:p>
        </w:tc>
        <w:tc>
          <w:tcPr>
            <w:tcW w:type="dxa" w:w="2300"/>
            <w:shd w:fill="FFFFFF" w:val="clear"/>
            <w:tcMar>
              <w:top w:type="dxa" w:w="80"/>
              <w:left w:type="dxa" w:w="100"/>
              <w:bottom w:type="dxa" w:w="80"/>
              <w:right w:type="dxa" w:w="100"/>
            </w:tcMar>
          </w:tcPr>
          <w:p>
            <w:pPr>
              <w:jc w:val="left"/>
            </w:pPr>
            <w:r>
              <w:rPr>
                <w:b w:val="false"/>
                <w:bCs w:val="false"/>
                <w:color w:val="1A1A1A"/>
                <w:sz w:val="19"/>
                <w:szCs w:val="19"/>
              </w:rPr>
              <w:t xml:space="preserve">$106,538</w:t>
            </w:r>
          </w:p>
        </w:tc>
      </w:tr>
    </w:tbl>
    <w:p>
      <w:pPr>
        <w:spacing w:after="120" w:line="264"/>
      </w:pPr>
      <w:r>
        <w:rPr>
          <w:color w:val="1A1A1A"/>
          <w:sz w:val="20"/>
          <w:szCs w:val="20"/>
        </w:rPr>
        <w:t xml:space="preserve"/>
      </w:r>
    </w:p>
    <w:p>
      <w:pPr>
        <w:pStyle w:val="Heading2"/>
        <w:spacing w:after="90" w:before="200"/>
      </w:pPr>
      <w:r>
        <w:rPr>
          <w:b/>
          <w:bCs/>
          <w:color w:val="1A1A1A"/>
          <w:sz w:val="23"/>
          <w:szCs w:val="23"/>
        </w:rPr>
        <w:t xml:space="preserve">6.2 Comparable individual listings (industrial/mixed-use, Chesterfield Co.)</w:t>
      </w:r>
    </w:p>
    <w:tbl>
      <w:tblPr>
        <w:tblW w:type="dxa" w:w="10600"/>
        <w:tblBorders>
          <w:top w:val="single" w:color="auto" w:sz="4"/>
          <w:left w:val="single" w:color="auto" w:sz="4"/>
          <w:bottom w:val="single" w:color="auto" w:sz="4"/>
          <w:right w:val="single" w:color="auto" w:sz="4"/>
          <w:insideH w:val="single" w:color="auto" w:sz="4"/>
          <w:insideV w:val="single" w:color="auto" w:sz="4"/>
        </w:tblBorders>
      </w:tblPr>
      <w:tblGrid>
        <w:gridCol w:w="3400"/>
        <w:gridCol w:w="1300"/>
        <w:gridCol w:w="1900"/>
        <w:gridCol w:w="1500"/>
        <w:gridCol w:w="2500"/>
      </w:tblGrid>
      <w:tr>
        <w:trPr>
          <w:tblHeader/>
        </w:trPr>
        <w:tc>
          <w:tcPr>
            <w:tcW w:type="dxa" w:w="3400"/>
            <w:shd w:fill="A6192E" w:val="clear"/>
            <w:tcMar>
              <w:top w:type="dxa" w:w="80"/>
              <w:left w:type="dxa" w:w="100"/>
              <w:bottom w:type="dxa" w:w="80"/>
              <w:right w:type="dxa" w:w="100"/>
            </w:tcMar>
          </w:tcPr>
          <w:p>
            <w:pPr>
              <w:jc w:val="left"/>
            </w:pPr>
            <w:r>
              <w:rPr>
                <w:b/>
                <w:bCs/>
                <w:color w:val="FFFFFF"/>
                <w:sz w:val="19"/>
                <w:szCs w:val="19"/>
              </w:rPr>
              <w:t xml:space="preserve">Address</w:t>
            </w:r>
          </w:p>
        </w:tc>
        <w:tc>
          <w:tcPr>
            <w:tcW w:type="dxa" w:w="1300"/>
            <w:shd w:fill="A6192E" w:val="clear"/>
            <w:tcMar>
              <w:top w:type="dxa" w:w="80"/>
              <w:left w:type="dxa" w:w="100"/>
              <w:bottom w:type="dxa" w:w="80"/>
              <w:right w:type="dxa" w:w="100"/>
            </w:tcMar>
          </w:tcPr>
          <w:p>
            <w:pPr>
              <w:jc w:val="left"/>
            </w:pPr>
            <w:r>
              <w:rPr>
                <w:b/>
                <w:bCs/>
                <w:color w:val="FFFFFF"/>
                <w:sz w:val="19"/>
                <w:szCs w:val="19"/>
              </w:rPr>
              <w:t xml:space="preserve">Size</w:t>
            </w:r>
          </w:p>
        </w:tc>
        <w:tc>
          <w:tcPr>
            <w:tcW w:type="dxa" w:w="1900"/>
            <w:shd w:fill="A6192E" w:val="clear"/>
            <w:tcMar>
              <w:top w:type="dxa" w:w="80"/>
              <w:left w:type="dxa" w:w="100"/>
              <w:bottom w:type="dxa" w:w="80"/>
              <w:right w:type="dxa" w:w="100"/>
            </w:tcMar>
          </w:tcPr>
          <w:p>
            <w:pPr>
              <w:jc w:val="left"/>
            </w:pPr>
            <w:r>
              <w:rPr>
                <w:b/>
                <w:bCs/>
                <w:color w:val="FFFFFF"/>
                <w:sz w:val="19"/>
                <w:szCs w:val="19"/>
              </w:rPr>
              <w:t xml:space="preserve">Asking Price</w:t>
            </w:r>
          </w:p>
        </w:tc>
        <w:tc>
          <w:tcPr>
            <w:tcW w:type="dxa" w:w="1500"/>
            <w:shd w:fill="A6192E" w:val="clear"/>
            <w:tcMar>
              <w:top w:type="dxa" w:w="80"/>
              <w:left w:type="dxa" w:w="100"/>
              <w:bottom w:type="dxa" w:w="80"/>
              <w:right w:type="dxa" w:w="100"/>
            </w:tcMar>
          </w:tcPr>
          <w:p>
            <w:pPr>
              <w:jc w:val="left"/>
            </w:pPr>
            <w:r>
              <w:rPr>
                <w:b/>
                <w:bCs/>
                <w:color w:val="FFFFFF"/>
                <w:sz w:val="19"/>
                <w:szCs w:val="19"/>
              </w:rPr>
              <w:t xml:space="preserve">$ / Acre</w:t>
            </w:r>
          </w:p>
        </w:tc>
        <w:tc>
          <w:tcPr>
            <w:tcW w:type="dxa" w:w="2500"/>
            <w:shd w:fill="A6192E" w:val="clear"/>
            <w:tcMar>
              <w:top w:type="dxa" w:w="80"/>
              <w:left w:type="dxa" w:w="100"/>
              <w:bottom w:type="dxa" w:w="80"/>
              <w:right w:type="dxa" w:w="100"/>
            </w:tcMar>
          </w:tcPr>
          <w:p>
            <w:pPr>
              <w:jc w:val="left"/>
            </w:pPr>
            <w:r>
              <w:rPr>
                <w:b/>
                <w:bCs/>
                <w:color w:val="FFFFFF"/>
                <w:sz w:val="19"/>
                <w:szCs w:val="19"/>
              </w:rPr>
              <w:t xml:space="preserve">Notes</w:t>
            </w:r>
          </w:p>
        </w:tc>
      </w:tr>
      <w:tr>
        <w:tc>
          <w:tcPr>
            <w:tcW w:type="dxa" w:w="3400"/>
            <w:shd w:fill="FFFFFF" w:val="clear"/>
            <w:tcMar>
              <w:top w:type="dxa" w:w="80"/>
              <w:left w:type="dxa" w:w="100"/>
              <w:bottom w:type="dxa" w:w="80"/>
              <w:right w:type="dxa" w:w="100"/>
            </w:tcMar>
          </w:tcPr>
          <w:p>
            <w:pPr>
              <w:jc w:val="left"/>
            </w:pPr>
            <w:r>
              <w:rPr>
                <w:b w:val="false"/>
                <w:bCs w:val="false"/>
                <w:color w:val="1A1A1A"/>
                <w:sz w:val="19"/>
                <w:szCs w:val="19"/>
              </w:rPr>
              <w:t xml:space="preserve">13844 Midlothian Tpke, Midlothian 23113</w:t>
            </w:r>
          </w:p>
        </w:tc>
        <w:tc>
          <w:tcPr>
            <w:tcW w:type="dxa" w:w="1300"/>
            <w:shd w:fill="FFFFFF" w:val="clear"/>
            <w:tcMar>
              <w:top w:type="dxa" w:w="80"/>
              <w:left w:type="dxa" w:w="100"/>
              <w:bottom w:type="dxa" w:w="80"/>
              <w:right w:type="dxa" w:w="100"/>
            </w:tcMar>
          </w:tcPr>
          <w:p>
            <w:pPr>
              <w:jc w:val="left"/>
            </w:pPr>
            <w:r>
              <w:rPr>
                <w:b w:val="false"/>
                <w:bCs w:val="false"/>
                <w:color w:val="1A1A1A"/>
                <w:sz w:val="19"/>
                <w:szCs w:val="19"/>
              </w:rPr>
              <w:t xml:space="preserve">3.38 AC</w:t>
            </w:r>
          </w:p>
        </w:tc>
        <w:tc>
          <w:tcPr>
            <w:tcW w:type="dxa" w:w="1900"/>
            <w:shd w:fill="FFFFFF" w:val="clear"/>
            <w:tcMar>
              <w:top w:type="dxa" w:w="80"/>
              <w:left w:type="dxa" w:w="100"/>
              <w:bottom w:type="dxa" w:w="80"/>
              <w:right w:type="dxa" w:w="100"/>
            </w:tcMar>
          </w:tcPr>
          <w:p>
            <w:pPr>
              <w:jc w:val="left"/>
            </w:pPr>
            <w:r>
              <w:rPr>
                <w:b w:val="false"/>
                <w:bCs w:val="false"/>
                <w:color w:val="1A1A1A"/>
                <w:sz w:val="19"/>
                <w:szCs w:val="19"/>
              </w:rPr>
              <w:t xml:space="preserve">$2,500,000</w:t>
            </w:r>
          </w:p>
        </w:tc>
        <w:tc>
          <w:tcPr>
            <w:tcW w:type="dxa" w:w="1500"/>
            <w:shd w:fill="FFFFFF" w:val="clear"/>
            <w:tcMar>
              <w:top w:type="dxa" w:w="80"/>
              <w:left w:type="dxa" w:w="100"/>
              <w:bottom w:type="dxa" w:w="80"/>
              <w:right w:type="dxa" w:w="100"/>
            </w:tcMar>
          </w:tcPr>
          <w:p>
            <w:pPr>
              <w:jc w:val="left"/>
            </w:pPr>
            <w:r>
              <w:rPr>
                <w:b w:val="false"/>
                <w:bCs w:val="false"/>
                <w:color w:val="1A1A1A"/>
                <w:sz w:val="19"/>
                <w:szCs w:val="19"/>
              </w:rPr>
              <w:t xml:space="preserve">$739,645</w:t>
            </w:r>
          </w:p>
        </w:tc>
        <w:tc>
          <w:tcPr>
            <w:tcW w:type="dxa" w:w="2500"/>
            <w:shd w:fill="FFFFFF" w:val="clear"/>
            <w:tcMar>
              <w:top w:type="dxa" w:w="80"/>
              <w:left w:type="dxa" w:w="100"/>
              <w:bottom w:type="dxa" w:w="80"/>
              <w:right w:type="dxa" w:w="100"/>
            </w:tcMar>
          </w:tcPr>
          <w:p>
            <w:pPr>
              <w:jc w:val="left"/>
            </w:pPr>
            <w:r>
              <w:rPr>
                <w:b w:val="false"/>
                <w:bCs w:val="false"/>
                <w:color w:val="1A1A1A"/>
                <w:sz w:val="19"/>
                <w:szCs w:val="19"/>
              </w:rPr>
              <w:t xml:space="preserve">Mixed-use, arterial frontage on Midlothian Tpke — premium corridor comp</w:t>
            </w:r>
          </w:p>
        </w:tc>
      </w:tr>
      <w:tr>
        <w:tc>
          <w:tcPr>
            <w:tcW w:type="dxa" w:w="3400"/>
            <w:shd w:fill="F2F2F2" w:val="clear"/>
            <w:tcMar>
              <w:top w:type="dxa" w:w="80"/>
              <w:left w:type="dxa" w:w="100"/>
              <w:bottom w:type="dxa" w:w="80"/>
              <w:right w:type="dxa" w:w="100"/>
            </w:tcMar>
          </w:tcPr>
          <w:p>
            <w:pPr>
              <w:jc w:val="left"/>
            </w:pPr>
            <w:r>
              <w:rPr>
                <w:b w:val="false"/>
                <w:bCs w:val="false"/>
                <w:color w:val="1A1A1A"/>
                <w:sz w:val="19"/>
                <w:szCs w:val="19"/>
              </w:rPr>
              <w:t xml:space="preserve">6111 Iron Bridge Rd, Chesterfield 23234</w:t>
            </w:r>
          </w:p>
        </w:tc>
        <w:tc>
          <w:tcPr>
            <w:tcW w:type="dxa" w:w="1300"/>
            <w:shd w:fill="F2F2F2" w:val="clear"/>
            <w:tcMar>
              <w:top w:type="dxa" w:w="80"/>
              <w:left w:type="dxa" w:w="100"/>
              <w:bottom w:type="dxa" w:w="80"/>
              <w:right w:type="dxa" w:w="100"/>
            </w:tcMar>
          </w:tcPr>
          <w:p>
            <w:pPr>
              <w:jc w:val="left"/>
            </w:pPr>
            <w:r>
              <w:rPr>
                <w:b w:val="false"/>
                <w:bCs w:val="false"/>
                <w:color w:val="1A1A1A"/>
                <w:sz w:val="19"/>
                <w:szCs w:val="19"/>
              </w:rPr>
              <w:t xml:space="preserve">0.83 AC</w:t>
            </w:r>
          </w:p>
        </w:tc>
        <w:tc>
          <w:tcPr>
            <w:tcW w:type="dxa" w:w="1900"/>
            <w:shd w:fill="F2F2F2" w:val="clear"/>
            <w:tcMar>
              <w:top w:type="dxa" w:w="80"/>
              <w:left w:type="dxa" w:w="100"/>
              <w:bottom w:type="dxa" w:w="80"/>
              <w:right w:type="dxa" w:w="100"/>
            </w:tcMar>
          </w:tcPr>
          <w:p>
            <w:pPr>
              <w:jc w:val="left"/>
            </w:pPr>
            <w:r>
              <w:rPr>
                <w:b w:val="false"/>
                <w:bCs w:val="false"/>
                <w:color w:val="1A1A1A"/>
                <w:sz w:val="19"/>
                <w:szCs w:val="19"/>
              </w:rPr>
              <w:t xml:space="preserve">$500,000</w:t>
            </w:r>
          </w:p>
        </w:tc>
        <w:tc>
          <w:tcPr>
            <w:tcW w:type="dxa" w:w="1500"/>
            <w:shd w:fill="F2F2F2" w:val="clear"/>
            <w:tcMar>
              <w:top w:type="dxa" w:w="80"/>
              <w:left w:type="dxa" w:w="100"/>
              <w:bottom w:type="dxa" w:w="80"/>
              <w:right w:type="dxa" w:w="100"/>
            </w:tcMar>
          </w:tcPr>
          <w:p>
            <w:pPr>
              <w:jc w:val="left"/>
            </w:pPr>
            <w:r>
              <w:rPr>
                <w:b w:val="false"/>
                <w:bCs w:val="false"/>
                <w:color w:val="1A1A1A"/>
                <w:sz w:val="19"/>
                <w:szCs w:val="19"/>
              </w:rPr>
              <w:t xml:space="preserve">$602,410</w:t>
            </w:r>
          </w:p>
        </w:tc>
        <w:tc>
          <w:tcPr>
            <w:tcW w:type="dxa" w:w="2500"/>
            <w:shd w:fill="F2F2F2" w:val="clear"/>
            <w:tcMar>
              <w:top w:type="dxa" w:w="80"/>
              <w:left w:type="dxa" w:w="100"/>
              <w:bottom w:type="dxa" w:w="80"/>
              <w:right w:type="dxa" w:w="100"/>
            </w:tcMar>
          </w:tcPr>
          <w:p>
            <w:pPr>
              <w:jc w:val="left"/>
            </w:pPr>
            <w:r>
              <w:rPr>
                <w:b w:val="false"/>
                <w:bCs w:val="false"/>
                <w:color w:val="1A1A1A"/>
                <w:sz w:val="19"/>
                <w:szCs w:val="19"/>
              </w:rPr>
              <w:t xml:space="preserve">Small mixed-use pad site</w:t>
            </w:r>
          </w:p>
        </w:tc>
      </w:tr>
      <w:tr>
        <w:tc>
          <w:tcPr>
            <w:tcW w:type="dxa" w:w="3400"/>
            <w:shd w:fill="FFFFFF" w:val="clear"/>
            <w:tcMar>
              <w:top w:type="dxa" w:w="80"/>
              <w:left w:type="dxa" w:w="100"/>
              <w:bottom w:type="dxa" w:w="80"/>
              <w:right w:type="dxa" w:w="100"/>
            </w:tcMar>
          </w:tcPr>
          <w:p>
            <w:pPr>
              <w:jc w:val="left"/>
            </w:pPr>
            <w:r>
              <w:rPr>
                <w:b w:val="false"/>
                <w:bCs w:val="false"/>
                <w:color w:val="1A1A1A"/>
                <w:sz w:val="19"/>
                <w:szCs w:val="19"/>
              </w:rPr>
              <w:t xml:space="preserve">15500 Jefferson Davis Hwy, Chesterfield 23834</w:t>
            </w:r>
          </w:p>
        </w:tc>
        <w:tc>
          <w:tcPr>
            <w:tcW w:type="dxa" w:w="1300"/>
            <w:shd w:fill="FFFFFF" w:val="clear"/>
            <w:tcMar>
              <w:top w:type="dxa" w:w="80"/>
              <w:left w:type="dxa" w:w="100"/>
              <w:bottom w:type="dxa" w:w="80"/>
              <w:right w:type="dxa" w:w="100"/>
            </w:tcMar>
          </w:tcPr>
          <w:p>
            <w:pPr>
              <w:jc w:val="left"/>
            </w:pPr>
            <w:r>
              <w:rPr>
                <w:b w:val="false"/>
                <w:bCs w:val="false"/>
                <w:color w:val="1A1A1A"/>
                <w:sz w:val="19"/>
                <w:szCs w:val="19"/>
              </w:rPr>
              <w:t xml:space="preserve">3.69 AC</w:t>
            </w:r>
          </w:p>
        </w:tc>
        <w:tc>
          <w:tcPr>
            <w:tcW w:type="dxa" w:w="1900"/>
            <w:shd w:fill="FFFFFF" w:val="clear"/>
            <w:tcMar>
              <w:top w:type="dxa" w:w="80"/>
              <w:left w:type="dxa" w:w="100"/>
              <w:bottom w:type="dxa" w:w="80"/>
              <w:right w:type="dxa" w:w="100"/>
            </w:tcMar>
          </w:tcPr>
          <w:p>
            <w:pPr>
              <w:jc w:val="left"/>
            </w:pPr>
            <w:r>
              <w:rPr>
                <w:b w:val="false"/>
                <w:bCs w:val="false"/>
                <w:color w:val="1A1A1A"/>
                <w:sz w:val="19"/>
                <w:szCs w:val="19"/>
              </w:rPr>
              <w:t xml:space="preserve">$1,500,000</w:t>
            </w:r>
          </w:p>
        </w:tc>
        <w:tc>
          <w:tcPr>
            <w:tcW w:type="dxa" w:w="1500"/>
            <w:shd w:fill="FFFFFF" w:val="clear"/>
            <w:tcMar>
              <w:top w:type="dxa" w:w="80"/>
              <w:left w:type="dxa" w:w="100"/>
              <w:bottom w:type="dxa" w:w="80"/>
              <w:right w:type="dxa" w:w="100"/>
            </w:tcMar>
          </w:tcPr>
          <w:p>
            <w:pPr>
              <w:jc w:val="left"/>
            </w:pPr>
            <w:r>
              <w:rPr>
                <w:b w:val="false"/>
                <w:bCs w:val="false"/>
                <w:color w:val="1A1A1A"/>
                <w:sz w:val="19"/>
                <w:szCs w:val="19"/>
              </w:rPr>
              <w:t xml:space="preserve">$406,504</w:t>
            </w:r>
          </w:p>
        </w:tc>
        <w:tc>
          <w:tcPr>
            <w:tcW w:type="dxa" w:w="2500"/>
            <w:shd w:fill="FFFFFF" w:val="clear"/>
            <w:tcMar>
              <w:top w:type="dxa" w:w="80"/>
              <w:left w:type="dxa" w:w="100"/>
              <w:bottom w:type="dxa" w:w="80"/>
              <w:right w:type="dxa" w:w="100"/>
            </w:tcMar>
          </w:tcPr>
          <w:p>
            <w:pPr>
              <w:jc w:val="left"/>
            </w:pPr>
            <w:r>
              <w:rPr>
                <w:b w:val="false"/>
                <w:bCs w:val="false"/>
                <w:color w:val="1A1A1A"/>
                <w:sz w:val="19"/>
                <w:szCs w:val="19"/>
              </w:rPr>
              <w:t xml:space="preserve">Mixed-use, price reduced ~$450k in Apr. 2026</w:t>
            </w:r>
          </w:p>
        </w:tc>
      </w:tr>
      <w:tr>
        <w:tc>
          <w:tcPr>
            <w:tcW w:type="dxa" w:w="3400"/>
            <w:shd w:fill="F2F2F2" w:val="clear"/>
            <w:tcMar>
              <w:top w:type="dxa" w:w="80"/>
              <w:left w:type="dxa" w:w="100"/>
              <w:bottom w:type="dxa" w:w="80"/>
              <w:right w:type="dxa" w:w="100"/>
            </w:tcMar>
          </w:tcPr>
          <w:p>
            <w:pPr>
              <w:jc w:val="left"/>
            </w:pPr>
            <w:r>
              <w:rPr>
                <w:b w:val="false"/>
                <w:bCs w:val="false"/>
                <w:color w:val="1A1A1A"/>
                <w:sz w:val="19"/>
                <w:szCs w:val="19"/>
              </w:rPr>
              <w:t xml:space="preserve">5412 Cogbill Rd, Richmond 23234</w:t>
            </w:r>
          </w:p>
        </w:tc>
        <w:tc>
          <w:tcPr>
            <w:tcW w:type="dxa" w:w="1300"/>
            <w:shd w:fill="F2F2F2" w:val="clear"/>
            <w:tcMar>
              <w:top w:type="dxa" w:w="80"/>
              <w:left w:type="dxa" w:w="100"/>
              <w:bottom w:type="dxa" w:w="80"/>
              <w:right w:type="dxa" w:w="100"/>
            </w:tcMar>
          </w:tcPr>
          <w:p>
            <w:pPr>
              <w:jc w:val="left"/>
            </w:pPr>
            <w:r>
              <w:rPr>
                <w:b w:val="false"/>
                <w:bCs w:val="false"/>
                <w:color w:val="1A1A1A"/>
                <w:sz w:val="19"/>
                <w:szCs w:val="19"/>
              </w:rPr>
              <w:t xml:space="preserve">7.16 AC</w:t>
            </w:r>
          </w:p>
        </w:tc>
        <w:tc>
          <w:tcPr>
            <w:tcW w:type="dxa" w:w="1900"/>
            <w:shd w:fill="F2F2F2" w:val="clear"/>
            <w:tcMar>
              <w:top w:type="dxa" w:w="80"/>
              <w:left w:type="dxa" w:w="100"/>
              <w:bottom w:type="dxa" w:w="80"/>
              <w:right w:type="dxa" w:w="100"/>
            </w:tcMar>
          </w:tcPr>
          <w:p>
            <w:pPr>
              <w:jc w:val="left"/>
            </w:pPr>
            <w:r>
              <w:rPr>
                <w:b w:val="false"/>
                <w:bCs w:val="false"/>
                <w:color w:val="1A1A1A"/>
                <w:sz w:val="19"/>
                <w:szCs w:val="19"/>
              </w:rPr>
              <w:t xml:space="preserve">$1,263,000</w:t>
            </w:r>
          </w:p>
        </w:tc>
        <w:tc>
          <w:tcPr>
            <w:tcW w:type="dxa" w:w="1500"/>
            <w:shd w:fill="F2F2F2" w:val="clear"/>
            <w:tcMar>
              <w:top w:type="dxa" w:w="80"/>
              <w:left w:type="dxa" w:w="100"/>
              <w:bottom w:type="dxa" w:w="80"/>
              <w:right w:type="dxa" w:w="100"/>
            </w:tcMar>
          </w:tcPr>
          <w:p>
            <w:pPr>
              <w:jc w:val="left"/>
            </w:pPr>
            <w:r>
              <w:rPr>
                <w:b w:val="false"/>
                <w:bCs w:val="false"/>
                <w:color w:val="1A1A1A"/>
                <w:sz w:val="19"/>
                <w:szCs w:val="19"/>
              </w:rPr>
              <w:t xml:space="preserve">$176,398</w:t>
            </w:r>
          </w:p>
        </w:tc>
        <w:tc>
          <w:tcPr>
            <w:tcW w:type="dxa" w:w="2500"/>
            <w:shd w:fill="F2F2F2" w:val="clear"/>
            <w:tcMar>
              <w:top w:type="dxa" w:w="80"/>
              <w:left w:type="dxa" w:w="100"/>
              <w:bottom w:type="dxa" w:w="80"/>
              <w:right w:type="dxa" w:w="100"/>
            </w:tcMar>
          </w:tcPr>
          <w:p>
            <w:pPr>
              <w:jc w:val="left"/>
            </w:pPr>
            <w:r>
              <w:rPr>
                <w:b w:val="false"/>
                <w:bCs w:val="false"/>
                <w:color w:val="1A1A1A"/>
                <w:sz w:val="19"/>
                <w:szCs w:val="19"/>
              </w:rPr>
              <w:t xml:space="preserve">Commercial, currently under contract</w:t>
            </w:r>
          </w:p>
        </w:tc>
      </w:tr>
    </w:tbl>
    <w:p>
      <w:pPr>
        <w:spacing w:after="120" w:line="264"/>
      </w:pPr>
      <w:r>
        <w:rPr>
          <w:color w:val="1A1A1A"/>
          <w:sz w:val="20"/>
          <w:szCs w:val="20"/>
        </w:rPr>
        <w:t xml:space="preserve"/>
      </w:r>
    </w:p>
    <w:p>
      <w:pPr>
        <w:pStyle w:val="Heading2"/>
        <w:spacing w:after="90" w:before="200"/>
      </w:pPr>
      <w:r>
        <w:rPr>
          <w:b/>
          <w:bCs/>
          <w:color w:val="1A1A1A"/>
          <w:sz w:val="23"/>
          <w:szCs w:val="23"/>
        </w:rPr>
        <w:t xml:space="preserve">6.3 Reading these comps against the subject</w:t>
      </w:r>
    </w:p>
    <w:p>
      <w:pPr>
        <w:pStyle w:val="ListParagraph"/>
        <w:numPr>
          <w:ilvl w:val="0"/>
          <w:numId w:val="2"/>
        </w:numPr>
        <w:spacing w:after="60" w:line="248"/>
      </w:pPr>
      <w:r>
        <w:rPr>
          <w:color w:val="1A1A1A"/>
          <w:sz w:val="20"/>
          <w:szCs w:val="20"/>
        </w:rPr>
        <w:t xml:space="preserve">All four comps are 1–7 acres; the subject is a 26.7-acre assemblage. Larger parcels virtually always trade at a meaningful per-acre discount to small pad sites, since fewer buyers can absorb 26+ acres in one transaction and there's typically a phased-development or single-user discount priced in.</w:t>
      </w:r>
    </w:p>
    <w:p>
      <w:pPr>
        <w:pStyle w:val="ListParagraph"/>
        <w:numPr>
          <w:ilvl w:val="0"/>
          <w:numId w:val="2"/>
        </w:numPr>
        <w:spacing w:after="60" w:line="248"/>
      </w:pPr>
      <w:r>
        <w:rPr>
          <w:color w:val="1A1A1A"/>
          <w:sz w:val="20"/>
          <w:szCs w:val="20"/>
        </w:rPr>
        <w:t xml:space="preserve">The $739,645/acre Midlothian Turnpike comp reflects direct arterial retail/mixed-use frontage — a materially different (higher) use profile than an EC/EG business-park site off a secondary road, and should be treated as a ceiling, not a guide.</w:t>
      </w:r>
    </w:p>
    <w:p>
      <w:pPr>
        <w:pStyle w:val="ListParagraph"/>
        <w:numPr>
          <w:ilvl w:val="0"/>
          <w:numId w:val="2"/>
        </w:numPr>
        <w:spacing w:after="60" w:line="248"/>
      </w:pPr>
      <w:r>
        <w:rPr>
          <w:color w:val="1A1A1A"/>
          <w:sz w:val="20"/>
          <w:szCs w:val="20"/>
        </w:rPr>
        <w:t xml:space="preserve">The industrial-land county average of ~$382,644/acre is the most relevant reference class, but it's also built from small (under 4-acre) parcels; a realistic underwriting range for a 26.7-acre EC/EG assemblage in this submarket is more likely in the neighborhood of $150,000–$300,000 per acre, before adjusting for the specific site's grading, wooded coverage, wetlands/RPA exposure, and confirmed utility capacity — none of which are verified yet.</w:t>
      </w:r>
    </w:p>
    <w:p>
      <w:pPr>
        <w:pStyle w:val="ListParagraph"/>
        <w:numPr>
          <w:ilvl w:val="0"/>
          <w:numId w:val="2"/>
        </w:numPr>
        <w:spacing w:after="60" w:line="248"/>
      </w:pPr>
      <w:r>
        <w:rPr>
          <w:color w:val="1A1A1A"/>
          <w:sz w:val="20"/>
          <w:szCs w:val="20"/>
        </w:rPr>
        <w:t xml:space="preserve">Because three-parcel assemblages carry integration/timing complexity (three sellers, potentially three closings, two zoning districts), buyers typically expect some discount to a single-parcel comp of the same size, all else equal.</w:t>
      </w:r>
    </w:p>
    <w:p>
      <w:pPr>
        <w:spacing w:after="140" w:line="248"/>
      </w:pPr>
      <w:r>
        <w:rPr>
          <w:i/>
          <w:iCs/>
          <w:color w:val="595959"/>
          <w:sz w:val="19"/>
          <w:szCs w:val="19"/>
        </w:rPr>
        <w:t xml:space="preserve">This is a desktop CMA built from public asking-price data, not closed-sale deed records. Chesterfield County's own deed-transfer data (via the READ real estate assessment tool) and a licensed appraiser's sales-comparison approach using closed transactions would materially sharpen this range — recommended before making or countering an offer.</w:t>
      </w:r>
    </w:p>
    <w:p>
      <w:pPr>
        <w:pStyle w:val="Heading2"/>
        <w:spacing w:after="90" w:before="200"/>
      </w:pPr>
      <w:r>
        <w:rPr>
          <w:b/>
          <w:bCs/>
          <w:color w:val="1A1A1A"/>
          <w:sz w:val="23"/>
          <w:szCs w:val="23"/>
        </w:rPr>
        <w:t xml:space="preserve">6.4 Usable-acreage adjustment</w:t>
      </w:r>
    </w:p>
    <w:p>
      <w:pPr>
        <w:spacing w:after="120" w:line="264"/>
      </w:pPr>
      <w:r>
        <w:rPr>
          <w:color w:val="1A1A1A"/>
          <w:sz w:val="20"/>
          <w:szCs w:val="20"/>
        </w:rPr>
        <w:t xml:space="preserve">The $150,000–$300,000/acre range above is priced on gross acreage and assumes most of the 26.7 acres is buildable. If the site's actual usable/developable footprint is closer to 15 acres — with the balance made up of wetlands, steep slope, RPA/stream buffer, or other constrained land visible in the aerial — a rational buyer prices the land on usable acreage, not gross acreage, and the constrained acreage carries only nominal value.</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500"/>
        <w:gridCol w:w="3400"/>
        <w:gridCol w:w="3400"/>
      </w:tblGrid>
      <w:tr>
        <w:trPr>
          <w:tblHeader/>
        </w:trPr>
        <w:tc>
          <w:tcPr>
            <w:tcW w:type="dxa" w:w="2500"/>
            <w:shd w:fill="A6192E" w:val="clear"/>
            <w:tcMar>
              <w:top w:type="dxa" w:w="80"/>
              <w:left w:type="dxa" w:w="100"/>
              <w:bottom w:type="dxa" w:w="80"/>
              <w:right w:type="dxa" w:w="100"/>
            </w:tcMar>
          </w:tcPr>
          <w:p>
            <w:pPr>
              <w:jc w:val="left"/>
            </w:pPr>
            <w:r>
              <w:rPr>
                <w:b/>
                <w:bCs/>
                <w:color w:val="FFFFFF"/>
                <w:sz w:val="19"/>
                <w:szCs w:val="19"/>
              </w:rPr>
              <w:t xml:space="preserve">Basis</w:t>
            </w:r>
          </w:p>
        </w:tc>
        <w:tc>
          <w:tcPr>
            <w:tcW w:type="dxa" w:w="3400"/>
            <w:shd w:fill="A6192E" w:val="clear"/>
            <w:tcMar>
              <w:top w:type="dxa" w:w="80"/>
              <w:left w:type="dxa" w:w="100"/>
              <w:bottom w:type="dxa" w:w="80"/>
              <w:right w:type="dxa" w:w="100"/>
            </w:tcMar>
          </w:tcPr>
          <w:p>
            <w:pPr>
              <w:jc w:val="left"/>
            </w:pPr>
            <w:r>
              <w:rPr>
                <w:b/>
                <w:bCs/>
                <w:color w:val="FFFFFF"/>
                <w:sz w:val="19"/>
                <w:szCs w:val="19"/>
              </w:rPr>
              <w:t xml:space="preserve">Per-acre range</w:t>
            </w:r>
          </w:p>
        </w:tc>
        <w:tc>
          <w:tcPr>
            <w:tcW w:type="dxa" w:w="3400"/>
            <w:shd w:fill="A6192E" w:val="clear"/>
            <w:tcMar>
              <w:top w:type="dxa" w:w="80"/>
              <w:left w:type="dxa" w:w="100"/>
              <w:bottom w:type="dxa" w:w="80"/>
              <w:right w:type="dxa" w:w="100"/>
            </w:tcMar>
          </w:tcPr>
          <w:p>
            <w:pPr>
              <w:jc w:val="left"/>
            </w:pPr>
            <w:r>
              <w:rPr>
                <w:b/>
                <w:bCs/>
                <w:color w:val="FFFFFF"/>
                <w:sz w:val="19"/>
                <w:szCs w:val="19"/>
              </w:rPr>
              <w:t xml:space="preserve">15 usable acres</w:t>
            </w:r>
          </w:p>
        </w:tc>
      </w:tr>
      <w:tr>
        <w:tc>
          <w:tcPr>
            <w:tcW w:type="dxa" w:w="2500"/>
            <w:shd w:fill="FFFFFF" w:val="clear"/>
            <w:tcMar>
              <w:top w:type="dxa" w:w="80"/>
              <w:left w:type="dxa" w:w="100"/>
              <w:bottom w:type="dxa" w:w="80"/>
              <w:right w:type="dxa" w:w="100"/>
            </w:tcMar>
          </w:tcPr>
          <w:p>
            <w:pPr>
              <w:jc w:val="left"/>
            </w:pPr>
            <w:r>
              <w:rPr>
                <w:b w:val="false"/>
                <w:bCs w:val="false"/>
                <w:color w:val="1A1A1A"/>
                <w:sz w:val="19"/>
                <w:szCs w:val="19"/>
              </w:rPr>
              <w:t xml:space="preserve">Low</w:t>
            </w:r>
          </w:p>
        </w:tc>
        <w:tc>
          <w:tcPr>
            <w:tcW w:type="dxa" w:w="3400"/>
            <w:shd w:fill="FFFFFF" w:val="clear"/>
            <w:tcMar>
              <w:top w:type="dxa" w:w="80"/>
              <w:left w:type="dxa" w:w="100"/>
              <w:bottom w:type="dxa" w:w="80"/>
              <w:right w:type="dxa" w:w="100"/>
            </w:tcMar>
          </w:tcPr>
          <w:p>
            <w:pPr>
              <w:jc w:val="left"/>
            </w:pPr>
            <w:r>
              <w:rPr>
                <w:b w:val="false"/>
                <w:bCs w:val="false"/>
                <w:color w:val="1A1A1A"/>
                <w:sz w:val="19"/>
                <w:szCs w:val="19"/>
              </w:rPr>
              <w:t xml:space="preserve">$150,000</w:t>
            </w:r>
          </w:p>
        </w:tc>
        <w:tc>
          <w:tcPr>
            <w:tcW w:type="dxa" w:w="3400"/>
            <w:shd w:fill="FFFFFF" w:val="clear"/>
            <w:tcMar>
              <w:top w:type="dxa" w:w="80"/>
              <w:left w:type="dxa" w:w="100"/>
              <w:bottom w:type="dxa" w:w="80"/>
              <w:right w:type="dxa" w:w="100"/>
            </w:tcMar>
          </w:tcPr>
          <w:p>
            <w:pPr>
              <w:jc w:val="left"/>
            </w:pPr>
            <w:r>
              <w:rPr>
                <w:b w:val="false"/>
                <w:bCs w:val="false"/>
                <w:color w:val="1A1A1A"/>
                <w:sz w:val="19"/>
                <w:szCs w:val="19"/>
              </w:rPr>
              <w:t xml:space="preserve">$2,250,000</w:t>
            </w:r>
          </w:p>
        </w:tc>
      </w:tr>
      <w:tr>
        <w:tc>
          <w:tcPr>
            <w:tcW w:type="dxa" w:w="2500"/>
            <w:shd w:fill="F2F2F2" w:val="clear"/>
            <w:tcMar>
              <w:top w:type="dxa" w:w="80"/>
              <w:left w:type="dxa" w:w="100"/>
              <w:bottom w:type="dxa" w:w="80"/>
              <w:right w:type="dxa" w:w="100"/>
            </w:tcMar>
          </w:tcPr>
          <w:p>
            <w:pPr>
              <w:jc w:val="left"/>
            </w:pPr>
            <w:r>
              <w:rPr>
                <w:b w:val="false"/>
                <w:bCs w:val="false"/>
                <w:color w:val="1A1A1A"/>
                <w:sz w:val="19"/>
                <w:szCs w:val="19"/>
              </w:rPr>
              <w:t xml:space="preserve">Mid</w:t>
            </w:r>
          </w:p>
        </w:tc>
        <w:tc>
          <w:tcPr>
            <w:tcW w:type="dxa" w:w="3400"/>
            <w:shd w:fill="F2F2F2" w:val="clear"/>
            <w:tcMar>
              <w:top w:type="dxa" w:w="80"/>
              <w:left w:type="dxa" w:w="100"/>
              <w:bottom w:type="dxa" w:w="80"/>
              <w:right w:type="dxa" w:w="100"/>
            </w:tcMar>
          </w:tcPr>
          <w:p>
            <w:pPr>
              <w:jc w:val="left"/>
            </w:pPr>
            <w:r>
              <w:rPr>
                <w:b w:val="false"/>
                <w:bCs w:val="false"/>
                <w:color w:val="1A1A1A"/>
                <w:sz w:val="19"/>
                <w:szCs w:val="19"/>
              </w:rPr>
              <w:t xml:space="preserve">$225,000</w:t>
            </w:r>
          </w:p>
        </w:tc>
        <w:tc>
          <w:tcPr>
            <w:tcW w:type="dxa" w:w="3400"/>
            <w:shd w:fill="F2F2F2" w:val="clear"/>
            <w:tcMar>
              <w:top w:type="dxa" w:w="80"/>
              <w:left w:type="dxa" w:w="100"/>
              <w:bottom w:type="dxa" w:w="80"/>
              <w:right w:type="dxa" w:w="100"/>
            </w:tcMar>
          </w:tcPr>
          <w:p>
            <w:pPr>
              <w:jc w:val="left"/>
            </w:pPr>
            <w:r>
              <w:rPr>
                <w:b w:val="false"/>
                <w:bCs w:val="false"/>
                <w:color w:val="1A1A1A"/>
                <w:sz w:val="19"/>
                <w:szCs w:val="19"/>
              </w:rPr>
              <w:t xml:space="preserve">$3,375,000</w:t>
            </w:r>
          </w:p>
        </w:tc>
      </w:tr>
      <w:tr>
        <w:tc>
          <w:tcPr>
            <w:tcW w:type="dxa" w:w="2500"/>
            <w:shd w:fill="FFFFFF" w:val="clear"/>
            <w:tcMar>
              <w:top w:type="dxa" w:w="80"/>
              <w:left w:type="dxa" w:w="100"/>
              <w:bottom w:type="dxa" w:w="80"/>
              <w:right w:type="dxa" w:w="100"/>
            </w:tcMar>
          </w:tcPr>
          <w:p>
            <w:pPr>
              <w:jc w:val="left"/>
            </w:pPr>
            <w:r>
              <w:rPr>
                <w:b w:val="false"/>
                <w:bCs w:val="false"/>
                <w:color w:val="1A1A1A"/>
                <w:sz w:val="19"/>
                <w:szCs w:val="19"/>
              </w:rPr>
              <w:t xml:space="preserve">High</w:t>
            </w:r>
          </w:p>
        </w:tc>
        <w:tc>
          <w:tcPr>
            <w:tcW w:type="dxa" w:w="3400"/>
            <w:shd w:fill="FFFFFF" w:val="clear"/>
            <w:tcMar>
              <w:top w:type="dxa" w:w="80"/>
              <w:left w:type="dxa" w:w="100"/>
              <w:bottom w:type="dxa" w:w="80"/>
              <w:right w:type="dxa" w:w="100"/>
            </w:tcMar>
          </w:tcPr>
          <w:p>
            <w:pPr>
              <w:jc w:val="left"/>
            </w:pPr>
            <w:r>
              <w:rPr>
                <w:b w:val="false"/>
                <w:bCs w:val="false"/>
                <w:color w:val="1A1A1A"/>
                <w:sz w:val="19"/>
                <w:szCs w:val="19"/>
              </w:rPr>
              <w:t xml:space="preserve">$300,000</w:t>
            </w:r>
          </w:p>
        </w:tc>
        <w:tc>
          <w:tcPr>
            <w:tcW w:type="dxa" w:w="3400"/>
            <w:shd w:fill="FFFFFF" w:val="clear"/>
            <w:tcMar>
              <w:top w:type="dxa" w:w="80"/>
              <w:left w:type="dxa" w:w="100"/>
              <w:bottom w:type="dxa" w:w="80"/>
              <w:right w:type="dxa" w:w="100"/>
            </w:tcMar>
          </w:tcPr>
          <w:p>
            <w:pPr>
              <w:jc w:val="left"/>
            </w:pPr>
            <w:r>
              <w:rPr>
                <w:b w:val="false"/>
                <w:bCs w:val="false"/>
                <w:color w:val="1A1A1A"/>
                <w:sz w:val="19"/>
                <w:szCs w:val="19"/>
              </w:rPr>
              <w:t xml:space="preserve">$4,500,000</w:t>
            </w:r>
          </w:p>
        </w:tc>
      </w:tr>
    </w:tbl>
    <w:p>
      <w:pPr>
        <w:spacing w:after="120" w:line="264"/>
      </w:pPr>
      <w:r>
        <w:rPr>
          <w:color w:val="1A1A1A"/>
          <w:sz w:val="20"/>
          <w:szCs w:val="20"/>
        </w:rPr>
        <w:t xml:space="preserve"/>
      </w:r>
    </w:p>
    <w:p>
      <w:pPr>
        <w:spacing w:after="120" w:line="264"/>
      </w:pPr>
      <w:r>
        <w:rPr>
          <w:color w:val="1A1A1A"/>
          <w:sz w:val="20"/>
          <w:szCs w:val="20"/>
        </w:rPr>
        <w:t xml:space="preserve">Add a nominal allowance for the remaining ~11.7 constrained acres — wetlands/buffer/steep-slope land isn't worthless; it still conveys with the deed, can count toward required amenity-space or open-space credit under EC/EG, and may carry minor timber or agricultural value — at roughly $5,000–$15,000/acre, or about $58,500–$175,500 total.</w:t>
      </w:r>
    </w:p>
    <w:p>
      <w:pPr>
        <w:spacing w:after="120" w:line="264"/>
      </w:pPr>
      <w:r>
        <w:rPr>
          <w:b/>
          <w:bCs/>
          <w:color w:val="1A1A1A"/>
          <w:sz w:val="20"/>
          <w:szCs w:val="20"/>
        </w:rPr>
        <w:t xml:space="preserve">Revised total estimate on a 15-usable-acre basis: approximately $2.3M–$4.7M, with a midpoint around $3.4M–$3.6M — down from the ~$4.0M–$8.0M full-acreage estimate in Section 6.3, roughly proportional to a 44% reduction in developable footprint. This would also pull the earlier reserve discussion down to roughly $2.0M–$2.5M as a floor rather than the $3.6M+ suggested under the full-acreage assumption.</w:t>
      </w:r>
    </w:p>
    <w:p>
      <w:pPr>
        <w:spacing w:after="140" w:line="248"/>
      </w:pPr>
      <w:r>
        <w:rPr>
          <w:i/>
          <w:iCs/>
          <w:color w:val="595959"/>
          <w:sz w:val="19"/>
          <w:szCs w:val="19"/>
        </w:rPr>
        <w:t xml:space="preserve">"Closer to 15 acres" is a visual read of the site, not a verified figure. This is exactly why the wetlands/RPA delineation on the due-diligence checklist (Section 8.1) matters so much here — it is the single data point that swings this valuation by roughly $2 million, and should be commissioned before any reserve is finalized.</w:t>
      </w:r>
    </w:p>
    <w:p>
      <w:pPr>
        <w:pStyle w:val="Heading1"/>
        <w:pBdr>
          <w:bottom w:val="single" w:color="A6192E" w:sz="6" w:space="4"/>
        </w:pBdr>
        <w:spacing w:after="120" w:before="260"/>
      </w:pPr>
      <w:r>
        <w:rPr>
          <w:b/>
          <w:bCs/>
          <w:color w:val="A6192E"/>
          <w:sz w:val="28"/>
          <w:szCs w:val="28"/>
        </w:rPr>
        <w:t xml:space="preserve">7. Demographics (as presented on flyer)</w:t>
      </w:r>
    </w:p>
    <w:tbl>
      <w:tblPr>
        <w:tblW w:type="dxa" w:w="11200"/>
        <w:tblBorders>
          <w:top w:val="single" w:color="auto" w:sz="4"/>
          <w:left w:val="single" w:color="auto" w:sz="4"/>
          <w:bottom w:val="single" w:color="auto" w:sz="4"/>
          <w:right w:val="single" w:color="auto" w:sz="4"/>
          <w:insideH w:val="single" w:color="auto" w:sz="4"/>
          <w:insideV w:val="single" w:color="auto" w:sz="4"/>
        </w:tblBorders>
      </w:tblPr>
      <w:tblGrid>
        <w:gridCol w:w="4000"/>
        <w:gridCol w:w="3600"/>
        <w:gridCol w:w="3600"/>
      </w:tblGrid>
      <w:tr>
        <w:trPr>
          <w:tblHeader/>
        </w:trPr>
        <w:tc>
          <w:tcPr>
            <w:tcW w:type="dxa" w:w="4000"/>
            <w:shd w:fill="A6192E" w:val="clear"/>
            <w:tcMar>
              <w:top w:type="dxa" w:w="80"/>
              <w:left w:type="dxa" w:w="100"/>
              <w:bottom w:type="dxa" w:w="80"/>
              <w:right w:type="dxa" w:w="100"/>
            </w:tcMar>
          </w:tcPr>
          <w:p>
            <w:pPr>
              <w:jc w:val="left"/>
            </w:pPr>
            <w:r>
              <w:rPr>
                <w:b/>
                <w:bCs/>
                <w:color w:val="FFFFFF"/>
                <w:sz w:val="19"/>
                <w:szCs w:val="19"/>
              </w:rPr>
              <w:t xml:space="preserve">Metric</w:t>
            </w:r>
          </w:p>
        </w:tc>
        <w:tc>
          <w:tcPr>
            <w:tcW w:type="dxa" w:w="3600"/>
            <w:shd w:fill="A6192E" w:val="clear"/>
            <w:tcMar>
              <w:top w:type="dxa" w:w="80"/>
              <w:left w:type="dxa" w:w="100"/>
              <w:bottom w:type="dxa" w:w="80"/>
              <w:right w:type="dxa" w:w="100"/>
            </w:tcMar>
          </w:tcPr>
          <w:p>
            <w:pPr>
              <w:jc w:val="left"/>
            </w:pPr>
            <w:r>
              <w:rPr>
                <w:b/>
                <w:bCs/>
                <w:color w:val="FFFFFF"/>
                <w:sz w:val="19"/>
                <w:szCs w:val="19"/>
              </w:rPr>
              <w:t xml:space="preserve">Midlothian District</w:t>
            </w:r>
          </w:p>
        </w:tc>
        <w:tc>
          <w:tcPr>
            <w:tcW w:type="dxa" w:w="3600"/>
            <w:shd w:fill="A6192E" w:val="clear"/>
            <w:tcMar>
              <w:top w:type="dxa" w:w="80"/>
              <w:left w:type="dxa" w:w="100"/>
              <w:bottom w:type="dxa" w:w="80"/>
              <w:right w:type="dxa" w:w="100"/>
            </w:tcMar>
          </w:tcPr>
          <w:p>
            <w:pPr>
              <w:jc w:val="left"/>
            </w:pPr>
            <w:r>
              <w:rPr>
                <w:b/>
                <w:bCs/>
                <w:color w:val="FFFFFF"/>
                <w:sz w:val="19"/>
                <w:szCs w:val="19"/>
              </w:rPr>
              <w:t xml:space="preserve">Chesterfield County</w:t>
            </w:r>
          </w:p>
        </w:tc>
      </w:tr>
      <w:tr>
        <w:tc>
          <w:tcPr>
            <w:tcW w:type="dxa" w:w="4000"/>
            <w:shd w:fill="FFFFFF" w:val="clear"/>
            <w:tcMar>
              <w:top w:type="dxa" w:w="80"/>
              <w:left w:type="dxa" w:w="100"/>
              <w:bottom w:type="dxa" w:w="80"/>
              <w:right w:type="dxa" w:w="100"/>
            </w:tcMar>
          </w:tcPr>
          <w:p>
            <w:pPr>
              <w:jc w:val="left"/>
            </w:pPr>
            <w:r>
              <w:rPr>
                <w:b w:val="false"/>
                <w:bCs w:val="false"/>
                <w:color w:val="1A1A1A"/>
                <w:sz w:val="19"/>
                <w:szCs w:val="19"/>
              </w:rPr>
              <w:t xml:space="preserve">Population</w:t>
            </w:r>
          </w:p>
        </w:tc>
        <w:tc>
          <w:tcPr>
            <w:tcW w:type="dxa" w:w="3600"/>
            <w:shd w:fill="FFFFFF" w:val="clear"/>
            <w:tcMar>
              <w:top w:type="dxa" w:w="80"/>
              <w:left w:type="dxa" w:w="100"/>
              <w:bottom w:type="dxa" w:w="80"/>
              <w:right w:type="dxa" w:w="100"/>
            </w:tcMar>
          </w:tcPr>
          <w:p>
            <w:pPr>
              <w:jc w:val="left"/>
            </w:pPr>
            <w:r>
              <w:rPr>
                <w:b w:val="false"/>
                <w:bCs w:val="false"/>
                <w:color w:val="1A1A1A"/>
                <w:sz w:val="19"/>
                <w:szCs w:val="19"/>
              </w:rPr>
              <w:t xml:space="preserve">72,657</w:t>
            </w:r>
          </w:p>
        </w:tc>
        <w:tc>
          <w:tcPr>
            <w:tcW w:type="dxa" w:w="3600"/>
            <w:shd w:fill="FFFFFF" w:val="clear"/>
            <w:tcMar>
              <w:top w:type="dxa" w:w="80"/>
              <w:left w:type="dxa" w:w="100"/>
              <w:bottom w:type="dxa" w:w="80"/>
              <w:right w:type="dxa" w:w="100"/>
            </w:tcMar>
          </w:tcPr>
          <w:p>
            <w:pPr>
              <w:jc w:val="left"/>
            </w:pPr>
            <w:r>
              <w:rPr>
                <w:b w:val="false"/>
                <w:bCs w:val="false"/>
                <w:color w:val="1A1A1A"/>
                <w:sz w:val="19"/>
                <w:szCs w:val="19"/>
              </w:rPr>
              <w:t xml:space="preserve">401,301</w:t>
            </w:r>
          </w:p>
        </w:tc>
      </w:tr>
      <w:tr>
        <w:tc>
          <w:tcPr>
            <w:tcW w:type="dxa" w:w="4000"/>
            <w:shd w:fill="F2F2F2" w:val="clear"/>
            <w:tcMar>
              <w:top w:type="dxa" w:w="80"/>
              <w:left w:type="dxa" w:w="100"/>
              <w:bottom w:type="dxa" w:w="80"/>
              <w:right w:type="dxa" w:w="100"/>
            </w:tcMar>
          </w:tcPr>
          <w:p>
            <w:pPr>
              <w:jc w:val="left"/>
            </w:pPr>
            <w:r>
              <w:rPr>
                <w:b w:val="false"/>
                <w:bCs w:val="false"/>
                <w:color w:val="1A1A1A"/>
                <w:sz w:val="19"/>
                <w:szCs w:val="19"/>
              </w:rPr>
              <w:t xml:space="preserve">Median HH Income</w:t>
            </w:r>
          </w:p>
        </w:tc>
        <w:tc>
          <w:tcPr>
            <w:tcW w:type="dxa" w:w="3600"/>
            <w:shd w:fill="F2F2F2" w:val="clear"/>
            <w:tcMar>
              <w:top w:type="dxa" w:w="80"/>
              <w:left w:type="dxa" w:w="100"/>
              <w:bottom w:type="dxa" w:w="80"/>
              <w:right w:type="dxa" w:w="100"/>
            </w:tcMar>
          </w:tcPr>
          <w:p>
            <w:pPr>
              <w:jc w:val="left"/>
            </w:pPr>
            <w:r>
              <w:rPr>
                <w:b w:val="false"/>
                <w:bCs w:val="false"/>
                <w:color w:val="1A1A1A"/>
                <w:sz w:val="19"/>
                <w:szCs w:val="19"/>
              </w:rPr>
              <w:t xml:space="preserve">$104,053</w:t>
            </w:r>
          </w:p>
        </w:tc>
        <w:tc>
          <w:tcPr>
            <w:tcW w:type="dxa" w:w="3600"/>
            <w:shd w:fill="F2F2F2" w:val="clear"/>
            <w:tcMar>
              <w:top w:type="dxa" w:w="80"/>
              <w:left w:type="dxa" w:w="100"/>
              <w:bottom w:type="dxa" w:w="80"/>
              <w:right w:type="dxa" w:w="100"/>
            </w:tcMar>
          </w:tcPr>
          <w:p>
            <w:pPr>
              <w:jc w:val="left"/>
            </w:pPr>
            <w:r>
              <w:rPr>
                <w:b w:val="false"/>
                <w:bCs w:val="false"/>
                <w:color w:val="1A1A1A"/>
                <w:sz w:val="19"/>
                <w:szCs w:val="19"/>
              </w:rPr>
              <w:t xml:space="preserve">$101,931</w:t>
            </w:r>
          </w:p>
        </w:tc>
      </w:tr>
      <w:tr>
        <w:tc>
          <w:tcPr>
            <w:tcW w:type="dxa" w:w="4000"/>
            <w:shd w:fill="FFFFFF" w:val="clear"/>
            <w:tcMar>
              <w:top w:type="dxa" w:w="80"/>
              <w:left w:type="dxa" w:w="100"/>
              <w:bottom w:type="dxa" w:w="80"/>
              <w:right w:type="dxa" w:w="100"/>
            </w:tcMar>
          </w:tcPr>
          <w:p>
            <w:pPr>
              <w:jc w:val="left"/>
            </w:pPr>
            <w:r>
              <w:rPr>
                <w:b w:val="false"/>
                <w:bCs w:val="false"/>
                <w:color w:val="1A1A1A"/>
                <w:sz w:val="19"/>
                <w:szCs w:val="19"/>
              </w:rPr>
              <w:t xml:space="preserve">Median Age</w:t>
            </w:r>
          </w:p>
        </w:tc>
        <w:tc>
          <w:tcPr>
            <w:tcW w:type="dxa" w:w="3600"/>
            <w:shd w:fill="FFFFFF" w:val="clear"/>
            <w:tcMar>
              <w:top w:type="dxa" w:w="80"/>
              <w:left w:type="dxa" w:w="100"/>
              <w:bottom w:type="dxa" w:w="80"/>
              <w:right w:type="dxa" w:w="100"/>
            </w:tcMar>
          </w:tcPr>
          <w:p>
            <w:pPr>
              <w:jc w:val="left"/>
            </w:pPr>
            <w:r>
              <w:rPr>
                <w:b w:val="false"/>
                <w:bCs w:val="false"/>
                <w:color w:val="1A1A1A"/>
                <w:sz w:val="19"/>
                <w:szCs w:val="19"/>
              </w:rPr>
              <w:t xml:space="preserve">40.8</w:t>
            </w:r>
          </w:p>
        </w:tc>
        <w:tc>
          <w:tcPr>
            <w:tcW w:type="dxa" w:w="3600"/>
            <w:shd w:fill="FFFFFF" w:val="clear"/>
            <w:tcMar>
              <w:top w:type="dxa" w:w="80"/>
              <w:left w:type="dxa" w:w="100"/>
              <w:bottom w:type="dxa" w:w="80"/>
              <w:right w:type="dxa" w:w="100"/>
            </w:tcMar>
          </w:tcPr>
          <w:p>
            <w:pPr>
              <w:jc w:val="left"/>
            </w:pPr>
            <w:r>
              <w:rPr>
                <w:b w:val="false"/>
                <w:bCs w:val="false"/>
                <w:color w:val="1A1A1A"/>
                <w:sz w:val="19"/>
                <w:szCs w:val="19"/>
              </w:rPr>
              <w:t xml:space="preserve">39.0</w:t>
            </w:r>
          </w:p>
        </w:tc>
      </w:tr>
    </w:tbl>
    <w:p>
      <w:pPr>
        <w:spacing w:after="120" w:line="264"/>
      </w:pPr>
      <w:r>
        <w:rPr>
          <w:color w:val="1A1A1A"/>
          <w:sz w:val="20"/>
          <w:szCs w:val="20"/>
        </w:rPr>
        <w:t xml:space="preserve"/>
      </w:r>
    </w:p>
    <w:p>
      <w:pPr>
        <w:spacing w:after="120" w:line="264"/>
      </w:pPr>
      <w:r>
        <w:rPr>
          <w:color w:val="1A1A1A"/>
          <w:sz w:val="20"/>
          <w:szCs w:val="20"/>
        </w:rPr>
        <w:t xml:space="preserve">Chesterfield County's population grew 10.1% from 2020–2025 per the Weldon Cooper Center estimate cited on the flyer — reportedly the largest nominal population gain of any Virginia locality over that span. This supports the flyer's framing of the area as a growth submarket, though it speaks to overall county growth rather than employment-sector demand specifically.</w:t>
      </w:r>
    </w:p>
    <w:p>
      <w:pPr>
        <w:pStyle w:val="Heading1"/>
        <w:pBdr>
          <w:bottom w:val="single" w:color="A6192E" w:sz="6" w:space="4"/>
        </w:pBdr>
        <w:spacing w:after="120" w:before="260"/>
      </w:pPr>
      <w:r>
        <w:rPr>
          <w:b/>
          <w:bCs/>
          <w:color w:val="A6192E"/>
          <w:sz w:val="28"/>
          <w:szCs w:val="28"/>
        </w:rPr>
        <w:t xml:space="preserve">8. Sources &amp; Next Steps</w:t>
      </w:r>
    </w:p>
    <w:p>
      <w:pPr>
        <w:pStyle w:val="Heading2"/>
        <w:spacing w:after="90" w:before="200"/>
      </w:pPr>
      <w:r>
        <w:rPr>
          <w:b/>
          <w:bCs/>
          <w:color w:val="1A1A1A"/>
          <w:sz w:val="23"/>
          <w:szCs w:val="23"/>
        </w:rPr>
        <w:t xml:space="preserve">8.1 Recommended due-diligence checklist</w:t>
      </w:r>
    </w:p>
    <w:p>
      <w:pPr>
        <w:pStyle w:val="ListParagraph"/>
        <w:numPr>
          <w:ilvl w:val="0"/>
          <w:numId w:val="2"/>
        </w:numPr>
        <w:spacing w:after="60" w:line="248"/>
      </w:pPr>
      <w:r>
        <w:rPr>
          <w:color w:val="1A1A1A"/>
          <w:sz w:val="20"/>
          <w:szCs w:val="20"/>
        </w:rPr>
        <w:t xml:space="preserve">Written zoning verification letter from Chesterfield Planning for all three GPINs (by-right / restricted / conditional use confirmation, including whether standalone warehouse/distribution is achievable in EC/EG or requires WD)</w:t>
      </w:r>
    </w:p>
    <w:p>
      <w:pPr>
        <w:pStyle w:val="ListParagraph"/>
        <w:numPr>
          <w:ilvl w:val="0"/>
          <w:numId w:val="2"/>
        </w:numPr>
        <w:spacing w:after="60" w:line="248"/>
      </w:pPr>
      <w:r>
        <w:rPr>
          <w:color w:val="1A1A1A"/>
          <w:sz w:val="20"/>
          <w:szCs w:val="20"/>
        </w:rPr>
        <w:t xml:space="preserve">Written water &amp; sewer availability determination from Chesterfield Utilities (804-748-1864)</w:t>
      </w:r>
    </w:p>
    <w:p>
      <w:pPr>
        <w:pStyle w:val="ListParagraph"/>
        <w:numPr>
          <w:ilvl w:val="0"/>
          <w:numId w:val="2"/>
        </w:numPr>
        <w:spacing w:after="60" w:line="248"/>
      </w:pPr>
      <w:r>
        <w:rPr>
          <w:color w:val="1A1A1A"/>
          <w:sz w:val="20"/>
          <w:szCs w:val="20"/>
        </w:rPr>
        <w:t xml:space="preserve">Current VDOT AADT pull for Cardwell Rd / Castlewood Rd, plus a traffic impact analysis once a target use is identified</w:t>
      </w:r>
    </w:p>
    <w:p>
      <w:pPr>
        <w:pStyle w:val="ListParagraph"/>
        <w:numPr>
          <w:ilvl w:val="0"/>
          <w:numId w:val="2"/>
        </w:numPr>
        <w:spacing w:after="60" w:line="248"/>
      </w:pPr>
      <w:r>
        <w:rPr>
          <w:color w:val="1A1A1A"/>
          <w:sz w:val="20"/>
          <w:szCs w:val="20"/>
        </w:rPr>
        <w:t xml:space="preserve">Boundary/ALTA survey confirming the 26.7-acre assemblage and easements</w:t>
      </w:r>
    </w:p>
    <w:p>
      <w:pPr>
        <w:pStyle w:val="ListParagraph"/>
        <w:numPr>
          <w:ilvl w:val="0"/>
          <w:numId w:val="2"/>
        </w:numPr>
        <w:spacing w:after="60" w:line="248"/>
      </w:pPr>
      <w:r>
        <w:rPr>
          <w:color w:val="1A1A1A"/>
          <w:sz w:val="20"/>
          <w:szCs w:val="20"/>
        </w:rPr>
        <w:t xml:space="preserve">Wetlands/RPA (Resource Protection Area) delineation and Phase I environmental site assessment — highest-priority item given the usable-acreage question in Section 6.4</w:t>
      </w:r>
    </w:p>
    <w:p>
      <w:pPr>
        <w:pStyle w:val="ListParagraph"/>
        <w:numPr>
          <w:ilvl w:val="0"/>
          <w:numId w:val="2"/>
        </w:numPr>
        <w:spacing w:after="60" w:line="248"/>
      </w:pPr>
      <w:r>
        <w:rPr>
          <w:color w:val="1A1A1A"/>
          <w:sz w:val="20"/>
          <w:szCs w:val="20"/>
        </w:rPr>
        <w:t xml:space="preserve">Closed-sale comps (not just asking prices) via Chesterfield's READ assessment tool or a local commercial appraiser</w:t>
      </w:r>
    </w:p>
    <w:p>
      <w:pPr>
        <w:pStyle w:val="Heading2"/>
        <w:spacing w:after="90" w:before="200"/>
      </w:pPr>
      <w:r>
        <w:rPr>
          <w:b/>
          <w:bCs/>
          <w:color w:val="1A1A1A"/>
          <w:sz w:val="23"/>
          <w:szCs w:val="23"/>
        </w:rPr>
        <w:t xml:space="preserve">8.2 Key sources consulted</w:t>
      </w:r>
    </w:p>
    <w:p>
      <w:pPr>
        <w:spacing w:after="80"/>
      </w:pPr>
      <w:hyperlink w:history="1" r:id="rIdvrea2poriyfhoqmyxyqm5">
        <w:r>
          <w:rPr>
            <w:color w:val="1155CC"/>
            <w:sz w:val="19"/>
            <w:szCs w:val="19"/>
            <w:u w:val="single"/>
          </w:rPr>
          <w:t xml:space="preserve">Chesterfield County ZOMod / Zoning Ordinance Modernization</w:t>
        </w:r>
      </w:hyperlink>
    </w:p>
    <w:p>
      <w:pPr>
        <w:spacing w:after="80"/>
      </w:pPr>
      <w:hyperlink w:history="1" r:id="rId4j-0qktjpja3andnmhpag">
        <w:r>
          <w:rPr>
            <w:color w:val="1155CC"/>
            <w:sz w:val="19"/>
            <w:szCs w:val="19"/>
            <w:u w:val="single"/>
          </w:rPr>
          <w:t xml:space="preserve">Chapter 19.2 Zoning Ordinance (effective Jan. 1, 2026)</w:t>
        </w:r>
      </w:hyperlink>
    </w:p>
    <w:p>
      <w:pPr>
        <w:spacing w:after="80"/>
      </w:pPr>
      <w:hyperlink w:history="1" r:id="rIdhzj6mmnrofltublbofzfm">
        <w:r>
          <w:rPr>
            <w:color w:val="1155CC"/>
            <w:sz w:val="19"/>
            <w:szCs w:val="19"/>
            <w:u w:val="single"/>
          </w:rPr>
          <w:t xml:space="preserve">Richmond BizSense — ZOMod final approval coverage</w:t>
        </w:r>
      </w:hyperlink>
    </w:p>
    <w:p>
      <w:pPr>
        <w:spacing w:after="80"/>
      </w:pPr>
      <w:hyperlink w:history="1" r:id="rIdpl6qny1mvuoxdub5uak6i">
        <w:r>
          <w:rPr>
            <w:color w:val="1155CC"/>
            <w:sz w:val="19"/>
            <w:szCs w:val="19"/>
            <w:u w:val="single"/>
          </w:rPr>
          <w:t xml:space="preserve">Chesterfield County Transportation Projects (Route 288 / Genito Rd)</w:t>
        </w:r>
      </w:hyperlink>
    </w:p>
    <w:p>
      <w:pPr>
        <w:spacing w:after="80"/>
      </w:pPr>
      <w:hyperlink w:history="1" r:id="rIdpq2xhbx7hrvr8uom2ocz2">
        <w:r>
          <w:rPr>
            <w:color w:val="1155CC"/>
            <w:sz w:val="19"/>
            <w:szCs w:val="19"/>
            <w:u w:val="single"/>
          </w:rPr>
          <w:t xml:space="preserve">Chesterfield County Utilities</w:t>
        </w:r>
      </w:hyperlink>
    </w:p>
    <w:p>
      <w:pPr>
        <w:spacing w:after="80"/>
      </w:pPr>
      <w:hyperlink w:history="1" r:id="rId_dui5gmjlux6kyq2lxuum">
        <w:r>
          <w:rPr>
            <w:color w:val="1155CC"/>
            <w:sz w:val="19"/>
            <w:szCs w:val="19"/>
            <w:u w:val="single"/>
          </w:rPr>
          <w:t xml:space="preserve">LandSearch — Chesterfield County industrial land listings</w:t>
        </w:r>
      </w:hyperlink>
    </w:p>
    <w:p>
      <w:pPr>
        <w:spacing w:after="200"/>
      </w:pPr>
      <w:hyperlink w:history="1" r:id="rIdxqlenkpgorijynmcjefkb">
        <w:r>
          <w:rPr>
            <w:color w:val="1155CC"/>
            <w:sz w:val="19"/>
            <w:szCs w:val="19"/>
            <w:u w:val="single"/>
          </w:rPr>
          <w:t xml:space="preserve">Chesterfield County Real Estate Assessment Data (READ)</w:t>
        </w:r>
      </w:hyperlink>
    </w:p>
    <w:p>
      <w:pPr>
        <w:spacing w:after="140" w:line="248"/>
      </w:pPr>
      <w:r>
        <w:rPr>
          <w:i/>
          <w:iCs/>
          <w:color w:val="595959"/>
          <w:sz w:val="19"/>
          <w:szCs w:val="19"/>
        </w:rPr>
        <w:t xml:space="preserve">Prepared for informational purposes to support due diligence on the Shread Companies listing at Cardwell &amp; Castlewood Road. Not a substitute for legal, zoning, engineering, or appraisal advice.</w:t>
      </w:r>
    </w:p>
    <w:p>
      <w:pPr>
        <w:pBdr>
          <w:top w:val="single" w:color="999999" w:sz="4" w:space="6"/>
        </w:pBdr>
        <w:spacing w:after="40" w:before="500"/>
      </w:pPr>
      <w:r>
        <w:rPr>
          <w:b/>
          <w:bCs/>
          <w:color w:val="1A1A1A"/>
          <w:sz w:val="20"/>
          <w:szCs w:val="20"/>
        </w:rPr>
        <w:t xml:space="preserve">Prepared by Tim Dudley</w:t>
      </w:r>
    </w:p>
    <w:p>
      <w:pPr>
        <w:spacing w:after="20"/>
      </w:pPr>
      <w:r>
        <w:rPr>
          <w:color w:val="1A1A1A"/>
          <w:sz w:val="19"/>
          <w:szCs w:val="19"/>
        </w:rPr>
        <w:t xml:space="preserve">Dudley Resources</w:t>
      </w:r>
    </w:p>
    <w:p>
      <w:pPr>
        <w:spacing w:after="20"/>
      </w:pPr>
      <w:r>
        <w:rPr>
          <w:color w:val="1A1A1A"/>
          <w:sz w:val="19"/>
          <w:szCs w:val="19"/>
        </w:rPr>
        <w:t xml:space="preserve">9601 Gayton Rd., Suite 207</w:t>
      </w:r>
    </w:p>
    <w:p>
      <w:pPr>
        <w:spacing w:after="20"/>
      </w:pPr>
      <w:r>
        <w:rPr>
          <w:color w:val="1A1A1A"/>
          <w:sz w:val="19"/>
          <w:szCs w:val="19"/>
        </w:rPr>
        <w:t xml:space="preserve">Henrico, Virginia 23238</w:t>
      </w:r>
    </w:p>
    <w:p>
      <w:pPr>
        <w:spacing w:after="20"/>
      </w:pPr>
      <w:r>
        <w:rPr>
          <w:color w:val="1A1A1A"/>
          <w:sz w:val="19"/>
          <w:szCs w:val="19"/>
        </w:rPr>
        <w:t xml:space="preserve">Phone: 804-709-1954</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rea2poriyfhoqmyxyqm5" Type="http://schemas.openxmlformats.org/officeDocument/2006/relationships/hyperlink" Target="https://www.chesterfield.gov/5102/Zoning-Ordinance-Modernization-Project" TargetMode="External"/><Relationship Id="rId4j-0qktjpja3andnmhpag" Type="http://schemas.openxmlformats.org/officeDocument/2006/relationships/hyperlink" Target="https://online.encodeplus.com/regs/chesterfieldcounty-va-zomod/index.aspx" TargetMode="External"/><Relationship Id="rIdhzj6mmnrofltublbofzfm" Type="http://schemas.openxmlformats.org/officeDocument/2006/relationships/hyperlink" Target="https://richmondbizsense.com/2025/09/18/chesterfield-supervisors-give-final-approval-to-zomod-zoning-ordinance-overhaul/" TargetMode="External"/><Relationship Id="rIdpl6qny1mvuoxdub5uak6i" Type="http://schemas.openxmlformats.org/officeDocument/2006/relationships/hyperlink" Target="https://www.chesterfield.gov/696/Transportation-Projects" TargetMode="External"/><Relationship Id="rIdpq2xhbx7hrvr8uom2ocz2" Type="http://schemas.openxmlformats.org/officeDocument/2006/relationships/hyperlink" Target="https://www.chesterfield.gov/236/Utilities" TargetMode="External"/><Relationship Id="rId_dui5gmjlux6kyq2lxuum" Type="http://schemas.openxmlformats.org/officeDocument/2006/relationships/hyperlink" Target="https://www.landsearch.com/industrial/chesterfield-county-va" TargetMode="External"/><Relationship Id="rIdxqlenkpgorijynmcjefkb" Type="http://schemas.openxmlformats.org/officeDocument/2006/relationships/hyperlink" Target="https://www.chesterfield.gov/828/Real-Estate-Assessment-Data"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2026-07-30T18:26:01.902Z</dcterms:created>
  <dcterms:modified xsi:type="dcterms:W3CDTF">2026-07-30T18:26:01.903Z</dcterms:modified>
</cp:coreProperties>
</file>

<file path=docProps/custom.xml><?xml version="1.0" encoding="utf-8"?>
<Properties xmlns="http://schemas.openxmlformats.org/officeDocument/2006/custom-properties" xmlns:vt="http://schemas.openxmlformats.org/officeDocument/2006/docPropsVTypes"/>
</file>