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00" w:afterAutospacing="1" w:before="100" w:beforeAutospacing="1" w:line="240" w:lineRule="auto"/>
        <w:ind/>
        <w:rPr>
          <w:rFonts w:ascii="Times New Roman" w:hAnsi="Times New Roman" w:eastAsia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s-CO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s-CO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s-CO"/>
        </w:rPr>
      </w:r>
    </w:p>
    <w:p>
      <w:pPr>
        <w:pBdr/>
        <w:spacing w:after="0" w:line="240" w:lineRule="auto"/>
        <w:ind/>
        <w:jc w:val="center"/>
        <w:rPr>
          <w:rFonts w:ascii="Yu Gothic UI Semibold" w:hAnsi="Yu Gothic UI Semibold" w:eastAsia="Yu Gothic UI Semibold" w:cstheme="majorHAnsi"/>
          <w:b/>
          <w:bCs/>
          <w:color w:val="ff0054"/>
          <w:sz w:val="44"/>
          <w:szCs w:val="44"/>
        </w:rPr>
      </w:pPr>
      <w:r>
        <w:rPr>
          <w:rFonts w:ascii="Yu Gothic UI Semibold" w:hAnsi="Yu Gothic UI Semibold" w:eastAsia="Yu Gothic UI Semibold" w:cstheme="majorHAnsi"/>
          <w:b/>
          <w:bCs/>
          <w:color w:val="ff0054"/>
          <w:sz w:val="44"/>
          <w:szCs w:val="44"/>
        </w:rPr>
        <w:t xml:space="preserve">LIMA A TU ALCANCE </w:t>
      </w:r>
      <w:r>
        <w:rPr>
          <w:rFonts w:ascii="Yu Gothic UI Semibold" w:hAnsi="Yu Gothic UI Semibold" w:eastAsia="Yu Gothic UI Semibold" w:cstheme="majorHAnsi"/>
          <w:b/>
          <w:bCs/>
          <w:color w:val="ff0054"/>
          <w:sz w:val="44"/>
          <w:szCs w:val="44"/>
        </w:rPr>
      </w:r>
      <w:r>
        <w:rPr>
          <w:rFonts w:ascii="Yu Gothic UI Semibold" w:hAnsi="Yu Gothic UI Semibold" w:eastAsia="Yu Gothic UI Semibold" w:cstheme="majorHAnsi"/>
          <w:b/>
          <w:bCs/>
          <w:color w:val="ff0054"/>
          <w:sz w:val="44"/>
          <w:szCs w:val="44"/>
        </w:rPr>
      </w:r>
    </w:p>
    <w:p>
      <w:pPr>
        <w:pBdr/>
        <w:spacing w:after="0" w:line="240" w:lineRule="auto"/>
        <w:ind/>
        <w:jc w:val="center"/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</w:pPr>
      <w:r>
        <w:rPr>
          <w:rFonts w:ascii="Yu Gothic UI Semibold" w:hAnsi="Yu Gothic UI Semibold" w:eastAsia="Yu Gothic UI Semibold" w:cstheme="majorHAnsi"/>
          <w:b/>
          <w:bCs/>
          <w:color w:val="ff0054"/>
          <w:sz w:val="44"/>
          <w:szCs w:val="44"/>
        </w:rPr>
        <w:t xml:space="preserve">   </w:t>
      </w:r>
      <w:r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  <w:t xml:space="preserve"> 3 días 2 noches </w:t>
      </w:r>
      <w:bookmarkStart w:id="0" w:name="_Hlk184227299"/>
      <w:r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</w:r>
      <w:r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</w:pPr>
      <w:r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</w:r>
      <w:r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</w:r>
      <w:r>
        <w:rPr>
          <w:rFonts w:ascii="Yu Gothic UI Semibold" w:hAnsi="Yu Gothic UI Semibold" w:eastAsia="Yu Gothic UI Semibold" w:cstheme="majorHAnsi"/>
          <w:b/>
          <w:bCs/>
          <w:color w:val="ff0054"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Theme="majorHAnsi" w:hAnsiTheme="majorHAnsi" w:cstheme="majorHAnsi"/>
          <w:color w:val="ffa412"/>
          <w:sz w:val="32"/>
          <w:szCs w:val="32"/>
        </w:rPr>
      </w:pPr>
      <w:r/>
      <w:bookmarkStart w:id="1" w:name="_Hlk184227251"/>
      <w:r>
        <w:rPr>
          <w:rFonts w:asciiTheme="majorHAnsi" w:hAnsiTheme="majorHAnsi" w:cstheme="majorHAnsi"/>
          <w:color w:val="ffa412"/>
          <w:sz w:val="32"/>
          <w:szCs w:val="32"/>
        </w:rPr>
        <w:t xml:space="preserve">Ciudades a Visitar: Lima</w:t>
      </w:r>
      <w:r>
        <w:rPr>
          <w:rFonts w:asciiTheme="majorHAnsi" w:hAnsiTheme="majorHAnsi" w:cstheme="majorHAnsi"/>
          <w:color w:val="ffa412"/>
          <w:sz w:val="32"/>
          <w:szCs w:val="32"/>
        </w:rPr>
      </w:r>
      <w:r>
        <w:rPr>
          <w:rFonts w:asciiTheme="majorHAnsi" w:hAnsiTheme="majorHAnsi" w:cstheme="majorHAnsi"/>
          <w:color w:val="ffa412"/>
          <w:sz w:val="32"/>
          <w:szCs w:val="32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color w:val="ffa412"/>
          <w:sz w:val="32"/>
          <w:szCs w:val="32"/>
        </w:rPr>
      </w:pPr>
      <w:r>
        <w:rPr>
          <w:rFonts w:asciiTheme="majorHAnsi" w:hAnsiTheme="majorHAnsi" w:cstheme="majorHAnsi"/>
          <w:color w:val="ffa412"/>
          <w:sz w:val="32"/>
          <w:szCs w:val="32"/>
        </w:rPr>
        <w:t xml:space="preserve"> </w:t>
      </w:r>
      <w:bookmarkEnd w:id="1"/>
      <w:r>
        <w:rPr>
          <w:rFonts w:asciiTheme="majorHAnsi" w:hAnsiTheme="majorHAnsi" w:cstheme="majorHAnsi"/>
          <w:color w:val="ffa412"/>
          <w:sz w:val="32"/>
          <w:szCs w:val="32"/>
        </w:rPr>
      </w:r>
      <w:r>
        <w:rPr>
          <w:rFonts w:asciiTheme="majorHAnsi" w:hAnsiTheme="majorHAnsi" w:cstheme="majorHAnsi"/>
          <w:color w:val="ffa412"/>
          <w:sz w:val="32"/>
          <w:szCs w:val="32"/>
        </w:rPr>
      </w:r>
    </w:p>
    <w:p>
      <w:pPr>
        <w:pBdr/>
        <w:spacing w:after="0" w:line="240" w:lineRule="auto"/>
        <w:ind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b/>
          <w:bCs/>
          <w:color w:val="ff0054"/>
          <w:sz w:val="24"/>
          <w:szCs w:val="24"/>
        </w:rPr>
      </w:pPr>
      <w:r/>
      <w:bookmarkStart w:id="2" w:name="_Hlk184214667"/>
      <w:r/>
      <w:bookmarkEnd w:id="0"/>
      <w:r>
        <w:rPr>
          <w:rFonts w:ascii="Arial" w:hAnsi="Arial" w:cs="Arial"/>
          <w:b/>
          <w:bCs/>
          <w:color w:val="ff0054"/>
          <w:sz w:val="24"/>
          <w:szCs w:val="24"/>
        </w:rPr>
        <w:t xml:space="preserve">EL PROGRAMA INCLUYE:</w:t>
      </w:r>
      <w:r>
        <w:rPr>
          <w:rFonts w:ascii="Arial" w:hAnsi="Arial" w:cs="Arial"/>
          <w:b/>
          <w:bCs/>
          <w:color w:val="ff0054"/>
          <w:sz w:val="24"/>
          <w:szCs w:val="24"/>
        </w:rPr>
      </w:r>
      <w:r>
        <w:rPr>
          <w:rFonts w:ascii="Arial" w:hAnsi="Arial" w:cs="Arial"/>
          <w:b/>
          <w:bCs/>
          <w:color w:val="ff0054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b/>
          <w:bCs/>
          <w:color w:val="ff0054"/>
          <w:sz w:val="24"/>
          <w:szCs w:val="24"/>
        </w:rPr>
      </w:pPr>
      <w:r>
        <w:rPr>
          <w:rFonts w:ascii="Arial" w:hAnsi="Arial" w:cs="Arial"/>
          <w:b/>
          <w:bCs/>
          <w:color w:val="ff0054"/>
          <w:sz w:val="24"/>
          <w:szCs w:val="24"/>
        </w:rPr>
      </w:r>
      <w:r>
        <w:rPr>
          <w:rFonts w:ascii="Arial" w:hAnsi="Arial" w:cs="Arial"/>
          <w:b/>
          <w:bCs/>
          <w:color w:val="ff0054"/>
          <w:sz w:val="24"/>
          <w:szCs w:val="24"/>
        </w:rPr>
      </w:r>
      <w:r>
        <w:rPr>
          <w:rFonts w:ascii="Arial" w:hAnsi="Arial" w:cs="Arial"/>
          <w:b/>
          <w:bCs/>
          <w:color w:val="ff0054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/>
      <w:bookmarkStart w:id="3" w:name="_Hlk184214799"/>
      <w:r/>
      <w:bookmarkEnd w:id="2"/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2 noches de alojamiento (2 noches en Lima)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Todos los traslados aeropuerto - hotel - aeropuerto.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Todas las excursiones y visitas indicadas en el itinerario.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Desayuno diario (D).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Comidas indicadas en el itinerario. (A) para los almuerzos y (C) para las cenas.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Manipulación del equipaje en hoteles, aeropuertos, puertos, estaciones de bus y de tren.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Servicios de trasladistas y de guías certificados por el Ministerio de Comercio y Turismo.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Todos los traslados a hoteles, aeropuertos, puertos, estaciones de bus y estaciones de tren necesarios para la operación del itinerario.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Todas las entradas o ingresos a lugares a visitar según el itinerario.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Todos los boletos de tren o de bus o de botes necesarios para la operación del itinerario.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Cargos por servicios en hoteles. Visitantes extranjeros están exonerados del impuesto IGV.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Kit de bienvenida incluyendo consejos, mapas y lista de restaurantes sugeridos. 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6"/>
        </w:numPr>
        <w:pBdr/>
        <w:spacing w:after="0" w:line="240" w:lineRule="auto"/>
        <w:ind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color w:val="2f5496" w:themeColor="accent5" w:themeShade="BF"/>
          <w:sz w:val="24"/>
          <w:szCs w:val="24"/>
        </w:rPr>
        <w:t xml:space="preserve">Servicio al viajero con teléfonos de emergencia disponibles las 24 horas del día.</w:t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  <w:r>
        <w:rPr>
          <w:rFonts w:ascii="Arial" w:hAnsi="Arial" w:cs="Arial"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  <w:t xml:space="preserve">ITINERARIO </w:t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spacing w:after="0" w:line="240" w:lineRule="auto"/>
        <w:ind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  <w:t xml:space="preserve">Día 1 – Lima – Llegada </w:t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Al llegar al aeropuerto, un anfitrión lo recibirá y lo asistirá en su tra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slado y registro en el hotel. Lima, una ciudad que vive, donde el pasado se mezcla con el presente. Donde los palacios, monasterios y conventos coloniales existen en asombrosa armonía con modernas edificaciones y las más impresionantes y milenarias huacas 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Pre-incas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. Ya sea en el zaguán de una vieja casona o en la profundidad de una lúgubre catacumba. Lima, la ciudad de los reyes te espera, para deslumbrarte con su magia y embriagarte con su sabor.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  <w:t xml:space="preserve">Día 2 – Lima – Tour de Lima Colonial y Moderna (D)  </w:t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Desayuno</w:t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  <w:t xml:space="preserve">. 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El Tour de Lima Colonial incluye un deslumbrador pa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seo por la Plaza de Armas que, enmarcada por su bella Catedral y por los palacios Arzobispal, de Gobierno y Municipal, te transportará al pasado con sólo pisar uno de sus escalones. Luego visitaremos una obra maestra de la arquitectura colonial: el Convent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o de San Francisco con sus famosas Catacumbas. Proseguiremos con la Lima Moderna y sus hermosos barrios turísticos de San Isidro y Miraflores, desde los cuales podrás fotografiar increíbles vistas del Océano Pacífico y de los acantilados de la Costa Verde.</w:t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  <w:t xml:space="preserve">Día 3 – Cusco – Lima – Salida Internacional (D) </w:t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  <w:t xml:space="preserve">Desayuno. Traslado al aeropuerto para tomar el vuelo de regreso a casa. Comparta con familiares y amigos su inolvidable experiencia en Perú, El Imperio de Tesoros escondidos.</w:t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bCs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 w:left="0"/>
        <w:jc w:val="left"/>
        <w:rPr>
          <w:rFonts w:asciiTheme="majorHAnsi" w:hAnsiTheme="majorHAnsi" w:cstheme="majorHAnsi"/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Theme="majorHAnsi" w:hAnsiTheme="majorHAnsi" w:cstheme="majorHAnsi"/>
          <w:highlight w:val="none"/>
        </w:rPr>
      </w:r>
    </w:p>
    <w:p>
      <w:pPr>
        <w:pBdr/>
        <w:spacing w:after="0" w:line="240" w:lineRule="auto"/>
        <w:ind w:left="360"/>
        <w:jc w:val="right"/>
        <w:rPr>
          <w:rFonts w:asciiTheme="majorHAnsi" w:hAnsiTheme="majorHAnsi" w:cstheme="majorHAnsi"/>
          <w:iCs/>
          <w:highlight w:val="none"/>
        </w:rPr>
      </w:pPr>
      <w:r>
        <w:rPr>
          <w:rFonts w:asciiTheme="majorHAnsi" w:hAnsiTheme="majorHAnsi" w:cstheme="majorHAnsi"/>
          <w:b/>
          <w:bCs/>
          <w:i/>
          <w:iCs/>
          <w:color w:val="ff0054"/>
          <w:sz w:val="24"/>
          <w:szCs w:val="24"/>
          <w:u w:val="single"/>
        </w:rPr>
        <w:t xml:space="preserve">Fin de nuestros servicios.</w:t>
      </w:r>
      <w:bookmarkStart w:id="4" w:name="_Hlk184214860"/>
      <w:r/>
      <w:bookmarkEnd w:id="3"/>
      <w:r>
        <w:rPr>
          <w:rFonts w:asciiTheme="majorHAnsi" w:hAnsiTheme="majorHAnsi" w:cstheme="majorHAnsi"/>
          <w:b/>
          <w:bCs/>
          <w:i/>
          <w:iCs/>
          <w:color w:val="ff0054"/>
          <w:sz w:val="24"/>
          <w:szCs w:val="24"/>
          <w:u w:val="single"/>
        </w:rPr>
      </w:r>
      <w:r>
        <w:rPr>
          <w:rFonts w:asciiTheme="majorHAnsi" w:hAnsiTheme="majorHAnsi" w:cstheme="majorHAnsi"/>
          <w:iCs/>
          <w:highlight w:val="none"/>
        </w:rPr>
      </w:r>
    </w:p>
    <w:p>
      <w:pPr>
        <w:pBdr/>
        <w:spacing w:after="0" w:line="240" w:lineRule="auto"/>
        <w:ind w:left="360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  <w:highlight w:val="none"/>
        </w:rPr>
      </w:r>
      <w:r>
        <w:rPr>
          <w:color w:val="002060"/>
          <w:sz w:val="36"/>
          <w:szCs w:val="36"/>
          <w:highlight w:val="none"/>
        </w:rPr>
      </w:r>
      <w:r>
        <w:rPr>
          <w:color w:val="002060"/>
          <w:sz w:val="36"/>
          <w:szCs w:val="36"/>
        </w:rPr>
      </w:r>
    </w:p>
    <w:p>
      <w:pPr>
        <w:pBdr/>
        <w:spacing w:after="0" w:line="240" w:lineRule="auto"/>
        <w:ind w:left="360"/>
        <w:jc w:val="center"/>
        <w:rPr>
          <w:color w:val="002060"/>
          <w:sz w:val="36"/>
          <w:szCs w:val="36"/>
          <w:highlight w:val="none"/>
        </w:rPr>
      </w:pPr>
      <w:r>
        <w:rPr>
          <w:color w:val="002060"/>
          <w:sz w:val="36"/>
          <w:szCs w:val="36"/>
        </w:rPr>
        <w:t xml:space="preserve">Vigencia de tarifas hasta el 30 de noviembre 2025</w:t>
      </w:r>
      <w:r>
        <w:rPr>
          <w:color w:val="002060"/>
          <w:sz w:val="36"/>
          <w:szCs w:val="36"/>
        </w:rPr>
      </w:r>
      <w:r>
        <w:rPr>
          <w:color w:val="002060"/>
          <w:sz w:val="36"/>
          <w:szCs w:val="36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Theme="majorHAnsi" w:hAnsiTheme="majorHAnsi" w:cstheme="majorHAnsi"/>
          <w:bCs/>
          <w:color w:val="ff0000"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color w:val="ff0000"/>
          <w:sz w:val="20"/>
          <w:szCs w:val="20"/>
          <w:u w:val="single"/>
        </w:rPr>
      </w:r>
      <w:r>
        <w:rPr>
          <w:rFonts w:asciiTheme="majorHAnsi" w:hAnsiTheme="majorHAnsi" w:cstheme="majorHAnsi"/>
          <w:bCs/>
          <w:color w:val="ff0000"/>
          <w:sz w:val="20"/>
          <w:szCs w:val="20"/>
          <w:u w:val="single"/>
        </w:rPr>
      </w:r>
      <w:r>
        <w:rPr>
          <w:rFonts w:asciiTheme="majorHAnsi" w:hAnsiTheme="majorHAnsi" w:cstheme="majorHAnsi"/>
          <w:bCs/>
          <w:color w:val="ff0000"/>
          <w:sz w:val="20"/>
          <w:szCs w:val="20"/>
          <w:u w:val="single"/>
        </w:rPr>
      </w:r>
    </w:p>
    <w:tbl>
      <w:tblPr>
        <w:tblStyle w:val="8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34"/>
        <w:gridCol w:w="1230"/>
        <w:gridCol w:w="2218"/>
        <w:gridCol w:w="1150"/>
        <w:gridCol w:w="1143"/>
        <w:gridCol w:w="1257"/>
      </w:tblGrid>
      <w:tr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4bc6c0" w:sz="6" w:space="0"/>
              <w:left w:val="single" w:color="4bc6c0" w:sz="6" w:space="0"/>
              <w:bottom w:val="single" w:color="4bc6c0" w:sz="6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76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0054"/>
                <w:sz w:val="22"/>
              </w:rPr>
              <w:t xml:space="preserve">Tarifas en base a Servicio Regular Económico</w:t>
            </w:r>
            <w:r/>
          </w:p>
        </w:tc>
      </w:tr>
      <w:tr>
        <w:trPr>
          <w:trHeight w:val="300"/>
        </w:trPr>
        <w:tc>
          <w:tcPr>
            <w:gridSpan w:val="2"/>
            <w:tcBorders>
              <w:top w:val="single" w:color="4bc6c0" w:sz="6" w:space="0"/>
              <w:left w:val="single" w:color="4bc6c0" w:sz="6" w:space="0"/>
              <w:bottom w:val="single" w:color="4bc6c0" w:sz="4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16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f4e78"/>
                <w:sz w:val="22"/>
              </w:rPr>
              <w:t xml:space="preserve">Tarifas en base a Servicio Regular Económico</w:t>
            </w:r>
            <w:r/>
          </w:p>
        </w:tc>
        <w:tc>
          <w:tcPr>
            <w:gridSpan w:val="4"/>
            <w:tcBorders>
              <w:top w:val="single" w:color="4bc6c0" w:sz="6" w:space="0"/>
              <w:left w:val="none" w:color="000000" w:sz="4" w:space="0"/>
              <w:bottom w:val="single" w:color="4bc6c0" w:sz="6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76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f4e78"/>
                <w:sz w:val="22"/>
              </w:rPr>
              <w:t xml:space="preserve">0</w:t>
            </w:r>
            <w:r/>
          </w:p>
        </w:tc>
      </w:tr>
      <w:tr>
        <w:trPr>
          <w:trHeight w:val="300"/>
        </w:trPr>
        <w:tc>
          <w:tcPr>
            <w:gridSpan w:val="2"/>
            <w:tcBorders>
              <w:top w:val="single" w:color="4bc6c0" w:sz="6" w:space="0"/>
              <w:left w:val="single" w:color="4bc6c0" w:sz="6" w:space="0"/>
              <w:bottom w:val="single" w:color="4bc6c0" w:sz="4" w:space="0"/>
              <w:right w:val="single" w:color="4bc6c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4bc6c0" w:sz="6" w:space="0"/>
              <w:left w:val="none" w:color="000000" w:sz="4" w:space="0"/>
              <w:bottom w:val="single" w:color="4bc6c0" w:sz="6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76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Tarifa Temp. Alta</w:t>
            </w:r>
            <w:r/>
          </w:p>
        </w:tc>
      </w:tr>
      <w:tr>
        <w:trPr>
          <w:trHeight w:val="300"/>
        </w:trPr>
        <w:tc>
          <w:tcPr>
            <w:gridSpan w:val="2"/>
            <w:tcBorders>
              <w:top w:val="single" w:color="4bc6c0" w:sz="6" w:space="0"/>
              <w:left w:val="single" w:color="4bc6c0" w:sz="6" w:space="0"/>
              <w:bottom w:val="single" w:color="4bc6c0" w:sz="4" w:space="0"/>
              <w:right w:val="single" w:color="4bc6c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CATEGORÍA</w:t>
            </w:r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SENCILLA</w:t>
            </w:r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DOBLE </w:t>
            </w:r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TRIPLE</w:t>
            </w:r>
            <w:r/>
          </w:p>
        </w:tc>
      </w:tr>
      <w:tr>
        <w:trPr>
          <w:trHeight w:val="315"/>
        </w:trPr>
        <w:tc>
          <w:tcPr>
            <w:shd w:val="clear" w:color="d9e1f2" w:fill="d9e1f2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Turista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322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168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157</w:t>
            </w:r>
            <w:r/>
          </w:p>
        </w:tc>
      </w:tr>
      <w:tr>
        <w:trPr>
          <w:trHeight w:val="315"/>
        </w:trPr>
        <w:tc>
          <w:tcPr>
            <w:shd w:val="clear" w:color="d9e1f2" w:fill="d9e1f2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Turista Superior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322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168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157</w:t>
            </w:r>
            <w:r/>
          </w:p>
        </w:tc>
      </w:tr>
      <w:tr>
        <w:trPr>
          <w:trHeight w:val="315"/>
        </w:trPr>
        <w:tc>
          <w:tcPr>
            <w:shd w:val="clear" w:color="d9e1f2" w:fill="d9e1f2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Primera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354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184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215</w:t>
            </w:r>
            <w:r/>
          </w:p>
        </w:tc>
      </w:tr>
      <w:tr>
        <w:trPr>
          <w:trHeight w:val="315"/>
        </w:trPr>
        <w:tc>
          <w:tcPr>
            <w:shd w:val="clear" w:color="d9e1f2" w:fill="d9e1f2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Primera Superior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412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213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242</w:t>
            </w:r>
            <w:r/>
          </w:p>
        </w:tc>
      </w:tr>
      <w:tr>
        <w:trPr>
          <w:trHeight w:val="315"/>
        </w:trPr>
        <w:tc>
          <w:tcPr>
            <w:shd w:val="clear" w:color="d9e1f2" w:fill="d9e1f2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Lujo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523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269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329</w:t>
            </w:r>
            <w:r/>
          </w:p>
        </w:tc>
      </w:tr>
      <w:tr>
        <w:trPr>
          <w:trHeight w:val="315"/>
        </w:trPr>
        <w:tc>
          <w:tcPr>
            <w:shd w:val="clear" w:color="d9e1f2" w:fill="d9e1f2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Lujo Superior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589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300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371</w:t>
            </w:r>
            <w:r/>
          </w:p>
        </w:tc>
      </w:tr>
      <w:tr>
        <w:trPr>
          <w:trHeight w:val="315"/>
        </w:trPr>
        <w:tc>
          <w:tcPr>
            <w:shd w:val="clear" w:color="d9e1f2" w:fill="d9e1f2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4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8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Súper Lujo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0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1.239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625</w:t>
            </w:r>
            <w:r/>
          </w:p>
        </w:tc>
        <w:tc>
          <w:tcPr>
            <w:shd w:val="clear" w:color="d9e1f2" w:fill="d9e1f2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804</w:t>
            </w:r>
            <w:r/>
          </w:p>
        </w:tc>
      </w:tr>
    </w:tbl>
    <w:p>
      <w:pPr>
        <w:pBdr/>
        <w:spacing w:after="0" w:line="240" w:lineRule="auto"/>
        <w:ind/>
        <w:jc w:val="center"/>
        <w:rPr>
          <w:rFonts w:asciiTheme="majorHAnsi" w:hAnsiTheme="majorHAnsi" w:cstheme="majorHAnsi"/>
          <w:bCs/>
          <w:color w:val="ff0000"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color w:val="ff0000"/>
          <w:sz w:val="20"/>
          <w:szCs w:val="20"/>
          <w:u w:val="single"/>
          <w14:ligatures w14:val="standardContextual"/>
        </w:rPr>
      </w:r>
      <w:r>
        <w:rPr>
          <w:rFonts w:asciiTheme="majorHAnsi" w:hAnsiTheme="majorHAnsi" w:cstheme="majorHAnsi"/>
          <w:bCs/>
          <w:color w:val="ff0000"/>
          <w:sz w:val="20"/>
          <w:szCs w:val="20"/>
          <w:u w:val="single"/>
        </w:rPr>
      </w:r>
      <w:r>
        <w:rPr>
          <w:rFonts w:asciiTheme="majorHAnsi" w:hAnsiTheme="majorHAnsi" w:cstheme="majorHAnsi"/>
          <w:bCs/>
          <w:color w:val="ff0000"/>
          <w:sz w:val="20"/>
          <w:szCs w:val="20"/>
          <w:u w:val="single"/>
        </w:rPr>
      </w:r>
    </w:p>
    <w:tbl>
      <w:tblPr>
        <w:tblStyle w:val="8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33"/>
        <w:gridCol w:w="1227"/>
        <w:gridCol w:w="2211"/>
        <w:gridCol w:w="1149"/>
        <w:gridCol w:w="1149"/>
        <w:gridCol w:w="1262"/>
      </w:tblGrid>
      <w:tr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2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4bc6c0" w:sz="6" w:space="0"/>
              <w:left w:val="single" w:color="4bc6c0" w:sz="6" w:space="0"/>
              <w:bottom w:val="single" w:color="4bc6c0" w:sz="6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77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0054"/>
                <w:sz w:val="22"/>
              </w:rPr>
              <w:t xml:space="preserve">Tarifas en base a Servicios Privados:</w:t>
            </w:r>
            <w:r/>
          </w:p>
        </w:tc>
      </w:tr>
      <w:tr>
        <w:trPr>
          <w:trHeight w:val="300"/>
        </w:trPr>
        <w:tc>
          <w:tcPr>
            <w:gridSpan w:val="2"/>
            <w:tcBorders>
              <w:top w:val="single" w:color="4bc6c0" w:sz="6" w:space="0"/>
              <w:left w:val="single" w:color="4bc6c0" w:sz="6" w:space="0"/>
              <w:bottom w:val="single" w:color="4bc6c0" w:sz="4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1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f4e78"/>
                <w:sz w:val="22"/>
              </w:rPr>
              <w:t xml:space="preserve">Tarifas en base a Servicios Privados:</w:t>
            </w:r>
            <w:r/>
          </w:p>
        </w:tc>
        <w:tc>
          <w:tcPr>
            <w:gridSpan w:val="4"/>
            <w:tcBorders>
              <w:top w:val="single" w:color="4bc6c0" w:sz="6" w:space="0"/>
              <w:left w:val="none" w:color="000000" w:sz="4" w:space="0"/>
              <w:bottom w:val="single" w:color="4bc6c0" w:sz="6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77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f4e78"/>
                <w:sz w:val="22"/>
              </w:rPr>
              <w:t xml:space="preserve">0</w:t>
            </w:r>
            <w:r/>
          </w:p>
        </w:tc>
      </w:tr>
      <w:tr>
        <w:trPr>
          <w:trHeight w:val="300"/>
        </w:trPr>
        <w:tc>
          <w:tcPr>
            <w:gridSpan w:val="2"/>
            <w:tcBorders>
              <w:top w:val="single" w:color="4bc6c0" w:sz="6" w:space="0"/>
              <w:left w:val="single" w:color="4bc6c0" w:sz="6" w:space="0"/>
              <w:bottom w:val="single" w:color="4bc6c0" w:sz="4" w:space="0"/>
              <w:right w:val="single" w:color="4bc6c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single" w:color="4bc6c0" w:sz="6" w:space="0"/>
              <w:left w:val="none" w:color="000000" w:sz="4" w:space="0"/>
              <w:bottom w:val="single" w:color="4bc6c0" w:sz="6" w:space="0"/>
              <w:right w:val="single" w:color="4bc6c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77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Tarifa Temp. Alta</w:t>
            </w:r>
            <w:r/>
          </w:p>
        </w:tc>
      </w:tr>
      <w:tr>
        <w:trPr>
          <w:trHeight w:val="300"/>
        </w:trPr>
        <w:tc>
          <w:tcPr>
            <w:gridSpan w:val="2"/>
            <w:tcBorders>
              <w:top w:val="single" w:color="4bc6c0" w:sz="6" w:space="0"/>
              <w:left w:val="single" w:color="4bc6c0" w:sz="6" w:space="0"/>
              <w:bottom w:val="single" w:color="4bc6c0" w:sz="4" w:space="0"/>
              <w:right w:val="single" w:color="4bc6c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1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CATEGORÍA</w:t>
            </w:r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SENCILLA</w:t>
            </w:r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DOBLE </w:t>
            </w:r>
            <w:r/>
          </w:p>
        </w:tc>
        <w:tc>
          <w:tcPr>
            <w:shd w:val="clear" w:color="4bc6c0" w:fill="4bc6c0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ffffff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ffffff"/>
                <w:sz w:val="22"/>
              </w:rPr>
              <w:t xml:space="preserve">TRIPLE</w:t>
            </w:r>
            <w:r/>
          </w:p>
        </w:tc>
      </w:tr>
      <w:tr>
        <w:trPr>
          <w:trHeight w:val="315"/>
        </w:trPr>
        <w:tc>
          <w:tcPr>
            <w:shd w:val="clear" w:color="ddebf7" w:fill="ddebf7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2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1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Primera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539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285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259</w:t>
            </w:r>
            <w:r/>
          </w:p>
        </w:tc>
      </w:tr>
      <w:tr>
        <w:trPr>
          <w:trHeight w:val="315"/>
        </w:trPr>
        <w:tc>
          <w:tcPr>
            <w:shd w:val="clear" w:color="ddebf7" w:fill="ddebf7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2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Primera Superior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597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314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285</w:t>
            </w:r>
            <w:r/>
          </w:p>
        </w:tc>
      </w:tr>
      <w:tr>
        <w:trPr>
          <w:trHeight w:val="315"/>
        </w:trPr>
        <w:tc>
          <w:tcPr>
            <w:shd w:val="clear" w:color="ddebf7" w:fill="ddebf7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2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1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Lujo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708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369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372</w:t>
            </w:r>
            <w:r/>
          </w:p>
        </w:tc>
      </w:tr>
      <w:tr>
        <w:trPr>
          <w:trHeight w:val="315"/>
        </w:trPr>
        <w:tc>
          <w:tcPr>
            <w:shd w:val="clear" w:color="ddebf7" w:fill="ddebf7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2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Lujo Superior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774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401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415</w:t>
            </w:r>
            <w:r/>
          </w:p>
        </w:tc>
      </w:tr>
      <w:tr>
        <w:trPr>
          <w:trHeight w:val="315"/>
        </w:trPr>
        <w:tc>
          <w:tcPr>
            <w:shd w:val="clear" w:color="ddebf7" w:fill="ddebf7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2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1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Súper Lujo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1.424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726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848</w:t>
            </w:r>
            <w:r/>
          </w:p>
        </w:tc>
      </w:tr>
      <w:tr>
        <w:trPr>
          <w:trHeight w:val="315"/>
        </w:trPr>
        <w:tc>
          <w:tcPr>
            <w:shd w:val="clear" w:color="ddebf7" w:fill="ddebf7"/>
            <w:tcBorders>
              <w:top w:val="none" w:color="000000" w:sz="4" w:space="0"/>
              <w:left w:val="single" w:color="4bc6c0" w:sz="6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33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2"/>
              </w:rPr>
              <w:t xml:space="preserve">VALOR PROGRAMA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27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165957"/>
                <w:sz w:val="22"/>
              </w:rPr>
              <w:t xml:space="preserve"> 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color w:val="1f4e78"/>
                <w:sz w:val="22"/>
              </w:rPr>
              <w:t xml:space="preserve">Boutique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2.203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1.117</w:t>
            </w:r>
            <w:r/>
          </w:p>
        </w:tc>
        <w:tc>
          <w:tcPr>
            <w:shd w:val="clear" w:color="ddebf7" w:fill="ddebf7"/>
            <w:tcBorders>
              <w:top w:val="none" w:color="000000" w:sz="4" w:space="0"/>
              <w:left w:val="none" w:color="000000" w:sz="4" w:space="0"/>
              <w:bottom w:val="single" w:color="4bc6c0" w:sz="6" w:space="0"/>
              <w:right w:val="single" w:color="4bc6c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62" w:type="dxa"/>
            <w:vAlign w:val="center"/>
            <w:textDirection w:val="lrTb"/>
            <w:noWrap/>
          </w:tcPr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b/>
                <w:color w:val="165957"/>
                <w:sz w:val="24"/>
              </w:rPr>
              <w:t xml:space="preserve">USD 1.368</w:t>
            </w:r>
            <w:r/>
          </w:p>
        </w:tc>
      </w:tr>
    </w:tbl>
    <w:p>
      <w:pPr>
        <w:pBdr/>
        <w:spacing w:after="0" w:line="240" w:lineRule="auto"/>
        <w:ind/>
        <w:jc w:val="left"/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r>
    </w:p>
    <w:p>
      <w:pPr>
        <w:pBdr/>
        <w:spacing w:after="0" w:line="240" w:lineRule="auto"/>
        <w:ind/>
        <w:jc w:val="center"/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  <w:t xml:space="preserve">Nota: Tarifas en dólares americanos, se paga en pesos colombianos a la TRM del día de cada pago,</w:t>
      </w: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  <w:t xml:space="preserve">Sujetas a disponibilidad y cambios sin previo aviso.</w:t>
      </w: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r>
      <w:r>
        <w:rPr>
          <w:rFonts w:asciiTheme="majorHAnsi" w:hAnsiTheme="majorHAnsi" w:cstheme="majorHAnsi"/>
          <w:b/>
          <w:color w:val="0070c0"/>
          <w:sz w:val="20"/>
          <w:szCs w:val="20"/>
          <w:u w:val="single"/>
        </w:rPr>
      </w:r>
    </w:p>
    <w:p>
      <w:pPr>
        <w:pBdr/>
        <w:spacing w:after="0" w:line="240" w:lineRule="auto"/>
        <w:ind/>
        <w:jc w:val="center"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  <w:t xml:space="preserve">EL PROGRAMA NO INCLUYE: </w:t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Style w:val="902"/>
        <w:numPr>
          <w:ilvl w:val="0"/>
          <w:numId w:val="13"/>
        </w:numPr>
        <w:pBdr/>
        <w:spacing w:after="0" w:line="240" w:lineRule="auto"/>
        <w:ind/>
        <w:rPr>
          <w:rFonts w:asciiTheme="majorHAnsi" w:hAnsiTheme="majorHAnsi" w:cstheme="majorHAnsi"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 xml:space="preserve">Vuelos </w:t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 xml:space="preserve">Internacionales y </w:t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 xml:space="preserve">domésticos. </w:t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3"/>
        </w:numPr>
        <w:pBdr/>
        <w:spacing w:after="0" w:line="240" w:lineRule="auto"/>
        <w:ind/>
        <w:rPr>
          <w:rFonts w:asciiTheme="majorHAnsi" w:hAnsiTheme="majorHAnsi" w:cstheme="majorHAnsi"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 xml:space="preserve">Gastos personales como llamadas telefónicas, lavandería, extras en hoteles, etc. </w:t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3"/>
        </w:numPr>
        <w:pBdr/>
        <w:spacing w:after="0" w:line="240" w:lineRule="auto"/>
        <w:ind/>
        <w:rPr>
          <w:rFonts w:asciiTheme="majorHAnsi" w:hAnsiTheme="majorHAnsi" w:cstheme="majorHAnsi"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 xml:space="preserve">Propinas a trasladistas, guías, meseros y trabajadores de hoteles. </w:t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3"/>
        </w:numPr>
        <w:pBdr/>
        <w:spacing w:after="0" w:line="240" w:lineRule="auto"/>
        <w:ind/>
        <w:rPr>
          <w:rFonts w:asciiTheme="majorHAnsi" w:hAnsiTheme="majorHAnsi" w:cstheme="majorHAnsi"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 xml:space="preserve">Servicios no indicados en el itinerario.</w:t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</w:p>
    <w:p>
      <w:pPr>
        <w:pStyle w:val="902"/>
        <w:numPr>
          <w:ilvl w:val="0"/>
          <w:numId w:val="13"/>
        </w:numPr>
        <w:pBdr/>
        <w:spacing w:after="0" w:line="240" w:lineRule="auto"/>
        <w:ind/>
        <w:rPr>
          <w:rFonts w:asciiTheme="majorHAnsi" w:hAnsiTheme="majorHAnsi" w:cstheme="majorHAnsi"/>
          <w:color w:val="2f5496" w:themeColor="accent5" w:themeShade="BF"/>
          <w:sz w:val="24"/>
          <w:szCs w:val="24"/>
        </w:rPr>
      </w:pP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 xml:space="preserve">Asistencia médica, Up grade de pre- existencia. </w:t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  <w:r>
        <w:rPr>
          <w:rFonts w:asciiTheme="majorHAnsi" w:hAnsiTheme="majorHAnsi" w:cstheme="majorHAnsi"/>
          <w:color w:val="2f5496" w:themeColor="accent5" w:themeShade="BF"/>
          <w:sz w:val="24"/>
          <w:szCs w:val="24"/>
        </w:rPr>
      </w:r>
    </w:p>
    <w:p>
      <w:pPr>
        <w:pBdr/>
        <w:spacing w:after="0" w:line="240" w:lineRule="auto"/>
        <w:ind/>
        <w:rPr>
          <w:rFonts w:asciiTheme="majorHAnsi" w:hAnsiTheme="majorHAnsi" w:cstheme="majorHAnsi"/>
          <w:b/>
          <w:bCs/>
          <w:color w:val="ffa412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a412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a412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a412"/>
          <w:sz w:val="24"/>
          <w:szCs w:val="24"/>
        </w:rPr>
      </w:r>
    </w:p>
    <w:p>
      <w:pPr>
        <w:pBdr/>
        <w:tabs>
          <w:tab w:val="left" w:leader="none" w:pos="3345"/>
        </w:tabs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tabs>
          <w:tab w:val="left" w:leader="none" w:pos="3345"/>
        </w:tabs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  <w:t xml:space="preserve">HOTELES PREVISTOS </w:t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tabs>
          <w:tab w:val="left" w:leader="none" w:pos="3345"/>
        </w:tabs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tbl>
      <w:tblPr>
        <w:tblStyle w:val="898"/>
        <w:tblW w:w="0" w:type="auto"/>
        <w:jc w:val="center"/>
        <w:tblBorders>
          <w:top w:val="single" w:color="4bc6c0" w:sz="4" w:space="0"/>
          <w:left w:val="single" w:color="4bc6c0" w:sz="4" w:space="0"/>
          <w:bottom w:val="single" w:color="4bc6c0" w:sz="4" w:space="0"/>
          <w:right w:val="single" w:color="4bc6c0" w:sz="4" w:space="0"/>
          <w:insideH w:val="single" w:color="4bc6c0" w:sz="4" w:space="0"/>
          <w:insideV w:val="single" w:color="4bc6c0" w:sz="4" w:space="0"/>
        </w:tblBorders>
        <w:tblLook w:val="04A0" w:firstRow="1" w:lastRow="0" w:firstColumn="1" w:lastColumn="0" w:noHBand="0" w:noVBand="1"/>
      </w:tblPr>
      <w:tblGrid>
        <w:gridCol w:w="1635"/>
        <w:gridCol w:w="4881"/>
        <w:gridCol w:w="2312"/>
      </w:tblGrid>
      <w:tr>
        <w:trPr>
          <w:jc w:val="center"/>
        </w:trPr>
        <w:tc>
          <w:tcPr>
            <w:gridSpan w:val="2"/>
            <w:shd w:val="clear" w:color="auto" w:fill="4bc6c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 w:left="360"/>
              <w:jc w:val="center"/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  <w:t xml:space="preserve">CATEGORIA DE HOTELES</w:t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</w:p>
        </w:tc>
        <w:tc>
          <w:tcPr>
            <w:shd w:val="clear" w:color="auto" w:fill="4bc6c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312" w:type="dxa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 w:left="360"/>
              <w:jc w:val="center"/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4bc6c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 w:left="360"/>
              <w:jc w:val="center"/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  <w:t xml:space="preserve">CIUDAD</w:t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</w:p>
        </w:tc>
        <w:tc>
          <w:tcPr>
            <w:shd w:val="clear" w:color="auto" w:fill="4bc6c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 w:left="360"/>
              <w:jc w:val="center"/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  <w:t xml:space="preserve">REFERENCIAS</w:t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</w:p>
        </w:tc>
        <w:tc>
          <w:tcPr>
            <w:shd w:val="clear" w:color="auto" w:fill="4bc6c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312" w:type="dxa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 w:left="360"/>
              <w:jc w:val="center"/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6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 w:left="360"/>
              <w:jc w:val="center"/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  <w:t xml:space="preserve">LIMA</w:t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2b0d42"/>
                <w:sz w:val="24"/>
                <w:szCs w:val="24"/>
              </w:rPr>
            </w:r>
          </w:p>
        </w:tc>
        <w:tc>
          <w:tcPr>
            <w:tcBorders/>
            <w:tcW w:w="48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rPr>
                <w:rFonts w:cstheme="minorHAnsi"/>
                <w:color w:val="0d0d0d" w:themeColor="text1" w:themeTint="F2"/>
                <w:sz w:val="24"/>
                <w:szCs w:val="24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Ikonik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 Miraflores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</w:r>
          </w:p>
          <w:p>
            <w:pPr>
              <w:pBdr/>
              <w:tabs>
                <w:tab w:val="left" w:leader="none" w:pos="3345"/>
              </w:tabs>
              <w:spacing/>
              <w:ind/>
              <w:rPr>
                <w:rFonts w:cstheme="minorHAnsi"/>
                <w:color w:val="0d0d0d" w:themeColor="text1" w:themeTint="F2"/>
                <w:sz w:val="24"/>
                <w:szCs w:val="24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Courtyard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Marriott  Lima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 Miraflores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</w:r>
          </w:p>
          <w:p>
            <w:pPr>
              <w:pBdr/>
              <w:tabs>
                <w:tab w:val="left" w:leader="none" w:pos="3345"/>
              </w:tabs>
              <w:spacing/>
              <w:ind/>
              <w:rPr>
                <w:rFonts w:cstheme="minorHAnsi"/>
                <w:color w:val="0d0d0d" w:themeColor="text1" w:themeTint="F2"/>
                <w:sz w:val="24"/>
                <w:szCs w:val="24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Iberostar 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Selection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  Miraflores</w:t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</w:r>
            <w:r>
              <w:rPr>
                <w:rFonts w:cstheme="minorHAnsi"/>
                <w:color w:val="0d0d0d" w:themeColor="text1" w:themeTint="F2"/>
                <w:sz w:val="24"/>
                <w:szCs w:val="24"/>
              </w:rPr>
            </w:r>
          </w:p>
          <w:p>
            <w:pPr>
              <w:pBdr/>
              <w:tabs>
                <w:tab w:val="left" w:leader="none" w:pos="3345"/>
              </w:tabs>
              <w:spacing/>
              <w:ind/>
              <w:rPr>
                <w:rFonts w:asciiTheme="majorHAnsi" w:hAnsiTheme="majorHAnsi" w:cstheme="majorHAnsi"/>
                <w:color w:val="2b0d42"/>
                <w:sz w:val="24"/>
                <w:szCs w:val="24"/>
              </w:rPr>
            </w:pPr>
            <w:r>
              <w:rPr>
                <w:rFonts w:cstheme="minorHAnsi"/>
                <w:color w:val="2b0d42"/>
                <w:sz w:val="24"/>
                <w:szCs w:val="24"/>
              </w:rPr>
              <w:t xml:space="preserve">Hyatt </w:t>
            </w:r>
            <w:r>
              <w:rPr>
                <w:rFonts w:cstheme="minorHAnsi"/>
                <w:color w:val="2b0d42"/>
                <w:sz w:val="24"/>
                <w:szCs w:val="24"/>
              </w:rPr>
              <w:t xml:space="preserve">Centric</w:t>
            </w:r>
            <w:r>
              <w:rPr>
                <w:rFonts w:cstheme="minorHAnsi"/>
                <w:color w:val="2b0d42"/>
                <w:sz w:val="24"/>
                <w:szCs w:val="24"/>
              </w:rPr>
              <w:t xml:space="preserve"> San Isidro</w:t>
            </w:r>
            <w:r>
              <w:rPr>
                <w:rFonts w:asciiTheme="majorHAnsi" w:hAnsiTheme="majorHAnsi" w:cstheme="majorHAnsi"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color w:val="2b0d42"/>
                <w:sz w:val="24"/>
                <w:szCs w:val="24"/>
              </w:rPr>
            </w:r>
          </w:p>
        </w:tc>
        <w:tc>
          <w:tcPr>
            <w:tcBorders/>
            <w:tcW w:w="2312" w:type="dxa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rPr/>
            </w:pPr>
            <w:r>
              <w:t xml:space="preserve">Primera Clase</w:t>
            </w:r>
            <w:r/>
          </w:p>
          <w:p>
            <w:pPr>
              <w:pBdr/>
              <w:tabs>
                <w:tab w:val="left" w:leader="none" w:pos="3345"/>
              </w:tabs>
              <w:spacing/>
              <w:ind/>
              <w:rPr/>
            </w:pPr>
            <w:r>
              <w:t xml:space="preserve">Primera Clase Superior</w:t>
            </w:r>
            <w:r/>
          </w:p>
          <w:p>
            <w:pPr>
              <w:pBdr/>
              <w:tabs>
                <w:tab w:val="left" w:leader="none" w:pos="3345"/>
              </w:tabs>
              <w:spacing/>
              <w:ind/>
              <w:rPr/>
            </w:pPr>
            <w:r>
              <w:t xml:space="preserve">Lujo</w:t>
            </w:r>
            <w:r/>
          </w:p>
          <w:p>
            <w:pPr>
              <w:pBdr/>
              <w:tabs>
                <w:tab w:val="left" w:leader="none" w:pos="3345"/>
              </w:tabs>
              <w:spacing/>
              <w:ind/>
              <w:rPr>
                <w:rFonts w:asciiTheme="majorHAnsi" w:hAnsiTheme="majorHAnsi" w:cstheme="majorHAnsi"/>
                <w:color w:val="2b0d42"/>
                <w:sz w:val="24"/>
                <w:szCs w:val="24"/>
              </w:rPr>
            </w:pPr>
            <w:r>
              <w:t xml:space="preserve">Lujo superior</w:t>
            </w:r>
            <w:r>
              <w:rPr>
                <w:rFonts w:asciiTheme="majorHAnsi" w:hAnsiTheme="majorHAnsi" w:cstheme="majorHAnsi"/>
                <w:color w:val="2b0d42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color w:val="2b0d42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3345"/>
        </w:tabs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/>
      <w:bookmarkStart w:id="5" w:name="_Hlk180586123"/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  <w:t xml:space="preserve">PLAN DE PAGOS</w:t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p>
      <w:pPr>
        <w:pBdr/>
        <w:spacing w:after="0" w:line="240" w:lineRule="auto"/>
        <w:ind/>
        <w:rPr>
          <w:rFonts w:asciiTheme="majorHAnsi" w:hAnsiTheme="majorHAnsi" w:cstheme="majorHAnsi"/>
          <w:b/>
          <w:bCs/>
          <w:color w:val="ff0054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  <w:r>
        <w:rPr>
          <w:rFonts w:asciiTheme="majorHAnsi" w:hAnsiTheme="majorHAnsi" w:cstheme="majorHAnsi"/>
          <w:b/>
          <w:bCs/>
          <w:color w:val="ff0054"/>
          <w:sz w:val="24"/>
          <w:szCs w:val="24"/>
        </w:rPr>
      </w:r>
    </w:p>
    <w:tbl>
      <w:tblPr>
        <w:tblStyle w:val="898"/>
        <w:tblW w:w="0" w:type="auto"/>
        <w:jc w:val="center"/>
        <w:tblBorders>
          <w:top w:val="single" w:color="4bc6c0" w:sz="4" w:space="0"/>
          <w:left w:val="single" w:color="4bc6c0" w:sz="4" w:space="0"/>
          <w:bottom w:val="single" w:color="4bc6c0" w:sz="4" w:space="0"/>
          <w:right w:val="single" w:color="4bc6c0" w:sz="4" w:space="0"/>
          <w:insideH w:val="single" w:color="4bc6c0" w:sz="4" w:space="0"/>
          <w:insideV w:val="single" w:color="4bc6c0" w:sz="4" w:space="0"/>
        </w:tblBorders>
        <w:tblLook w:val="04A0" w:firstRow="1" w:lastRow="0" w:firstColumn="1" w:lastColumn="0" w:noHBand="0" w:noVBand="1"/>
      </w:tblPr>
      <w:tblGrid>
        <w:gridCol w:w="1554"/>
        <w:gridCol w:w="3119"/>
        <w:gridCol w:w="3933"/>
      </w:tblGrid>
      <w:tr>
        <w:trPr>
          <w:jc w:val="center"/>
        </w:trPr>
        <w:tc>
          <w:tcPr>
            <w:shd w:val="clear" w:color="auto" w:fill="4bc6c0"/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b/>
                <w:color w:val="2b0d42"/>
              </w:rPr>
            </w:pPr>
            <w:r>
              <w:rPr>
                <w:b/>
                <w:color w:val="2b0d42"/>
              </w:rPr>
              <w:t xml:space="preserve">DEPOSITO</w:t>
            </w:r>
            <w:r>
              <w:rPr>
                <w:b/>
                <w:color w:val="2b0d42"/>
              </w:rPr>
            </w:r>
            <w:r>
              <w:rPr>
                <w:b/>
                <w:color w:val="2b0d42"/>
              </w:rPr>
            </w:r>
          </w:p>
        </w:tc>
        <w:tc>
          <w:tcPr>
            <w:shd w:val="clear" w:color="auto" w:fill="4bc6c0"/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b/>
                <w:color w:val="2b0d42"/>
              </w:rPr>
            </w:pPr>
            <w:r>
              <w:rPr>
                <w:b/>
                <w:color w:val="2b0d42"/>
              </w:rPr>
              <w:t xml:space="preserve">VALOR</w:t>
            </w:r>
            <w:r>
              <w:rPr>
                <w:b/>
                <w:color w:val="2b0d42"/>
              </w:rPr>
            </w:r>
            <w:r>
              <w:rPr>
                <w:b/>
                <w:color w:val="2b0d42"/>
              </w:rPr>
            </w:r>
          </w:p>
        </w:tc>
        <w:tc>
          <w:tcPr>
            <w:shd w:val="clear" w:color="auto" w:fill="4bc6c0"/>
            <w:tcBorders/>
            <w:tcW w:w="3933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b/>
                <w:color w:val="2b0d42"/>
              </w:rPr>
            </w:pPr>
            <w:r>
              <w:rPr>
                <w:b/>
                <w:color w:val="2b0d42"/>
              </w:rPr>
              <w:t xml:space="preserve">FECHA</w:t>
            </w:r>
            <w:r>
              <w:rPr>
                <w:b/>
                <w:color w:val="2b0d42"/>
              </w:rPr>
            </w:r>
            <w:r>
              <w:rPr>
                <w:b/>
                <w:color w:val="2b0d42"/>
              </w:rPr>
            </w:r>
          </w:p>
        </w:tc>
      </w:tr>
      <w:tr>
        <w:trPr>
          <w:jc w:val="center"/>
        </w:trPr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color w:val="2b0d42"/>
              </w:rPr>
            </w:pPr>
            <w:r>
              <w:rPr>
                <w:b/>
                <w:color w:val="2b0d42"/>
              </w:rPr>
              <w:t xml:space="preserve">Inicial</w:t>
            </w:r>
            <w:r>
              <w:rPr>
                <w:b/>
                <w:color w:val="2b0d42"/>
              </w:rPr>
            </w:r>
            <w:r>
              <w:rPr>
                <w:b/>
                <w:color w:val="2b0d42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color w:val="2b0d42"/>
              </w:rPr>
            </w:pPr>
            <w:r>
              <w:rPr>
                <w:color w:val="2b0d42"/>
              </w:rPr>
              <w:t xml:space="preserve">25% Del valor del programa.</w:t>
            </w:r>
            <w:r>
              <w:rPr>
                <w:color w:val="2b0d42"/>
              </w:rPr>
            </w:r>
            <w:r>
              <w:rPr>
                <w:color w:val="2b0d42"/>
              </w:rPr>
            </w:r>
          </w:p>
        </w:tc>
        <w:tc>
          <w:tcPr>
            <w:tcBorders/>
            <w:tcW w:w="3933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color w:val="2b0d42"/>
              </w:rPr>
            </w:pPr>
            <w:r>
              <w:rPr>
                <w:color w:val="2b0d42"/>
              </w:rPr>
              <w:t xml:space="preserve">3 días calendario de enviada la confirmación. </w:t>
            </w:r>
            <w:r>
              <w:rPr>
                <w:b/>
                <w:color w:val="2b0d42"/>
              </w:rPr>
              <w:t xml:space="preserve">NO REEMBOLSABLE</w:t>
            </w:r>
            <w:r>
              <w:rPr>
                <w:color w:val="2b0d42"/>
              </w:rPr>
              <w:t xml:space="preserve">.</w:t>
            </w:r>
            <w:r>
              <w:rPr>
                <w:color w:val="2b0d42"/>
              </w:rPr>
            </w:r>
            <w:r>
              <w:rPr>
                <w:color w:val="2b0d42"/>
              </w:rPr>
            </w:r>
          </w:p>
        </w:tc>
      </w:tr>
      <w:tr>
        <w:trPr>
          <w:jc w:val="center"/>
        </w:trPr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color w:val="2b0d42"/>
              </w:rPr>
            </w:pPr>
            <w:r>
              <w:rPr>
                <w:b/>
                <w:color w:val="2b0d42"/>
              </w:rPr>
              <w:t xml:space="preserve">Segundo</w:t>
            </w:r>
            <w:r>
              <w:rPr>
                <w:b/>
                <w:color w:val="2b0d42"/>
              </w:rPr>
            </w:r>
            <w:r>
              <w:rPr>
                <w:b/>
                <w:color w:val="2b0d42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color w:val="2b0d42"/>
              </w:rPr>
            </w:pPr>
            <w:r>
              <w:rPr>
                <w:color w:val="2b0d42"/>
              </w:rPr>
              <w:t xml:space="preserve">35% Del valor del programa.</w:t>
            </w:r>
            <w:r>
              <w:rPr>
                <w:color w:val="2b0d42"/>
              </w:rPr>
            </w:r>
            <w:r>
              <w:rPr>
                <w:color w:val="2b0d42"/>
              </w:rPr>
            </w:r>
          </w:p>
        </w:tc>
        <w:tc>
          <w:tcPr>
            <w:tcBorders/>
            <w:tcW w:w="3933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color w:val="2b0d42"/>
              </w:rPr>
            </w:pPr>
            <w:r>
              <w:rPr>
                <w:color w:val="2b0d42"/>
              </w:rPr>
              <w:t xml:space="preserve">90 días calendario antes de la fecha de inicio del programa.</w:t>
            </w:r>
            <w:r>
              <w:rPr>
                <w:color w:val="2b0d42"/>
              </w:rPr>
            </w:r>
            <w:r>
              <w:rPr>
                <w:color w:val="2b0d42"/>
              </w:rPr>
            </w:r>
          </w:p>
        </w:tc>
      </w:tr>
      <w:tr>
        <w:trPr>
          <w:jc w:val="center"/>
        </w:trPr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color w:val="2b0d42"/>
              </w:rPr>
            </w:pPr>
            <w:r>
              <w:rPr>
                <w:b/>
                <w:color w:val="2b0d42"/>
              </w:rPr>
              <w:t xml:space="preserve">Final</w:t>
            </w:r>
            <w:r>
              <w:rPr>
                <w:b/>
                <w:color w:val="2b0d42"/>
              </w:rPr>
            </w:r>
            <w:r>
              <w:rPr>
                <w:b/>
                <w:color w:val="2b0d42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color w:val="2b0d42"/>
              </w:rPr>
            </w:pPr>
            <w:r>
              <w:rPr>
                <w:color w:val="2b0d42"/>
              </w:rPr>
              <w:t xml:space="preserve">40% Del valor del programa.</w:t>
            </w:r>
            <w:r>
              <w:rPr>
                <w:color w:val="2b0d42"/>
              </w:rPr>
            </w:r>
            <w:r>
              <w:rPr>
                <w:color w:val="2b0d42"/>
              </w:rPr>
            </w:r>
          </w:p>
        </w:tc>
        <w:tc>
          <w:tcPr>
            <w:tcBorders/>
            <w:tcW w:w="3933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color w:val="2b0d42"/>
              </w:rPr>
            </w:pPr>
            <w:r>
              <w:rPr>
                <w:color w:val="2b0d42"/>
              </w:rPr>
              <w:t xml:space="preserve">45 días calendario antes de la fecha de inicio del programa.</w:t>
            </w:r>
            <w:r>
              <w:rPr>
                <w:color w:val="2b0d42"/>
              </w:rPr>
            </w:r>
            <w:r>
              <w:rPr>
                <w:color w:val="2b0d42"/>
              </w:rPr>
            </w:r>
          </w:p>
        </w:tc>
      </w:tr>
    </w:tbl>
    <w:p>
      <w:pPr>
        <w:pBdr/>
        <w:tabs>
          <w:tab w:val="left" w:leader="none" w:pos="3345"/>
        </w:tabs>
        <w:spacing w:after="0" w:line="240" w:lineRule="auto"/>
        <w:ind/>
        <w:rPr>
          <w:rFonts w:ascii="Arial" w:hAnsi="Arial" w:cs="Arial"/>
          <w:b/>
          <w:bCs/>
          <w:color w:val="002060"/>
        </w:rPr>
      </w:pPr>
      <w:r/>
      <w:bookmarkStart w:id="6" w:name="_Hlk184299614"/>
      <w:r/>
      <w:bookmarkEnd w:id="5"/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POLÍTICA DE PENALIZACIÓN POR CANCELACIONES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Con el propósito de asegurar una experiencia turística satisfactoria y preservar la integridad de nuestros servicios,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e</w:t>
      </w:r>
      <w:r>
        <w:rPr>
          <w:rFonts w:ascii="Arial" w:hAnsi="Arial" w:cs="Arial"/>
          <w:color w:val="002060"/>
        </w:rPr>
        <w:t xml:space="preserve">stablece la siguiente política de penalidades por cancelaciones. Esta política tiene como objetivo salvaguardar los servicios adquiridos, al tiempo que garantiza una gestión justa y transparente en situaciones de cancelación por parte de nuestros clientes: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tbl>
      <w:tblPr>
        <w:tblStyle w:val="898"/>
        <w:tblW w:w="0" w:type="auto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1943"/>
        <w:gridCol w:w="4068"/>
        <w:gridCol w:w="2817"/>
      </w:tblGrid>
      <w:tr>
        <w:trPr/>
        <w:tc>
          <w:tcPr>
            <w:tcBorders/>
            <w:tcW w:w="198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TIPO DE SERVICIO</w:t>
            </w:r>
            <w:r>
              <w:rPr>
                <w:rFonts w:ascii="Arial" w:hAnsi="Arial" w:cs="Arial"/>
                <w:b/>
                <w:bCs/>
                <w:color w:val="002060"/>
              </w:rPr>
            </w:r>
            <w:r>
              <w:rPr>
                <w:rFonts w:ascii="Arial" w:hAnsi="Arial" w:cs="Arial"/>
                <w:b/>
                <w:bCs/>
                <w:color w:val="002060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TIEMPO DE CANCELACIÓN</w:t>
            </w:r>
            <w:r>
              <w:rPr>
                <w:rFonts w:ascii="Arial" w:hAnsi="Arial" w:cs="Arial"/>
                <w:b/>
                <w:bCs/>
                <w:color w:val="002060"/>
              </w:rPr>
            </w:r>
            <w:r>
              <w:rPr>
                <w:rFonts w:ascii="Arial" w:hAnsi="Arial" w:cs="Arial"/>
                <w:b/>
                <w:bCs/>
                <w:color w:val="002060"/>
              </w:rPr>
            </w:r>
          </w:p>
        </w:tc>
        <w:tc>
          <w:tcPr>
            <w:tcBorders/>
            <w:tcW w:w="31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PENALIDADES</w:t>
            </w:r>
            <w:r>
              <w:rPr>
                <w:rFonts w:ascii="Arial" w:hAnsi="Arial" w:cs="Arial"/>
                <w:b/>
                <w:bCs/>
                <w:color w:val="002060"/>
              </w:rPr>
            </w:r>
            <w:r>
              <w:rPr>
                <w:rFonts w:ascii="Arial" w:hAnsi="Arial" w:cs="Arial"/>
                <w:b/>
                <w:bCs/>
                <w:color w:val="002060"/>
              </w:rPr>
            </w:r>
          </w:p>
        </w:tc>
      </w:tr>
      <w:tr>
        <w:trPr/>
        <w:tc>
          <w:tcPr>
            <w:tcBorders/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Servicios Reembolsables</w:t>
            </w:r>
            <w:r>
              <w:rPr>
                <w:rFonts w:ascii="Arial" w:hAnsi="Arial" w:cs="Arial"/>
                <w:b/>
                <w:bCs/>
                <w:color w:val="002060"/>
              </w:rPr>
            </w:r>
            <w:r>
              <w:rPr>
                <w:rFonts w:ascii="Arial" w:hAnsi="Arial" w:cs="Arial"/>
                <w:b/>
                <w:bCs/>
                <w:color w:val="002060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Desde día de la compra hasta 45 días antes del viaje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31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100% del Plan contratado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</w:tr>
      <w:tr>
        <w:trPr/>
        <w:tc>
          <w:tcPr>
            <w:tcBorders/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45 días hasta 31 días antes del viaje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31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50% del Plan contratado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</w:tr>
      <w:tr>
        <w:trPr/>
        <w:tc>
          <w:tcPr>
            <w:tcBorders/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30 días hasta día del viaje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31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100% del Plan contratado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</w:tr>
      <w:tr>
        <w:trPr/>
        <w:tc>
          <w:tcPr>
            <w:tcBorders/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NO Show (No presentación)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31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100% del Plan contratado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</w:tr>
      <w:tr>
        <w:trPr/>
        <w:tc>
          <w:tcPr>
            <w:tcBorders/>
            <w:tcW w:w="198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Servicios NO Reembolsables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Desde día de la compra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  <w:tc>
          <w:tcPr>
            <w:tcBorders/>
            <w:tcW w:w="31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45"/>
              </w:tabs>
              <w:spacing/>
              <w:ind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100% del Plan contratado</w:t>
            </w:r>
            <w:r>
              <w:rPr>
                <w:rFonts w:ascii="Arial" w:hAnsi="Arial" w:cs="Arial"/>
                <w:color w:val="002060"/>
              </w:rPr>
            </w:r>
            <w:r>
              <w:rPr>
                <w:rFonts w:ascii="Arial" w:hAnsi="Arial" w:cs="Arial"/>
                <w:color w:val="002060"/>
              </w:rPr>
            </w:r>
          </w:p>
        </w:tc>
      </w:tr>
    </w:tbl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Manejos Especiales por calamidades: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Se requiere documentación médica o prueba de alguna calamidad ma</w:t>
      </w:r>
      <w:r>
        <w:rPr>
          <w:rFonts w:ascii="Arial" w:hAnsi="Arial" w:cs="Arial"/>
          <w:color w:val="002060"/>
        </w:rPr>
        <w:t xml:space="preserve">nifestada por el cliente para solicitar excepciones o manejos especiales en caso de cancelación. Estas solicitudes serán evaluadas y determinadas por los involucrados en el paquete turístico, incluyendo la aerolínea, el hotel u otros operadores turísticos.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Tarifa por Gastos Administrativos: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En todas las solicitudes de cambios o cancelaciones, se aplicará una tarifa por gastos administrativos de $75.000. Esta tarifa debe ser pagada con antelación a la ejecución del cambio.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Proceso de Solicitud: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Cualquier solicitud de cambio o cancelación debe realizarse por correo electrónico al asesor titular de la reserva. Este procedimiento garantiza un seguimiento adecuado y una respuesta oportuna a su solicitud.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Estas medidas están diseñadas para brindarle un servicio eficaz y mantener la calidad de nuestros servicios turísticos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POLITICAS GENERALES DE LA PRESTACIÓN DE SERVICIOS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POLITICA DE EXONERACIÓN DE RESPONSABILIDAD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Al adquirir un plan o paquete turístico ofrecido por </w:t>
      </w:r>
      <w:r>
        <w:rPr>
          <w:rFonts w:ascii="Arial" w:hAnsi="Arial" w:cs="Arial"/>
          <w:b/>
          <w:bCs/>
          <w:color w:val="002060"/>
        </w:rPr>
        <w:t xml:space="preserve">Inversiones Santo Tomas SAS, NIT 900810349-5</w:t>
      </w:r>
      <w:r>
        <w:rPr>
          <w:rFonts w:ascii="Arial" w:hAnsi="Arial" w:cs="Arial"/>
          <w:color w:val="002060"/>
        </w:rPr>
        <w:t xml:space="preserve">, a través de su establecimiento de comercio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, el viajero o cliente reconoce, acepta y se sujeta a todas las condiciones de exoneración de responsabilidad expuestas en este documento: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No se efectuarán reembolsos por servicios no tomados debido a motivos personales, tales como necesidades, enfermedades o incumplimientos de horarios.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El itinerario está sujeto a cambios sin previo aviso, y </w:t>
      </w:r>
      <w:r>
        <w:rPr>
          <w:rFonts w:ascii="Arial" w:hAnsi="Arial" w:cs="Arial"/>
          <w:b/>
          <w:bCs/>
          <w:color w:val="002060"/>
        </w:rPr>
        <w:t xml:space="preserve">Grupos Travel</w:t>
      </w:r>
      <w:r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b/>
          <w:bCs/>
          <w:color w:val="002060"/>
        </w:rPr>
        <w:t xml:space="preserve">Mayorista de Turismo</w:t>
      </w:r>
      <w:r>
        <w:rPr>
          <w:rFonts w:ascii="Arial" w:hAnsi="Arial" w:cs="Arial"/>
          <w:color w:val="002060"/>
        </w:rPr>
        <w:t xml:space="preserve"> no asume responsabilidad por dichas modificaciones. 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Para solicitar servicios especiales como sillas de ruedas o comidas especiales, la agencia o cliente deberá informar con al menos 45 días de anticipación, pudiendo generar gastos adicionales.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Ante modificaciones en tiquetes aéreos emitidos por sistema, nos acogemos a las condiciones de la aerolínea según clase y/o fecha de viaje.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Se recomienda consultar la documentación requerida para el viaje con el agente de viajes correspondiente.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La entrega de habitaciones en hoteles se realiza generalmente a partir de las 3:00 pm o 4:00 pm. En c</w:t>
      </w:r>
      <w:r>
        <w:rPr>
          <w:rFonts w:ascii="Arial" w:hAnsi="Arial" w:cs="Arial"/>
          <w:color w:val="002060"/>
        </w:rPr>
        <w:t xml:space="preserve">aso de llegar antes, puede que la habitación no esté disponible hasta la hora establecida. Asimismo, el cliente debe desocupar la habitación antes de las 12:00 horas del día de salida, de lo contrario se aplicará un suplemento por su utilización adicional.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Al llegar a los hoteles,</w:t>
      </w:r>
      <w:r>
        <w:rPr>
          <w:rFonts w:ascii="Arial" w:hAnsi="Arial" w:cs="Arial"/>
          <w:color w:val="002060"/>
        </w:rPr>
        <w:t xml:space="preserve"> se solicitará a los pasajeros proporcionar una garantía mediante tarjeta de crédito para gastos extras, o realizar un depósito en efectivo en moneda local. Es responsabilidad del pasajero revisar los cargos efectuados a su tarjeta al momento de la salida.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no asume responsabilidad por cancelaciones y penalidades derivadas del incumplimiento de políticas de documentación y pagos. Los operadores turísticos se reservan el derecho de cancelar reservas por falta de pago o documentación.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Las condiciones de las visas están sujetas a las regulaciones de los países correspondientes y pueden cambiar unilateralmente sin responsabilidad por parte del operador o la agencia.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Las penalidades estándar son determinadas conforme a una estimación razonable de los costos e implicaciones financieras de las cancelaciones. En caso de </w:t>
      </w:r>
      <w:r>
        <w:rPr>
          <w:rFonts w:ascii="Arial" w:hAnsi="Arial" w:cs="Arial"/>
          <w:color w:val="002060"/>
        </w:rPr>
        <w:t xml:space="preserve">vouchers</w:t>
      </w:r>
      <w:r>
        <w:rPr>
          <w:rFonts w:ascii="Arial" w:hAnsi="Arial" w:cs="Arial"/>
          <w:color w:val="002060"/>
        </w:rPr>
        <w:t xml:space="preserve"> de operadores, se aplicarán las penalidades y políticas de </w:t>
      </w:r>
      <w:r>
        <w:rPr>
          <w:rFonts w:ascii="Arial" w:hAnsi="Arial" w:cs="Arial"/>
          <w:b/>
          <w:bCs/>
          <w:color w:val="002060"/>
        </w:rPr>
        <w:t xml:space="preserve">Inversiones Santo Tomas SAS</w:t>
      </w:r>
      <w:r>
        <w:rPr>
          <w:rFonts w:ascii="Arial" w:hAnsi="Arial" w:cs="Arial"/>
          <w:color w:val="002060"/>
        </w:rPr>
        <w:t xml:space="preserve"> y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no se hace responsable de la falta de generación de asistencia médica debido a la ausencia de información proporcionada por el cliente o la agencia.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5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Nuestro servicio se ajusta a las políticas de los proveedores, ya sean aerolíneas, hoteles u otros prestadores de servicios. En caso de devolución, nos regimos por los tiempos y políticas de cada proveedor.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pBdr/>
        <w:tabs>
          <w:tab w:val="left" w:leader="none" w:pos="3345"/>
        </w:tabs>
        <w:spacing w:after="0" w:line="240" w:lineRule="auto"/>
        <w:ind w:left="36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Si un </w:t>
      </w:r>
      <w:r>
        <w:rPr>
          <w:rFonts w:ascii="Arial" w:hAnsi="Arial" w:cs="Arial"/>
          <w:color w:val="002060"/>
        </w:rPr>
        <w:t xml:space="preserve">voucher</w:t>
      </w:r>
      <w:r>
        <w:rPr>
          <w:rFonts w:ascii="Arial" w:hAnsi="Arial" w:cs="Arial"/>
          <w:color w:val="002060"/>
        </w:rPr>
        <w:t xml:space="preserve"> presenta algún error y no es reportado por el cliente,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realizará los ajustes necesarios con cargos por gastos administrativos o, en caso de penalidades por no reportar oportunamente, estos serán asumidos por el proveedor.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POLÍTICA DE RESPONSABILIDAD LEGAL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Conforme al Código Penal colombiano, Ley 599 de 2000, en su Artículo 328, se estipulan sancion</w:t>
      </w:r>
      <w:r>
        <w:rPr>
          <w:rFonts w:ascii="Arial" w:hAnsi="Arial" w:cs="Arial"/>
          <w:color w:val="002060"/>
        </w:rPr>
        <w:t xml:space="preserve">es para quienes cometan delitos relacionados con el tráfico ilegal de flora y fauna silvestre. De igual manera, la Ley 1185 de 2008, en su Artículo 7, establece la obligación de denunciar ante las autoridades competentes cualquier daño o amenaza contra el </w:t>
      </w:r>
      <w:r>
        <w:rPr>
          <w:rFonts w:ascii="Arial" w:hAnsi="Arial" w:cs="Arial"/>
          <w:color w:val="002060"/>
        </w:rPr>
        <w:t xml:space="preserve">patrimonio cultural. Respecto a la pornografía infantil, la Ley 1336 de 2009, en su Artículo 3, prohíbe su promoción, producción y distribución, imponiendo sanciones a quienes la perpetren.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POLÍTICA DE RESPONSABILIDAD DE LOS PASAJEROS 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O PERSONA QUE ADQUIERA EL PLAN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Todos los pasajeros deben asegurarse de contar con la documentación requerida conforme a las leyes de los países a visitar. La responsabilidad de obtener dicha documentación recae en el pasajero, a menos que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haya acordado proporcionar asesoría para trámites de visa, en cuyo caso, no se asumirá responsabilidad si las autoridades del país o países visitados nieguen los documentos necesarios para ingresar al destino.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no se hace responsable por la pérdida de algún servicio contratado debido a la falta de documentación de viaje actualizada por parte del cliente.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Una vez que el viaje haya comenzado, si el pasajero decide no participar o utilizar algún servicio, no se realizarán devoluciones.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Los menores de edad que viajen sin alguno de sus padres deben presentar obligatoriamente un permiso de salida del país o ciudad.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Cualquier inconveniente personal en el aeropuerto, como pasaporte vencido, permisos de salida del país no cumplidos, homónimos, demandas u otros motivos ajenos a la responsabilidad de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, resultará en la pérdida del 100% del paquete turístico por parte del pasajero.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Si los pasajeros realizan cambios por su cuenta en los vuelos confirmados, serán responsables de cubrir todos los gastos generados por las modificaciones en los servicios afectados por dicho cambio.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Es responsabilidad del pasajero realizar el Web </w:t>
      </w:r>
      <w:r>
        <w:rPr>
          <w:rFonts w:ascii="Arial" w:hAnsi="Arial" w:cs="Arial"/>
          <w:color w:val="002060"/>
        </w:rPr>
        <w:t xml:space="preserve">Check</w:t>
      </w:r>
      <w:r>
        <w:rPr>
          <w:rFonts w:ascii="Arial" w:hAnsi="Arial" w:cs="Arial"/>
          <w:color w:val="002060"/>
        </w:rPr>
        <w:t xml:space="preserve">-in de su vuelo 24 horas antes de la salida y/o comunicarse con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para reconfirmar el itinerario, ya que los cambios operacionales en los horarios de vuelo generados por la línea aérea no son responsabilidad de </w:t>
      </w: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. Tales cambios pueden ocasionar molestias y costos adicionales no considerados en el viaje. 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Style w:val="902"/>
        <w:numPr>
          <w:ilvl w:val="0"/>
          <w:numId w:val="14"/>
        </w:num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El pasajero debe cumplir con las normas y procedimientos establecidos por las autoridades de los países visitados en materia de migración, aduanas, sanidad, seguridad y control de fronteras.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POLÍTICA DE COMUNICACIÓN OFICIAL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center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Grupos Travel Mayorista de Turismo</w:t>
      </w:r>
      <w:r>
        <w:rPr>
          <w:rFonts w:ascii="Arial" w:hAnsi="Arial" w:cs="Arial"/>
          <w:color w:val="002060"/>
        </w:rPr>
        <w:t xml:space="preserve"> solo asu</w:t>
      </w:r>
      <w:r>
        <w:rPr>
          <w:rFonts w:ascii="Arial" w:hAnsi="Arial" w:cs="Arial"/>
          <w:color w:val="002060"/>
        </w:rPr>
        <w:t xml:space="preserve">mirá responsabilidad por el cumplimiento de términos y condiciones, valores informados, servicios adquiridos y cualquier aspecto relacionado con la prestación de servicios, si la comunicación se realiza a través de nuestros canales oficiales, que incluyen: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Correos electrónicos:</w:t>
      </w:r>
      <w:r>
        <w:rPr>
          <w:rFonts w:ascii="Arial" w:hAnsi="Arial" w:cs="Arial"/>
          <w:color w:val="002060"/>
        </w:rPr>
        <w:t xml:space="preserve"> @</w:t>
      </w:r>
      <w:r>
        <w:rPr>
          <w:rFonts w:ascii="Arial" w:hAnsi="Arial" w:cs="Arial"/>
          <w:i/>
          <w:iCs/>
          <w:color w:val="002060"/>
        </w:rPr>
        <w:t xml:space="preserve">grupostravel.com / @grupostravel.com.co</w:t>
      </w:r>
      <w:r>
        <w:rPr>
          <w:rFonts w:ascii="Arial" w:hAnsi="Arial" w:cs="Arial"/>
          <w:i/>
          <w:iCs/>
          <w:color w:val="002060"/>
        </w:rPr>
      </w:r>
      <w:r>
        <w:rPr>
          <w:rFonts w:ascii="Arial" w:hAnsi="Arial" w:cs="Arial"/>
          <w:i/>
          <w:i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i/>
          <w:iCs/>
          <w:color w:val="002060"/>
        </w:rPr>
      </w:r>
      <w:r>
        <w:rPr>
          <w:rFonts w:ascii="Arial" w:hAnsi="Arial" w:cs="Arial"/>
          <w:i/>
          <w:iCs/>
          <w:color w:val="002060"/>
        </w:rPr>
      </w:r>
      <w:r>
        <w:rPr>
          <w:rFonts w:ascii="Arial" w:hAnsi="Arial" w:cs="Arial"/>
          <w:i/>
          <w:i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Líneas de WhatsApp y de contacto:</w:t>
      </w:r>
      <w:r>
        <w:rPr>
          <w:rFonts w:ascii="Arial" w:hAnsi="Arial" w:cs="Arial"/>
          <w:b/>
          <w:bCs/>
          <w:color w:val="002060"/>
        </w:rPr>
      </w:r>
      <w:r>
        <w:rPr>
          <w:rFonts w:ascii="Arial" w:hAnsi="Arial" w:cs="Arial"/>
          <w:b/>
          <w:b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Medellín: </w:t>
      </w:r>
      <w:r>
        <w:rPr>
          <w:rFonts w:ascii="Arial" w:hAnsi="Arial" w:cs="Arial"/>
          <w:i/>
          <w:iCs/>
          <w:color w:val="002060"/>
        </w:rPr>
        <w:t xml:space="preserve">315 505 3917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Bogotá: </w:t>
      </w:r>
      <w:r>
        <w:rPr>
          <w:rFonts w:ascii="Arial" w:hAnsi="Arial" w:cs="Arial"/>
          <w:i/>
          <w:iCs/>
          <w:color w:val="002060"/>
        </w:rPr>
        <w:t xml:space="preserve">301 785 2499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Cali: </w:t>
      </w:r>
      <w:r>
        <w:rPr>
          <w:rFonts w:ascii="Arial" w:hAnsi="Arial" w:cs="Arial"/>
          <w:i/>
          <w:iCs/>
          <w:color w:val="002060"/>
        </w:rPr>
        <w:t xml:space="preserve">301 7863700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Pereira: </w:t>
      </w:r>
      <w:r>
        <w:rPr>
          <w:rFonts w:ascii="Arial" w:hAnsi="Arial" w:cs="Arial"/>
          <w:i/>
          <w:iCs/>
          <w:color w:val="002060"/>
        </w:rPr>
        <w:t xml:space="preserve">301 783 457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Bucaramanga: </w:t>
      </w:r>
      <w:r>
        <w:rPr>
          <w:rFonts w:ascii="Arial" w:hAnsi="Arial" w:cs="Arial"/>
          <w:i/>
          <w:iCs/>
          <w:color w:val="002060"/>
        </w:rPr>
        <w:t xml:space="preserve">301 784 6588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color w:val="002060"/>
        </w:rPr>
        <w:t xml:space="preserve">Barranquilla: </w:t>
      </w:r>
      <w:r>
        <w:rPr>
          <w:rFonts w:ascii="Arial" w:hAnsi="Arial" w:cs="Arial"/>
          <w:i/>
          <w:iCs/>
          <w:color w:val="002060"/>
        </w:rPr>
        <w:t xml:space="preserve">302 313 9129</w:t>
      </w:r>
      <w:r>
        <w:rPr>
          <w:rFonts w:ascii="Arial" w:hAnsi="Arial" w:cs="Arial"/>
          <w:i/>
          <w:iCs/>
          <w:color w:val="002060"/>
        </w:rPr>
      </w:r>
      <w:r>
        <w:rPr>
          <w:rFonts w:ascii="Arial" w:hAnsi="Arial" w:cs="Arial"/>
          <w:i/>
          <w:iCs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Redes sociales: </w:t>
      </w:r>
      <w:r>
        <w:rPr>
          <w:rFonts w:ascii="Arial" w:hAnsi="Arial" w:cs="Arial"/>
          <w:i/>
          <w:iCs/>
          <w:color w:val="002060"/>
        </w:rPr>
        <w:t xml:space="preserve">@Grupostravel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Página Web:</w:t>
      </w:r>
      <w:r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i/>
          <w:iCs/>
          <w:color w:val="002060"/>
        </w:rPr>
        <w:t xml:space="preserve">www.grupostravel.com</w: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tabs>
          <w:tab w:val="left" w:leader="none" w:pos="3345"/>
        </w:tabs>
        <w:spacing w:after="0" w:line="240" w:lineRule="auto"/>
        <w:ind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Por lo tanto, se sugiere encarecidamente que todas las gestiones relacionadas con la reserva se realicen exclusivamente a través del correo electrónico, garantizando así un registro completo y detallado de la comunicación.</w:t>
      </w:r>
      <w:r>
        <w:rPr>
          <w:rFonts w:ascii="Arial" w:hAnsi="Arial" w:cs="Arial"/>
          <w:color w:val="002060"/>
        </w:rPr>
        <w:br/>
      </w:r>
      <w:bookmarkEnd w:id="6"/>
      <w:r/>
      <w:bookmarkEnd w:id="4"/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5840" w:orient="portrait" w:w="12240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Yu Gothic UI Semibold">
    <w:panose1 w:val="020B0902020203020207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Lucida Sans Unicode">
    <w:panose1 w:val="020B06030308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posOffset>-25400</wp:posOffset>
              </wp:positionH>
              <wp:positionV relativeFrom="paragraph">
                <wp:posOffset>-525781</wp:posOffset>
              </wp:positionV>
              <wp:extent cx="7856617" cy="10219267"/>
              <wp:effectExtent l="0" t="0" r="5080" b="4445"/>
              <wp:wrapNone/>
              <wp:docPr id="1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56617" cy="10219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-2.00pt;mso-position-horizontal:absolute;mso-position-vertical-relative:text;margin-top:-41.40pt;mso-position-vertical:absolute;width:618.63pt;height:804.67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5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04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5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Heading 1"/>
    <w:basedOn w:val="890"/>
    <w:next w:val="890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5">
    <w:name w:val="Heading 2"/>
    <w:basedOn w:val="890"/>
    <w:next w:val="890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6">
    <w:name w:val="Heading 3"/>
    <w:basedOn w:val="890"/>
    <w:next w:val="890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7">
    <w:name w:val="Heading 4"/>
    <w:basedOn w:val="890"/>
    <w:next w:val="890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8">
    <w:name w:val="Heading 5"/>
    <w:basedOn w:val="890"/>
    <w:next w:val="890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9">
    <w:name w:val="Heading 6"/>
    <w:basedOn w:val="890"/>
    <w:next w:val="890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0">
    <w:name w:val="Heading 7"/>
    <w:basedOn w:val="890"/>
    <w:next w:val="890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1">
    <w:name w:val="Heading 8"/>
    <w:basedOn w:val="890"/>
    <w:next w:val="890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Heading 9"/>
    <w:basedOn w:val="890"/>
    <w:next w:val="890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1 Char"/>
    <w:basedOn w:val="891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4">
    <w:name w:val="Heading 2 Char"/>
    <w:basedOn w:val="891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5">
    <w:name w:val="Heading 3 Char"/>
    <w:basedOn w:val="89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6">
    <w:name w:val="Heading 4 Char"/>
    <w:basedOn w:val="891"/>
    <w:link w:val="8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7">
    <w:name w:val="Heading 5 Char"/>
    <w:basedOn w:val="891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8">
    <w:name w:val="Heading 6 Char"/>
    <w:basedOn w:val="891"/>
    <w:link w:val="8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>
    <w:name w:val="Heading 7 Char"/>
    <w:basedOn w:val="891"/>
    <w:link w:val="8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>
    <w:name w:val="Heading 8 Char"/>
    <w:basedOn w:val="891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9 Char"/>
    <w:basedOn w:val="891"/>
    <w:link w:val="8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890"/>
    <w:next w:val="890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>
    <w:name w:val="Title Char"/>
    <w:basedOn w:val="891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890"/>
    <w:next w:val="890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>
    <w:name w:val="Subtitle Char"/>
    <w:basedOn w:val="891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890"/>
    <w:next w:val="890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>
    <w:name w:val="Quote Char"/>
    <w:basedOn w:val="891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9">
    <w:name w:val="Intense Quote"/>
    <w:basedOn w:val="890"/>
    <w:next w:val="890"/>
    <w:link w:val="87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0">
    <w:name w:val="Intense Quote Char"/>
    <w:basedOn w:val="891"/>
    <w:link w:val="8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1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2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>
    <w:name w:val="Header Char"/>
    <w:basedOn w:val="891"/>
    <w:link w:val="894"/>
    <w:uiPriority w:val="99"/>
    <w:pPr>
      <w:pBdr/>
      <w:spacing/>
      <w:ind/>
    </w:pPr>
  </w:style>
  <w:style w:type="character" w:styleId="878">
    <w:name w:val="Footer Char"/>
    <w:basedOn w:val="891"/>
    <w:link w:val="896"/>
    <w:uiPriority w:val="99"/>
    <w:pPr>
      <w:pBdr/>
      <w:spacing/>
      <w:ind/>
    </w:pPr>
  </w:style>
  <w:style w:type="paragraph" w:styleId="87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890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891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0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891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  <w:rPr>
      <w:lang w:val="es-ES"/>
      <w14:ligatures w14:val="none"/>
    </w:rPr>
  </w:style>
  <w:style w:type="character" w:styleId="891" w:default="1">
    <w:name w:val="Default Paragraph Font"/>
    <w:uiPriority w:val="1"/>
    <w:unhideWhenUsed/>
    <w:pPr>
      <w:pBdr/>
      <w:spacing/>
      <w:ind/>
    </w:pPr>
  </w:style>
  <w:style w:type="table" w:styleId="8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uiPriority w:val="99"/>
    <w:semiHidden/>
    <w:unhideWhenUsed/>
    <w:pPr>
      <w:pBdr/>
      <w:spacing/>
      <w:ind/>
    </w:pPr>
  </w:style>
  <w:style w:type="paragraph" w:styleId="894">
    <w:name w:val="Header"/>
    <w:basedOn w:val="890"/>
    <w:link w:val="895"/>
    <w:uiPriority w:val="99"/>
    <w:unhideWhenUsed/>
    <w:pPr>
      <w:pBdr/>
      <w:tabs>
        <w:tab w:val="center" w:leader="none" w:pos="4419"/>
        <w:tab w:val="right" w:leader="none" w:pos="8838"/>
      </w:tabs>
      <w:spacing w:after="0" w:line="240" w:lineRule="auto"/>
      <w:ind/>
    </w:pPr>
  </w:style>
  <w:style w:type="character" w:styleId="895" w:customStyle="1">
    <w:name w:val="Encabezado Car"/>
    <w:basedOn w:val="891"/>
    <w:link w:val="894"/>
    <w:uiPriority w:val="99"/>
    <w:pPr>
      <w:pBdr/>
      <w:spacing/>
      <w:ind/>
    </w:pPr>
  </w:style>
  <w:style w:type="paragraph" w:styleId="896">
    <w:name w:val="Footer"/>
    <w:basedOn w:val="890"/>
    <w:link w:val="897"/>
    <w:uiPriority w:val="99"/>
    <w:unhideWhenUsed/>
    <w:pPr>
      <w:pBdr/>
      <w:tabs>
        <w:tab w:val="center" w:leader="none" w:pos="4419"/>
        <w:tab w:val="right" w:leader="none" w:pos="8838"/>
      </w:tabs>
      <w:spacing w:after="0" w:line="240" w:lineRule="auto"/>
      <w:ind/>
    </w:pPr>
  </w:style>
  <w:style w:type="character" w:styleId="897" w:customStyle="1">
    <w:name w:val="Pie de página Car"/>
    <w:basedOn w:val="891"/>
    <w:link w:val="896"/>
    <w:uiPriority w:val="99"/>
    <w:pPr>
      <w:pBdr/>
      <w:spacing/>
      <w:ind/>
    </w:pPr>
  </w:style>
  <w:style w:type="table" w:styleId="898">
    <w:name w:val="Table Grid"/>
    <w:basedOn w:val="892"/>
    <w:uiPriority w:val="39"/>
    <w:pPr>
      <w:pBdr/>
      <w:spacing w:after="0" w:line="240" w:lineRule="auto"/>
      <w:ind/>
    </w:pPr>
    <w:rPr>
      <w:lang w:val="en-US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Body Text"/>
    <w:basedOn w:val="890"/>
    <w:link w:val="900"/>
    <w:uiPriority w:val="1"/>
    <w:unhideWhenUsed/>
    <w:qFormat/>
    <w:pPr>
      <w:widowControl w:val="false"/>
      <w:pBdr/>
      <w:spacing w:after="0" w:line="240" w:lineRule="auto"/>
      <w:ind/>
    </w:pPr>
    <w:rPr>
      <w:rFonts w:ascii="Lucida Sans Unicode" w:hAnsi="Lucida Sans Unicode" w:eastAsia="Lucida Sans Unicode" w:cs="Lucida Sans Unicode"/>
      <w:sz w:val="20"/>
      <w:szCs w:val="20"/>
    </w:rPr>
  </w:style>
  <w:style w:type="character" w:styleId="900" w:customStyle="1">
    <w:name w:val="Texto independiente Car"/>
    <w:basedOn w:val="891"/>
    <w:link w:val="899"/>
    <w:uiPriority w:val="1"/>
    <w:pPr>
      <w:pBdr/>
      <w:spacing/>
      <w:ind/>
    </w:pPr>
    <w:rPr>
      <w:rFonts w:ascii="Lucida Sans Unicode" w:hAnsi="Lucida Sans Unicode" w:eastAsia="Lucida Sans Unicode" w:cs="Lucida Sans Unicode"/>
      <w:sz w:val="20"/>
      <w:szCs w:val="20"/>
      <w:lang w:val="es-ES"/>
      <w14:ligatures w14:val="none"/>
    </w:rPr>
  </w:style>
  <w:style w:type="table" w:styleId="901">
    <w:name w:val="Grid Table 1 Light Accent 2"/>
    <w:basedOn w:val="892"/>
    <w:uiPriority w:val="46"/>
    <w:pPr>
      <w:pBdr/>
      <w:spacing w:after="0" w:line="240" w:lineRule="auto"/>
      <w:ind/>
    </w:pPr>
    <w:rPr>
      <w:lang w:val="en-US"/>
      <w14:ligatures w14:val="none"/>
    </w:r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4b083" w:themeColor="accent2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4b083" w:themeColor="accent2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List Paragraph"/>
    <w:basedOn w:val="890"/>
    <w:uiPriority w:val="34"/>
    <w:qFormat/>
    <w:pPr>
      <w:pBdr/>
      <w:spacing/>
      <w:ind w:left="720"/>
      <w:contextualSpacing w:val="true"/>
    </w:pPr>
  </w:style>
  <w:style w:type="paragraph" w:styleId="903">
    <w:name w:val="Normal (Web)"/>
    <w:basedOn w:val="89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04">
    <w:name w:val="No Spacing"/>
    <w:uiPriority w:val="1"/>
    <w:qFormat/>
    <w:pPr>
      <w:pBdr/>
      <w:spacing w:after="0" w:line="240" w:lineRule="auto"/>
      <w:ind/>
    </w:pPr>
    <w:rPr>
      <w:lang w:val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Grupos Travel</dc:creator>
  <cp:keywords/>
  <dc:description/>
  <cp:lastModifiedBy>JULIANA GOMEZ</cp:lastModifiedBy>
  <cp:revision>8</cp:revision>
  <dcterms:created xsi:type="dcterms:W3CDTF">2025-01-08T15:10:00Z</dcterms:created>
  <dcterms:modified xsi:type="dcterms:W3CDTF">2025-01-31T17:30:24Z</dcterms:modified>
</cp:coreProperties>
</file>