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SENDEROS DE MEDJUGORJE</w:t>
      </w: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4N/5D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color w:val="1f3864"/>
          <w:rtl w:val="0"/>
        </w:rPr>
        <w:t xml:space="preserve">(Bosnia)</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SALIDAS PUNTUALES: </w:t>
      </w:r>
      <w:r w:rsidDel="00000000" w:rsidR="00000000" w:rsidRPr="00000000">
        <w:rPr>
          <w:color w:val="1f3864"/>
          <w:rtl w:val="0"/>
        </w:rPr>
        <w:t xml:space="preserve"> Hasta Noviembre del 2025. (Ver cuadro de salidas).</w:t>
      </w:r>
      <w:r w:rsidDel="00000000" w:rsidR="00000000" w:rsidRPr="00000000">
        <w:rPr>
          <w:rtl w:val="0"/>
        </w:rPr>
      </w:r>
    </w:p>
    <w:p w:rsidR="00000000" w:rsidDel="00000000" w:rsidP="00000000" w:rsidRDefault="00000000" w:rsidRPr="00000000" w14:paraId="00000006">
      <w:pPr>
        <w:pBdr>
          <w:bottom w:color="000000" w:space="1" w:sz="6" w:val="single"/>
        </w:pBdr>
        <w:jc w:val="both"/>
        <w:rPr>
          <w:color w:val="1f3864"/>
          <w:sz w:val="6"/>
          <w:szCs w:val="6"/>
        </w:rPr>
      </w:pPr>
      <w:bookmarkStart w:colFirst="0" w:colLast="0" w:name="_heading=h.30j0zll" w:id="0"/>
      <w:bookmarkEnd w:id="0"/>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drawing>
          <wp:inline distB="0" distT="0" distL="0" distR="0">
            <wp:extent cx="1841318" cy="1280511"/>
            <wp:effectExtent b="0" l="0" r="0" t="0"/>
            <wp:docPr descr="Compara y reserva excursiones y actividades en Medjugorje » Topguide24.com" id="2067580560" name="image4.jpg"/>
            <a:graphic>
              <a:graphicData uri="http://schemas.openxmlformats.org/drawingml/2006/picture">
                <pic:pic>
                  <pic:nvPicPr>
                    <pic:cNvPr descr="Compara y reserva excursiones y actividades en Medjugorje » Topguide24.com" id="0" name="image4.jpg"/>
                    <pic:cNvPicPr preferRelativeResize="0"/>
                  </pic:nvPicPr>
                  <pic:blipFill>
                    <a:blip r:embed="rId7"/>
                    <a:srcRect b="0" l="0" r="3922" t="0"/>
                    <a:stretch>
                      <a:fillRect/>
                    </a:stretch>
                  </pic:blipFill>
                  <pic:spPr>
                    <a:xfrm>
                      <a:off x="0" y="0"/>
                      <a:ext cx="1841318" cy="1280511"/>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692457" cy="1273992"/>
            <wp:effectExtent b="0" l="0" r="0" t="0"/>
            <wp:docPr descr="Viviendo la Espiritualidad en Medjugorje - the gallery travel" id="2067580562" name="image2.jpg"/>
            <a:graphic>
              <a:graphicData uri="http://schemas.openxmlformats.org/drawingml/2006/picture">
                <pic:pic>
                  <pic:nvPicPr>
                    <pic:cNvPr descr="Viviendo la Espiritualidad en Medjugorje - the gallery travel" id="0" name="image2.jpg"/>
                    <pic:cNvPicPr preferRelativeResize="0"/>
                  </pic:nvPicPr>
                  <pic:blipFill>
                    <a:blip r:embed="rId8"/>
                    <a:srcRect b="0" l="0" r="0" t="0"/>
                    <a:stretch>
                      <a:fillRect/>
                    </a:stretch>
                  </pic:blipFill>
                  <pic:spPr>
                    <a:xfrm>
                      <a:off x="0" y="0"/>
                      <a:ext cx="1692457" cy="1273992"/>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75189" cy="1289348"/>
            <wp:effectExtent b="0" l="0" r="0" t="0"/>
            <wp:docPr descr="Queen of Peace - Medjugorje Pilgrimage – Harvest Journeys Catholic  Pilgrimages" id="2067580561" name="image5.jpg"/>
            <a:graphic>
              <a:graphicData uri="http://schemas.openxmlformats.org/drawingml/2006/picture">
                <pic:pic>
                  <pic:nvPicPr>
                    <pic:cNvPr descr="Queen of Peace - Medjugorje Pilgrimage – Harvest Journeys Catholic  Pilgrimages" id="0" name="image5.jpg"/>
                    <pic:cNvPicPr preferRelativeResize="0"/>
                  </pic:nvPicPr>
                  <pic:blipFill>
                    <a:blip r:embed="rId9"/>
                    <a:srcRect b="0" l="1887" r="6379" t="0"/>
                    <a:stretch>
                      <a:fillRect/>
                    </a:stretch>
                  </pic:blipFill>
                  <pic:spPr>
                    <a:xfrm>
                      <a:off x="0" y="0"/>
                      <a:ext cx="1775189" cy="128934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DÍA 1: DUBROVNIK o SPLIT / MEDJUGORJE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Llegada y traslado a Medjugorje. Llegada y alojamiento.</w:t>
      </w:r>
    </w:p>
    <w:p w:rsidR="00000000" w:rsidDel="00000000" w:rsidP="00000000" w:rsidRDefault="00000000" w:rsidRPr="00000000" w14:paraId="0000000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color w:val="002060"/>
        </w:rPr>
      </w:pPr>
      <w:r w:rsidDel="00000000" w:rsidR="00000000" w:rsidRPr="00000000">
        <w:rPr>
          <w:b w:val="1"/>
          <w:color w:val="002060"/>
          <w:rtl w:val="0"/>
        </w:rPr>
        <w:t xml:space="preserve">DÍA 2: MEDJUGORJE</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Durante este día nuestro guía nos hará la introducción a Medjugorje, su historia, sus lugares más importantes, nos hablará de la vida de sus videntes etc. Conoceremos el Santuario y la población de Medjugorje. Empezaremos por la Parroquia de Santiago, donde en su exterior se encuentra la imagen de la Virgen de la Paz y la explanada donde se celebra el programa vespertino de la Iglesia (Rosario, Santa Misa, Adoración, Oración de sanación, Veneración de la Cruz...) y los encuentros multitudinarios, como el Festival de Jóvenes. Almuerzo. Durante la tarde tendremos tiempo libre hasta las 17:00hrs que nos uniremos al programa vespertino de la Parroquia para el rezo del Rosario, a las 18:00h misa y bendición de objetos religiosos y a las 20:00h Oración de sanación / Adoración o Veneración de la Cruz en función de la programación de la parroquia. Alojamiento.</w:t>
      </w:r>
    </w:p>
    <w:p w:rsidR="00000000" w:rsidDel="00000000" w:rsidP="00000000" w:rsidRDefault="00000000" w:rsidRPr="00000000" w14:paraId="0000001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color w:val="002060"/>
        </w:rPr>
      </w:pPr>
      <w:r w:rsidDel="00000000" w:rsidR="00000000" w:rsidRPr="00000000">
        <w:rPr>
          <w:b w:val="1"/>
          <w:color w:val="002060"/>
          <w:rtl w:val="0"/>
        </w:rPr>
        <w:t xml:space="preserve">DÍA 3o: MEDJUGORJE</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Durante la mañana nos dirigiremos al Podbrdo (colina de las apariciones), donde se conservan las casas de los videntes, y donde tendremos una explicación de las apariciones por parte de una guía oficial de la Parroquia. Subiremos la colina rezando el Rosario. Seguidamente conoceremos la comunidad Cenáculo, donde tendremos la oportunidad de escuchar los testimonios de alguno de sus miembros. Almuerzo. Durante la tarde tendremos tiempo libre hasta las 17:00hrs que nos uniremos al programa vespertino de la Parroquia para el rezo del Rosario, a las 18:00h misa y bendición de objetos religiosos y a las 20:00h Oración de sanación / Adoración o Veneración de la Cruz en función de la programación de la parroquia. Alojamiento.</w:t>
      </w:r>
    </w:p>
    <w:p w:rsidR="00000000" w:rsidDel="00000000" w:rsidP="00000000" w:rsidRDefault="00000000" w:rsidRPr="00000000" w14:paraId="0000001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DÍA 4: MEDJUGORJE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Durante la mañana subiremos al Krizevac (Monte de la Cruz) realizando el Vía Crucis. Almuerzo. Durante la tarde tendremos tiempo libre hasta las 17:00hrs que nos uniremos al programa vespertino de la Parroquia para el rezo del Rosario, a las 18:00h misa y bendición de objetos religiosos y a las 20:00h Oración de sanación / Adoración o Veneración de la Cruz en función de la programación de la parroquia. Alojamiento.</w:t>
      </w:r>
    </w:p>
    <w:p w:rsidR="00000000" w:rsidDel="00000000" w:rsidP="00000000" w:rsidRDefault="00000000" w:rsidRPr="00000000" w14:paraId="0000001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8">
      <w:pPr>
        <w:spacing w:after="0" w:line="240" w:lineRule="auto"/>
        <w:jc w:val="both"/>
        <w:rPr>
          <w:b w:val="1"/>
          <w:color w:val="002060"/>
        </w:rPr>
      </w:pPr>
      <w:r w:rsidDel="00000000" w:rsidR="00000000" w:rsidRPr="00000000">
        <w:rPr>
          <w:b w:val="1"/>
          <w:color w:val="002060"/>
          <w:rtl w:val="0"/>
        </w:rPr>
        <w:t xml:space="preserve">DÍA 5: MEDJUGORJE / DUBROVNIK O SPLIT</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Desayuno. Traslado al aeropuerto. </w:t>
      </w:r>
    </w:p>
    <w:p w:rsidR="00000000" w:rsidDel="00000000" w:rsidP="00000000" w:rsidRDefault="00000000" w:rsidRPr="00000000" w14:paraId="0000001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1C">
      <w:pPr>
        <w:spacing w:after="0" w:line="240" w:lineRule="auto"/>
        <w:rPr>
          <w:color w:val="002060"/>
        </w:rPr>
      </w:pPr>
      <w:r w:rsidDel="00000000" w:rsidR="00000000" w:rsidRPr="00000000">
        <w:rPr>
          <w:rtl w:val="0"/>
        </w:rPr>
      </w:r>
    </w:p>
    <w:p w:rsidR="00000000" w:rsidDel="00000000" w:rsidP="00000000" w:rsidRDefault="00000000" w:rsidRPr="00000000" w14:paraId="0000001D">
      <w:pPr>
        <w:spacing w:after="0" w:lineRule="auto"/>
        <w:jc w:val="center"/>
        <w:rPr>
          <w:b w:val="1"/>
          <w:color w:val="002060"/>
        </w:rPr>
      </w:pPr>
      <w:r w:rsidDel="00000000" w:rsidR="00000000" w:rsidRPr="00000000">
        <w:rPr>
          <w:rtl w:val="0"/>
        </w:rPr>
      </w:r>
    </w:p>
    <w:p w:rsidR="00000000" w:rsidDel="00000000" w:rsidP="00000000" w:rsidRDefault="00000000" w:rsidRPr="00000000" w14:paraId="0000001E">
      <w:pPr>
        <w:spacing w:after="0" w:lineRule="auto"/>
        <w:jc w:val="center"/>
        <w:rPr>
          <w:b w:val="1"/>
          <w:color w:val="002060"/>
        </w:rPr>
      </w:pPr>
      <w:r w:rsidDel="00000000" w:rsidR="00000000" w:rsidRPr="00000000">
        <w:rPr>
          <w:b w:val="1"/>
          <w:color w:val="002060"/>
          <w:rtl w:val="0"/>
        </w:rPr>
        <w:t xml:space="preserve">TARIFA EN EUROS POR PERSONA DESDE</w:t>
      </w:r>
    </w:p>
    <w:p w:rsidR="00000000" w:rsidDel="00000000" w:rsidP="00000000" w:rsidRDefault="00000000" w:rsidRPr="00000000" w14:paraId="0000001F">
      <w:pPr>
        <w:spacing w:after="0" w:lineRule="auto"/>
        <w:jc w:val="center"/>
        <w:rPr>
          <w:b w:val="1"/>
          <w:color w:val="002060"/>
          <w:sz w:val="12"/>
          <w:szCs w:val="12"/>
        </w:rPr>
      </w:pPr>
      <w:r w:rsidDel="00000000" w:rsidR="00000000" w:rsidRPr="00000000">
        <w:rPr>
          <w:rtl w:val="0"/>
        </w:rPr>
      </w:r>
    </w:p>
    <w:tbl>
      <w:tblPr>
        <w:tblStyle w:val="Table1"/>
        <w:tblW w:w="10338.0" w:type="dxa"/>
        <w:jc w:val="center"/>
        <w:tblLayout w:type="fixed"/>
        <w:tblLook w:val="0400"/>
      </w:tblPr>
      <w:tblGrid>
        <w:gridCol w:w="4668"/>
        <w:gridCol w:w="1372"/>
        <w:gridCol w:w="1420"/>
        <w:gridCol w:w="1319"/>
        <w:gridCol w:w="1559"/>
        <w:tblGridChange w:id="0">
          <w:tblGrid>
            <w:gridCol w:w="4668"/>
            <w:gridCol w:w="1372"/>
            <w:gridCol w:w="1420"/>
            <w:gridCol w:w="1319"/>
            <w:gridCol w:w="1559"/>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color w:val="ffffff"/>
              </w:rPr>
            </w:pPr>
            <w:r w:rsidDel="00000000" w:rsidR="00000000" w:rsidRPr="00000000">
              <w:rPr>
                <w:b w:val="1"/>
                <w:color w:val="ffffff"/>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color w:val="ffffff"/>
              </w:rPr>
            </w:pPr>
            <w:r w:rsidDel="00000000" w:rsidR="00000000" w:rsidRPr="00000000">
              <w:rPr>
                <w:b w:val="1"/>
                <w:color w:val="ffffff"/>
                <w:rtl w:val="0"/>
              </w:rPr>
              <w:t xml:space="preserve">DE 25 A 29</w:t>
              <w:br w:type="textWrapping"/>
              <w:t xml:space="preserve">PEREGRINOS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color w:val="ffffff"/>
              </w:rPr>
            </w:pPr>
            <w:r w:rsidDel="00000000" w:rsidR="00000000" w:rsidRPr="00000000">
              <w:rPr>
                <w:b w:val="1"/>
                <w:color w:val="ffffff"/>
                <w:rtl w:val="0"/>
              </w:rPr>
              <w:t xml:space="preserve">DE 20 A 24</w:t>
              <w:br w:type="textWrapping"/>
              <w:t xml:space="preserve">PEREGRINOS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color w:val="ffffff"/>
              </w:rPr>
            </w:pPr>
            <w:r w:rsidDel="00000000" w:rsidR="00000000" w:rsidRPr="00000000">
              <w:rPr>
                <w:b w:val="1"/>
                <w:color w:val="ffffff"/>
                <w:rtl w:val="0"/>
              </w:rPr>
              <w:t xml:space="preserve">DE 15 A 19</w:t>
              <w:br w:type="textWrapping"/>
              <w:t xml:space="preserve">PEREGRINOS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color w:val="ffffff"/>
              </w:rPr>
            </w:pPr>
            <w:r w:rsidDel="00000000" w:rsidR="00000000" w:rsidRPr="00000000">
              <w:rPr>
                <w:b w:val="1"/>
                <w:color w:val="ffffff"/>
                <w:rtl w:val="0"/>
              </w:rPr>
              <w:t xml:space="preserve">SUPLEMENTO INDIVIDUAL</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2 DE MARZO, 4 DE ABRIL, 2 Y 30 DE MAYO, 1 DE AGOSTO, 4 DE SEPTIEMBRE, 3 DE OCTUBRE Y 9 DE NOVIEMBRE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b w:val="1"/>
                <w:color w:val="002060"/>
              </w:rPr>
            </w:pPr>
            <w:r w:rsidDel="00000000" w:rsidR="00000000" w:rsidRPr="00000000">
              <w:rPr>
                <w:b w:val="1"/>
                <w:color w:val="002060"/>
                <w:rtl w:val="0"/>
              </w:rPr>
              <w:t xml:space="preserve">499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543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606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208 EUR</w:t>
            </w:r>
          </w:p>
        </w:tc>
      </w:tr>
    </w:tbl>
    <w:p w:rsidR="00000000" w:rsidDel="00000000" w:rsidP="00000000" w:rsidRDefault="00000000" w:rsidRPr="00000000" w14:paraId="0000002A">
      <w:pPr>
        <w:spacing w:after="0" w:lineRule="auto"/>
        <w:jc w:val="center"/>
        <w:rPr>
          <w:i w:val="1"/>
          <w:color w:val="ff0000"/>
          <w:u w:val="single"/>
        </w:rPr>
      </w:pPr>
      <w:r w:rsidDel="00000000" w:rsidR="00000000" w:rsidRPr="00000000">
        <w:rPr>
          <w:i w:val="1"/>
          <w:color w:val="ff0000"/>
          <w:u w:val="single"/>
          <w:rtl w:val="0"/>
        </w:rPr>
        <w:t xml:space="preserve">Precios por persona en habitación doble.</w:t>
      </w:r>
    </w:p>
    <w:p w:rsidR="00000000" w:rsidDel="00000000" w:rsidP="00000000" w:rsidRDefault="00000000" w:rsidRPr="00000000" w14:paraId="0000002B">
      <w:pPr>
        <w:spacing w:after="0" w:lineRule="auto"/>
        <w:rPr>
          <w:b w:val="1"/>
          <w:color w:val="002060"/>
        </w:rPr>
      </w:pPr>
      <w:r w:rsidDel="00000000" w:rsidR="00000000" w:rsidRPr="00000000">
        <w:rPr>
          <w:rtl w:val="0"/>
        </w:rPr>
      </w:r>
    </w:p>
    <w:p w:rsidR="00000000" w:rsidDel="00000000" w:rsidP="00000000" w:rsidRDefault="00000000" w:rsidRPr="00000000" w14:paraId="0000002C">
      <w:pPr>
        <w:spacing w:after="0" w:lineRule="auto"/>
        <w:rPr>
          <w:color w:val="002060"/>
        </w:rPr>
      </w:pPr>
      <w:r w:rsidDel="00000000" w:rsidR="00000000" w:rsidRPr="00000000">
        <w:rPr>
          <w:b w:val="1"/>
          <w:color w:val="002060"/>
          <w:rtl w:val="0"/>
        </w:rPr>
        <w:t xml:space="preserve">INCLUYE: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Traslados aeropuerto - hotel - aeropuerto con asistencia en español en Dubrovnik o Split.</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4 noches de estancia en los hoteles, en el hotel previsto o similar en habitación doble en régimen de pensión completa.</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Guía local en español para las visitas del 2o al 4o día (ambos incluidos).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Subida al Podbrdo (o Monte de las Apariciones) y al Krizevac (o Monte de la Cruz)</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Visita a las casas de la Comunidad del Cenáculo.</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Celebración de la Santa Misa diaria según programación de la parroquia.</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Seguimiento del programa de la parroquia y charla de algún franciscano de la Parroquia.</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Traducción simultánea de la Santa Misa (se requiere radio analógica, imprescindible con auriculares)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de 60.000 USD)</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37">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Bebidas en las comidas.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y gastos personales.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Todo aquello no descrito en "El precio incluye Gastos no especificados en el párrafo incluye.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de índole personal como propinas.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3E">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40">
      <w:pPr>
        <w:spacing w:after="0" w:line="240" w:lineRule="auto"/>
        <w:jc w:val="both"/>
        <w:rPr>
          <w:b w:val="1"/>
          <w:color w:val="002060"/>
        </w:rPr>
      </w:pPr>
      <w:r w:rsidDel="00000000" w:rsidR="00000000" w:rsidRPr="00000000">
        <w:rPr>
          <w:rtl w:val="0"/>
        </w:rPr>
      </w:r>
    </w:p>
    <w:tbl>
      <w:tblPr>
        <w:tblStyle w:val="Table2"/>
        <w:tblW w:w="6936.0" w:type="dxa"/>
        <w:jc w:val="center"/>
        <w:tblLayout w:type="fixed"/>
        <w:tblLook w:val="0400"/>
      </w:tblPr>
      <w:tblGrid>
        <w:gridCol w:w="1981"/>
        <w:gridCol w:w="4955"/>
        <w:tblGridChange w:id="0">
          <w:tblGrid>
            <w:gridCol w:w="1981"/>
            <w:gridCol w:w="495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color w:val="ffffff"/>
              </w:rPr>
            </w:pPr>
            <w:r w:rsidDel="00000000" w:rsidR="00000000" w:rsidRPr="00000000">
              <w:rPr>
                <w:b w:val="1"/>
                <w:color w:val="ffffff"/>
                <w:rtl w:val="0"/>
              </w:rPr>
              <w:t xml:space="preserve">HOTELES PREVISTOS O SIMILARES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MEDJUGORJE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Hotel Klemo 4*</w:t>
            </w:r>
          </w:p>
        </w:tc>
      </w:tr>
    </w:tbl>
    <w:p w:rsidR="00000000" w:rsidDel="00000000" w:rsidP="00000000" w:rsidRDefault="00000000" w:rsidRPr="00000000" w14:paraId="0000004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6">
      <w:pPr>
        <w:spacing w:after="0" w:lineRule="auto"/>
        <w:jc w:val="both"/>
        <w:rPr>
          <w:b w:val="1"/>
          <w:color w:val="002060"/>
        </w:rPr>
      </w:pPr>
      <w:r w:rsidDel="00000000" w:rsidR="00000000" w:rsidRPr="00000000">
        <w:rPr>
          <w:rtl w:val="0"/>
        </w:rPr>
      </w:r>
    </w:p>
    <w:p w:rsidR="00000000" w:rsidDel="00000000" w:rsidP="00000000" w:rsidRDefault="00000000" w:rsidRPr="00000000" w14:paraId="00000047">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48">
      <w:pPr>
        <w:numPr>
          <w:ilvl w:val="0"/>
          <w:numId w:val="2"/>
        </w:numPr>
        <w:spacing w:after="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49">
      <w:pPr>
        <w:numPr>
          <w:ilvl w:val="0"/>
          <w:numId w:val="2"/>
        </w:numPr>
        <w:spacing w:after="0" w:lineRule="auto"/>
        <w:ind w:left="720" w:hanging="360"/>
        <w:jc w:val="both"/>
        <w:rPr>
          <w:color w:val="1f3864"/>
        </w:rPr>
      </w:pPr>
      <w:r w:rsidDel="00000000" w:rsidR="00000000" w:rsidRPr="00000000">
        <w:rPr>
          <w:color w:val="1f3864"/>
          <w:rtl w:val="0"/>
        </w:rPr>
        <w:t xml:space="preserve">Para garantía de reserva se requiere un depósito del 40 % del valor del paquete por persona</w:t>
      </w:r>
    </w:p>
    <w:p w:rsidR="00000000" w:rsidDel="00000000" w:rsidP="00000000" w:rsidRDefault="00000000" w:rsidRPr="00000000" w14:paraId="0000004A">
      <w:pPr>
        <w:numPr>
          <w:ilvl w:val="0"/>
          <w:numId w:val="2"/>
        </w:numPr>
        <w:spacing w:after="0" w:lineRule="auto"/>
        <w:ind w:left="720" w:hanging="360"/>
        <w:jc w:val="both"/>
        <w:rPr>
          <w:color w:val="1f3864"/>
        </w:rPr>
      </w:pPr>
      <w:r w:rsidDel="00000000" w:rsidR="00000000" w:rsidRPr="00000000">
        <w:rPr>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Durante el invierno debido a la escasa frecuencia de vuelos directos a Dubrovnik, los vuelos tienen que ser vía 2 ciudades, con lo que el orden y horarios de las visitas pueden sufrir cambios.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Debido a causas climatológicas tanto en verano con demasiado calor y en invierno con demasiado frio, la subida a la Colina de las Aparaciones y a Krizevac se realizará en el mejor momento que indique el guía o muy temprano o cuando no haga mucho calor.</w:t>
      </w:r>
    </w:p>
    <w:p w:rsidR="00000000" w:rsidDel="00000000" w:rsidP="00000000" w:rsidRDefault="00000000" w:rsidRPr="00000000" w14:paraId="0000004D">
      <w:pPr>
        <w:numPr>
          <w:ilvl w:val="0"/>
          <w:numId w:val="2"/>
        </w:numPr>
        <w:spacing w:after="0" w:lineRule="auto"/>
        <w:ind w:left="7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4E">
      <w:pPr>
        <w:numPr>
          <w:ilvl w:val="0"/>
          <w:numId w:val="2"/>
        </w:numPr>
        <w:spacing w:after="0" w:lineRule="auto"/>
        <w:ind w:left="7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4F">
      <w:pPr>
        <w:numPr>
          <w:ilvl w:val="0"/>
          <w:numId w:val="2"/>
        </w:numPr>
        <w:spacing w:after="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0">
      <w:pPr>
        <w:numPr>
          <w:ilvl w:val="0"/>
          <w:numId w:val="2"/>
        </w:numPr>
        <w:spacing w:after="0" w:lineRule="auto"/>
        <w:ind w:left="720" w:hanging="360"/>
        <w:jc w:val="both"/>
        <w:rPr>
          <w:color w:val="1f3864"/>
        </w:rPr>
      </w:pPr>
      <w:r w:rsidDel="00000000" w:rsidR="00000000" w:rsidRPr="00000000">
        <w:rPr>
          <w:color w:val="1f3864"/>
          <w:rtl w:val="0"/>
        </w:rPr>
        <w:t xml:space="preserve">El uso de autobús o microbús dependerá del número de peregrinos que realicen el viaje.</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El horario de misa puede variar según la estación del año.</w:t>
      </w:r>
    </w:p>
    <w:p w:rsidR="00000000" w:rsidDel="00000000" w:rsidP="00000000" w:rsidRDefault="00000000" w:rsidRPr="00000000" w14:paraId="00000052">
      <w:pPr>
        <w:numPr>
          <w:ilvl w:val="0"/>
          <w:numId w:val="2"/>
        </w:numPr>
        <w:spacing w:after="0" w:lineRule="auto"/>
        <w:ind w:left="720" w:hanging="360"/>
        <w:jc w:val="both"/>
        <w:rPr>
          <w:color w:val="1f3864"/>
        </w:rPr>
      </w:pPr>
      <w:r w:rsidDel="00000000" w:rsidR="00000000" w:rsidRPr="00000000">
        <w:rPr>
          <w:color w:val="1f3864"/>
          <w:rtl w:val="0"/>
        </w:rPr>
        <w:t xml:space="preserve">Las Misas se podrán celebrar solo cuando el grupo viaje acompañado por un sacerdote.</w:t>
      </w:r>
    </w:p>
    <w:p w:rsidR="00000000" w:rsidDel="00000000" w:rsidP="00000000" w:rsidRDefault="00000000" w:rsidRPr="00000000" w14:paraId="00000053">
      <w:pPr>
        <w:numPr>
          <w:ilvl w:val="0"/>
          <w:numId w:val="2"/>
        </w:numPr>
        <w:spacing w:after="0" w:lineRule="auto"/>
        <w:ind w:left="720" w:hanging="360"/>
        <w:jc w:val="both"/>
        <w:rPr>
          <w:color w:val="1f3864"/>
        </w:rPr>
      </w:pPr>
      <w:r w:rsidDel="00000000" w:rsidR="00000000" w:rsidRPr="00000000">
        <w:rPr>
          <w:color w:val="1f3864"/>
          <w:rtl w:val="0"/>
        </w:rPr>
        <w:t xml:space="preserve">Consultar itinerario con salida desde otras ciudades.</w:t>
      </w:r>
    </w:p>
    <w:p w:rsidR="00000000" w:rsidDel="00000000" w:rsidP="00000000" w:rsidRDefault="00000000" w:rsidRPr="00000000" w14:paraId="00000054">
      <w:pPr>
        <w:numPr>
          <w:ilvl w:val="0"/>
          <w:numId w:val="2"/>
        </w:numPr>
        <w:spacing w:after="0" w:lineRule="auto"/>
        <w:ind w:left="720" w:hanging="360"/>
        <w:jc w:val="both"/>
        <w:rPr>
          <w:color w:val="1f3864"/>
        </w:rPr>
      </w:pPr>
      <w:r w:rsidDel="00000000" w:rsidR="00000000" w:rsidRPr="00000000">
        <w:rPr>
          <w:color w:val="1f3864"/>
          <w:rtl w:val="0"/>
        </w:rPr>
        <w:t xml:space="preserve">Acompañante sacerdote, para actividades religiosas y eucaristías. (Consultar suplemento)</w:t>
      </w:r>
    </w:p>
    <w:p w:rsidR="00000000" w:rsidDel="00000000" w:rsidP="00000000" w:rsidRDefault="00000000" w:rsidRPr="00000000" w14:paraId="00000055">
      <w:pPr>
        <w:numPr>
          <w:ilvl w:val="0"/>
          <w:numId w:val="2"/>
        </w:numPr>
        <w:spacing w:after="0" w:lineRule="auto"/>
        <w:ind w:left="720" w:hanging="360"/>
        <w:jc w:val="both"/>
        <w:rPr>
          <w:color w:val="1f3864"/>
        </w:rPr>
      </w:pPr>
      <w:r w:rsidDel="00000000" w:rsidR="00000000" w:rsidRPr="00000000">
        <w:rPr>
          <w:color w:val="1f3864"/>
          <w:rtl w:val="0"/>
        </w:rPr>
        <w:t xml:space="preserve">Precios sujetos a disponibilidad y salida con un mínimo de 15 peregrinos, la peregrinación se confirmará 40 días antes de su salida. (consultar disponibilidad real).</w:t>
      </w:r>
    </w:p>
    <w:p w:rsidR="00000000" w:rsidDel="00000000" w:rsidP="00000000" w:rsidRDefault="00000000" w:rsidRPr="00000000" w14:paraId="00000056">
      <w:pPr>
        <w:numPr>
          <w:ilvl w:val="0"/>
          <w:numId w:val="2"/>
        </w:numPr>
        <w:spacing w:after="0" w:lineRule="auto"/>
        <w:ind w:left="7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Consulta aquí las condiciones de esta asistencia: </w:t>
      </w:r>
      <w:hyperlink r:id="rId10">
        <w:r w:rsidDel="00000000" w:rsidR="00000000" w:rsidRPr="00000000">
          <w:rPr>
            <w:color w:val="1155cc"/>
            <w:sz w:val="21"/>
            <w:szCs w:val="21"/>
            <w:u w:val="singl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57">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58">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5A">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5B">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5C">
      <w:pPr>
        <w:spacing w:after="0" w:lineRule="auto"/>
        <w:ind w:left="8" w:right="520" w:firstLine="0"/>
        <w:jc w:val="both"/>
        <w:rPr>
          <w:color w:val="1f3864"/>
        </w:rPr>
      </w:pPr>
      <w:r w:rsidDel="00000000" w:rsidR="00000000" w:rsidRPr="00000000">
        <w:rPr>
          <w:b w:val="1"/>
          <w:color w:val="1f3864"/>
          <w:rtl w:val="0"/>
        </w:rPr>
        <w:t xml:space="preserve">A) </w:t>
      </w:r>
      <w:r w:rsidDel="00000000" w:rsidR="00000000" w:rsidRPr="00000000">
        <w:rPr>
          <w:color w:val="1f3864"/>
          <w:rtl w:val="0"/>
        </w:rPr>
        <w:t xml:space="preserve">Cancelaciones producidas entre 20 y 15 días antes de la fecha de inicio del viaje originan 25% del importe del circuito en concepto de gastos por cancelación. </w:t>
      </w:r>
    </w:p>
    <w:p w:rsidR="00000000" w:rsidDel="00000000" w:rsidP="00000000" w:rsidRDefault="00000000" w:rsidRPr="00000000" w14:paraId="0000005D">
      <w:pPr>
        <w:spacing w:after="0" w:lineRule="auto"/>
        <w:ind w:left="8" w:right="520" w:firstLine="0"/>
        <w:jc w:val="both"/>
        <w:rPr>
          <w:b w:val="1"/>
          <w:color w:val="1f3864"/>
        </w:rPr>
      </w:pPr>
      <w:r w:rsidDel="00000000" w:rsidR="00000000" w:rsidRPr="00000000">
        <w:rPr>
          <w:b w:val="1"/>
          <w:color w:val="1f3864"/>
          <w:rtl w:val="0"/>
        </w:rPr>
        <w:t xml:space="preserve">B) </w:t>
      </w:r>
      <w:r w:rsidDel="00000000" w:rsidR="00000000" w:rsidRPr="00000000">
        <w:rPr>
          <w:color w:val="1f3864"/>
          <w:rtl w:val="0"/>
        </w:rPr>
        <w:t xml:space="preserve">Cancelaciones producidas entre 14 y 10 días antes de la fecha de inicio del viaje originan 30% del importe del circuito en concepto de gastos por cancelación.</w:t>
      </w:r>
      <w:r w:rsidDel="00000000" w:rsidR="00000000" w:rsidRPr="00000000">
        <w:rPr>
          <w:b w:val="1"/>
          <w:color w:val="1f3864"/>
          <w:rtl w:val="0"/>
        </w:rPr>
        <w:t xml:space="preserve"> </w:t>
      </w:r>
    </w:p>
    <w:p w:rsidR="00000000" w:rsidDel="00000000" w:rsidP="00000000" w:rsidRDefault="00000000" w:rsidRPr="00000000" w14:paraId="0000005E">
      <w:pPr>
        <w:spacing w:after="0" w:lineRule="auto"/>
        <w:ind w:left="8" w:right="520" w:firstLine="0"/>
        <w:jc w:val="both"/>
        <w:rPr>
          <w:color w:val="1f3864"/>
        </w:rPr>
      </w:pPr>
      <w:r w:rsidDel="00000000" w:rsidR="00000000" w:rsidRPr="00000000">
        <w:rPr>
          <w:b w:val="1"/>
          <w:color w:val="1f3864"/>
          <w:rtl w:val="0"/>
        </w:rPr>
        <w:t xml:space="preserve">C) </w:t>
      </w:r>
      <w:r w:rsidDel="00000000" w:rsidR="00000000" w:rsidRPr="00000000">
        <w:rPr>
          <w:color w:val="1f3864"/>
          <w:rtl w:val="0"/>
        </w:rPr>
        <w:t xml:space="preserve">Cancelaciones producidas a menos de 9 días antes de la fecha de inicio del viaje originan 100% del importe del circuito en concepto de gastos por cancelación.</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0">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1">
      <w:pPr>
        <w:spacing w:after="0" w:lineRule="auto"/>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2">
      <w:pPr>
        <w:numPr>
          <w:ilvl w:val="0"/>
          <w:numId w:val="4"/>
        </w:numPr>
        <w:spacing w:after="0" w:line="240" w:lineRule="auto"/>
        <w:ind w:left="720" w:hanging="360"/>
        <w:rPr>
          <w:color w:val="1f3864"/>
        </w:rPr>
      </w:pPr>
      <w:r w:rsidDel="00000000" w:rsidR="00000000" w:rsidRPr="00000000">
        <w:rPr>
          <w:color w:val="1f3864"/>
          <w:rtl w:val="0"/>
        </w:rPr>
        <w:t xml:space="preserve">Tener un pasaporte válido por lo menos 6 meses después de la fecha de regreso. </w:t>
      </w:r>
    </w:p>
    <w:p w:rsidR="00000000" w:rsidDel="00000000" w:rsidP="00000000" w:rsidRDefault="00000000" w:rsidRPr="00000000" w14:paraId="00000063">
      <w:pPr>
        <w:numPr>
          <w:ilvl w:val="0"/>
          <w:numId w:val="4"/>
        </w:numPr>
        <w:spacing w:after="0" w:line="240" w:lineRule="auto"/>
        <w:ind w:left="720" w:hanging="360"/>
        <w:rPr>
          <w:color w:val="1f3864"/>
        </w:rPr>
      </w:pPr>
      <w:r w:rsidDel="00000000" w:rsidR="00000000" w:rsidRPr="00000000">
        <w:rPr>
          <w:color w:val="1f3864"/>
          <w:rtl w:val="0"/>
        </w:rPr>
        <w:t xml:space="preserve">Llevar suficiente dinero para la estancia. </w:t>
      </w:r>
    </w:p>
    <w:p w:rsidR="00000000" w:rsidDel="00000000" w:rsidP="00000000" w:rsidRDefault="00000000" w:rsidRPr="00000000" w14:paraId="00000064">
      <w:pPr>
        <w:numPr>
          <w:ilvl w:val="0"/>
          <w:numId w:val="4"/>
        </w:numPr>
        <w:spacing w:after="0" w:line="240" w:lineRule="auto"/>
        <w:ind w:left="720" w:hanging="360"/>
        <w:rPr>
          <w:color w:val="1f3864"/>
        </w:rPr>
      </w:pPr>
      <w:r w:rsidDel="00000000" w:rsidR="00000000" w:rsidRPr="00000000">
        <w:rPr>
          <w:color w:val="1f3864"/>
          <w:rtl w:val="0"/>
        </w:rPr>
        <w:t xml:space="preserve">Usar ropa cómoda y zapatos para caminar. </w:t>
      </w:r>
    </w:p>
    <w:p w:rsidR="00000000" w:rsidDel="00000000" w:rsidP="00000000" w:rsidRDefault="00000000" w:rsidRPr="00000000" w14:paraId="00000065">
      <w:pPr>
        <w:numPr>
          <w:ilvl w:val="0"/>
          <w:numId w:val="4"/>
        </w:numPr>
        <w:spacing w:after="0" w:line="240" w:lineRule="auto"/>
        <w:ind w:left="720" w:hanging="360"/>
        <w:rPr>
          <w:color w:val="1f3864"/>
        </w:rPr>
      </w:pPr>
      <w:r w:rsidDel="00000000" w:rsidR="00000000" w:rsidRPr="00000000">
        <w:rPr>
          <w:color w:val="1f3864"/>
          <w:rtl w:val="0"/>
        </w:rPr>
        <w:t xml:space="preserve">Tener precaución ante los hurtos en las zonas turísticas. </w:t>
      </w:r>
    </w:p>
    <w:p w:rsidR="00000000" w:rsidDel="00000000" w:rsidP="00000000" w:rsidRDefault="00000000" w:rsidRPr="00000000" w14:paraId="00000066">
      <w:pPr>
        <w:numPr>
          <w:ilvl w:val="0"/>
          <w:numId w:val="4"/>
        </w:numPr>
        <w:spacing w:after="0" w:line="240" w:lineRule="auto"/>
        <w:ind w:left="720" w:hanging="360"/>
        <w:rPr>
          <w:color w:val="1f3864"/>
        </w:rPr>
      </w:pPr>
      <w:r w:rsidDel="00000000" w:rsidR="00000000" w:rsidRPr="00000000">
        <w:rPr>
          <w:color w:val="1f3864"/>
          <w:rtl w:val="0"/>
        </w:rPr>
        <w:t xml:space="preserve">Evitar abandonar los caminos principales en el campo. </w:t>
      </w:r>
    </w:p>
    <w:p w:rsidR="00000000" w:rsidDel="00000000" w:rsidP="00000000" w:rsidRDefault="00000000" w:rsidRPr="00000000" w14:paraId="00000067">
      <w:pPr>
        <w:numPr>
          <w:ilvl w:val="0"/>
          <w:numId w:val="4"/>
        </w:numPr>
        <w:spacing w:after="0" w:line="240" w:lineRule="auto"/>
        <w:ind w:left="720" w:hanging="360"/>
        <w:rPr>
          <w:color w:val="1f3864"/>
        </w:rPr>
      </w:pPr>
      <w:r w:rsidDel="00000000" w:rsidR="00000000" w:rsidRPr="00000000">
        <w:rPr>
          <w:color w:val="1f3864"/>
          <w:rtl w:val="0"/>
        </w:rPr>
        <w:t xml:space="preserve">Tener a mano el número de teléfono de emergencia consular de la embajada de tu país. </w:t>
      </w:r>
    </w:p>
    <w:p w:rsidR="00000000" w:rsidDel="00000000" w:rsidP="00000000" w:rsidRDefault="00000000" w:rsidRPr="00000000" w14:paraId="00000068">
      <w:pPr>
        <w:spacing w:after="0" w:line="240" w:lineRule="auto"/>
        <w:rPr>
          <w:b w:val="1"/>
          <w:color w:val="1f3864"/>
        </w:rPr>
      </w:pPr>
      <w:r w:rsidDel="00000000" w:rsidR="00000000" w:rsidRPr="00000000">
        <w:rPr>
          <w:rtl w:val="0"/>
        </w:rPr>
      </w:r>
    </w:p>
    <w:p w:rsidR="00000000" w:rsidDel="00000000" w:rsidP="00000000" w:rsidRDefault="00000000" w:rsidRPr="00000000" w14:paraId="00000069">
      <w:pPr>
        <w:spacing w:after="0" w:line="240" w:lineRule="auto"/>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6A">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6B">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6C">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6D">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6E">
      <w:pPr>
        <w:widowControl w:val="0"/>
        <w:spacing w:after="0" w:line="240" w:lineRule="auto"/>
        <w:ind w:right="520"/>
        <w:jc w:val="both"/>
        <w:rPr>
          <w:b w:val="1"/>
          <w:color w:val="1f3864"/>
          <w:sz w:val="21"/>
          <w:szCs w:val="21"/>
        </w:rPr>
      </w:pPr>
      <w:r w:rsidDel="00000000" w:rsidR="00000000" w:rsidRPr="00000000">
        <w:rPr>
          <w:rtl w:val="0"/>
        </w:rPr>
      </w:r>
    </w:p>
    <w:p w:rsidR="00000000" w:rsidDel="00000000" w:rsidP="00000000" w:rsidRDefault="00000000" w:rsidRPr="00000000" w14:paraId="0000006F">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1">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1">
      <w:pPr>
        <w:ind w:right="520"/>
        <w:jc w:val="both"/>
        <w:rPr>
          <w:b w:val="1"/>
          <w:color w:val="00206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-1106562</wp:posOffset>
          </wp:positionH>
          <wp:positionV relativeFrom="paragraph">
            <wp:posOffset>-213733</wp:posOffset>
          </wp:positionV>
          <wp:extent cx="7867373" cy="992559"/>
          <wp:effectExtent b="0" l="0" r="0" t="0"/>
          <wp:wrapNone/>
          <wp:docPr id="2067580559"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7867373" cy="99255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-1194434</wp:posOffset>
          </wp:positionH>
          <wp:positionV relativeFrom="paragraph">
            <wp:posOffset>-347684</wp:posOffset>
          </wp:positionV>
          <wp:extent cx="1836478" cy="1235249"/>
          <wp:effectExtent b="0" l="0" r="0" t="0"/>
          <wp:wrapNone/>
          <wp:docPr id="206758056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6478" cy="123524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-457197</wp:posOffset>
          </wp:positionV>
          <wp:extent cx="8016875" cy="955040"/>
          <wp:effectExtent b="0" l="0" r="0" t="0"/>
          <wp:wrapNone/>
          <wp:docPr id="206758056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-582294</wp:posOffset>
          </wp:positionH>
          <wp:positionV relativeFrom="paragraph">
            <wp:posOffset>2913945</wp:posOffset>
          </wp:positionV>
          <wp:extent cx="381000" cy="2292350"/>
          <wp:effectExtent b="0" l="0" r="0" t="0"/>
          <wp:wrapNone/>
          <wp:docPr id="2067580563"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381000" cy="2292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915603"/>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Hipervnculo">
    <w:name w:val="Hyperlink"/>
    <w:basedOn w:val="Fuentedeprrafopredeter"/>
    <w:uiPriority w:val="99"/>
    <w:semiHidden w:val="1"/>
    <w:unhideWhenUsed w:val="1"/>
    <w:rsid w:val="00915603"/>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aE2ZwhCNTs9WJIWotg3aWYaOw==">CgMxLjAyCWguMzBqMHpsbDgAciExdHNVOE5RNTQxUEVfdUdKek9EcHBtd3Z3M0hETGVyNTM=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2024-07-29T22:39:00Z</dcterms:created>
  <dc:creator>Bea Nuñez Sabido</dc:creator>
</cp:coreProperties>
</file>