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ROMANCE EN EL DESIERTO DE DUBAI</w:t>
      </w:r>
    </w:p>
    <w:p w:rsidR="00000000" w:rsidDel="00000000" w:rsidP="00000000" w:rsidRDefault="00000000" w:rsidRPr="00000000" w14:paraId="00000002">
      <w:pPr>
        <w:jc w:val="center"/>
        <w:rPr>
          <w:rFonts w:ascii="Calibri" w:cs="Calibri" w:eastAsia="Calibri" w:hAnsi="Calibri"/>
          <w:b w:val="1"/>
          <w:color w:val="1f3864"/>
        </w:rPr>
      </w:pPr>
      <w:bookmarkStart w:colFirst="0" w:colLast="0" w:name="_heading=h.gjdgxs" w:id="0"/>
      <w:bookmarkEnd w:id="0"/>
      <w:r w:rsidDel="00000000" w:rsidR="00000000" w:rsidRPr="00000000">
        <w:rPr>
          <w:rFonts w:ascii="Calibri" w:cs="Calibri" w:eastAsia="Calibri" w:hAnsi="Calibri"/>
          <w:b w:val="1"/>
          <w:color w:val="1f3864"/>
          <w:sz w:val="48"/>
          <w:szCs w:val="48"/>
          <w:rtl w:val="0"/>
        </w:rPr>
        <w:t xml:space="preserve">5N/6D</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31 de Octubre del 2025.</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12"/>
          <w:szCs w:val="12"/>
        </w:rPr>
      </w:pPr>
      <w:r w:rsidDel="00000000" w:rsidR="00000000" w:rsidRPr="00000000">
        <w:rPr>
          <w:rtl w:val="0"/>
        </w:rPr>
      </w:r>
    </w:p>
    <w:p w:rsidR="00000000" w:rsidDel="00000000" w:rsidP="00000000" w:rsidRDefault="00000000" w:rsidRPr="00000000" w14:paraId="00000006">
      <w:pPr>
        <w:spacing w:line="276" w:lineRule="auto"/>
        <w:jc w:val="both"/>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7">
      <w:pPr>
        <w:spacing w:line="276" w:lineRule="auto"/>
        <w:jc w:val="center"/>
        <w:rPr>
          <w:rFonts w:ascii="Quattrocento Sans" w:cs="Quattrocento Sans" w:eastAsia="Quattrocento Sans" w:hAnsi="Quattrocento Sans"/>
          <w:color w:val="538135"/>
          <w:sz w:val="18"/>
          <w:szCs w:val="18"/>
        </w:rPr>
      </w:pPr>
      <w:r w:rsidDel="00000000" w:rsidR="00000000" w:rsidRPr="00000000">
        <w:rPr/>
        <w:drawing>
          <wp:inline distB="0" distT="0" distL="0" distR="0">
            <wp:extent cx="1806461" cy="1239814"/>
            <wp:effectExtent b="0" l="0" r="0" t="0"/>
            <wp:docPr descr="Día de la Bandera de Emiratos Árabes Unidos - Ámbito Internacional" id="2037140050" name="image3.jpg"/>
            <a:graphic>
              <a:graphicData uri="http://schemas.openxmlformats.org/drawingml/2006/picture">
                <pic:pic>
                  <pic:nvPicPr>
                    <pic:cNvPr descr="Día de la Bandera de Emiratos Árabes Unidos - Ámbito Internacional" id="0" name="image3.jpg"/>
                    <pic:cNvPicPr preferRelativeResize="0"/>
                  </pic:nvPicPr>
                  <pic:blipFill>
                    <a:blip r:embed="rId7"/>
                    <a:srcRect b="0" l="0" r="0" t="0"/>
                    <a:stretch>
                      <a:fillRect/>
                    </a:stretch>
                  </pic:blipFill>
                  <pic:spPr>
                    <a:xfrm>
                      <a:off x="0" y="0"/>
                      <a:ext cx="1806461" cy="1239814"/>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899796" cy="1266464"/>
            <wp:effectExtent b="0" l="0" r="0" t="0"/>
            <wp:docPr descr="La renovación del voto de Karina y Ahmed en el desierto de Dubai - Aonde  Casar Destination Wedding" id="2037140052" name="image7.jpg"/>
            <a:graphic>
              <a:graphicData uri="http://schemas.openxmlformats.org/drawingml/2006/picture">
                <pic:pic>
                  <pic:nvPicPr>
                    <pic:cNvPr descr="La renovación del voto de Karina y Ahmed en el desierto de Dubai - Aonde  Casar Destination Wedding" id="0" name="image7.jpg"/>
                    <pic:cNvPicPr preferRelativeResize="0"/>
                  </pic:nvPicPr>
                  <pic:blipFill>
                    <a:blip r:embed="rId8"/>
                    <a:srcRect b="0" l="0" r="0" t="0"/>
                    <a:stretch>
                      <a:fillRect/>
                    </a:stretch>
                  </pic:blipFill>
                  <pic:spPr>
                    <a:xfrm>
                      <a:off x="0" y="0"/>
                      <a:ext cx="1899796" cy="1266464"/>
                    </a:xfrm>
                    <a:prstGeom prst="rect"/>
                    <a:ln/>
                  </pic:spPr>
                </pic:pic>
              </a:graphicData>
            </a:graphic>
          </wp:inline>
        </w:drawing>
      </w:r>
      <w:r w:rsidDel="00000000" w:rsidR="00000000" w:rsidRPr="00000000">
        <w:rPr>
          <w:rFonts w:ascii="Quattrocento Sans" w:cs="Quattrocento Sans" w:eastAsia="Quattrocento Sans" w:hAnsi="Quattrocento Sans"/>
          <w:color w:val="538135"/>
          <w:sz w:val="18"/>
          <w:szCs w:val="18"/>
          <w:rtl w:val="0"/>
        </w:rPr>
        <w:t xml:space="preserve">  </w:t>
      </w:r>
      <w:r w:rsidDel="00000000" w:rsidR="00000000" w:rsidRPr="00000000">
        <w:rPr/>
        <w:drawing>
          <wp:inline distB="0" distT="0" distL="0" distR="0">
            <wp:extent cx="1896100" cy="1264000"/>
            <wp:effectExtent b="0" l="0" r="0" t="0"/>
            <wp:docPr descr="Emiratos Árabes Unidos: 10 datos sorprendentes | Aprende idiomas en el  extranjero - Be Easy" id="2037140051" name="image4.jpg"/>
            <a:graphic>
              <a:graphicData uri="http://schemas.openxmlformats.org/drawingml/2006/picture">
                <pic:pic>
                  <pic:nvPicPr>
                    <pic:cNvPr descr="Emiratos Árabes Unidos: 10 datos sorprendentes | Aprende idiomas en el  extranjero - Be Easy" id="0" name="image4.jpg"/>
                    <pic:cNvPicPr preferRelativeResize="0"/>
                  </pic:nvPicPr>
                  <pic:blipFill>
                    <a:blip r:embed="rId9"/>
                    <a:srcRect b="0" l="0" r="0" t="0"/>
                    <a:stretch>
                      <a:fillRect/>
                    </a:stretch>
                  </pic:blipFill>
                  <pic:spPr>
                    <a:xfrm>
                      <a:off x="0" y="0"/>
                      <a:ext cx="1896100" cy="12640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 Traslado de llegada en privado y en español + ramo de flores y botella de champagne</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Dubái, serán recibidos por nuestro representante, que les dará la bienvenida con un arreglo de flores y una botella de champagne y los llevarán al hotel en un vehículo privado. Check-In y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 Desert Safari en regular con cena BBQ</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-657224</wp:posOffset>
                </wp:positionH>
                <wp:positionV relativeFrom="paragraph">
                  <wp:posOffset>85725</wp:posOffset>
                </wp:positionV>
                <wp:extent cx="552450" cy="2593706"/>
                <wp:effectExtent b="0" l="0" r="0" t="0"/>
                <wp:wrapNone/>
                <wp:docPr id="2037140048" name=""/>
                <a:graphic>
                  <a:graphicData uri="http://schemas.microsoft.com/office/word/2010/wordprocessingShape">
                    <wps:wsp>
                      <wps:cNvSpPr/>
                      <wps:cNvPr id="2" name="Shape 2"/>
                      <wps:spPr>
                        <a:xfrm rot="-5400000">
                          <a:off x="4036313" y="3508538"/>
                          <a:ext cx="2619375" cy="5429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NTS-AV-FT-14 </w:t>
                            </w:r>
                            <w:r w:rsidDel="00000000" w:rsidR="00000000" w:rsidRPr="00000000">
                              <w:rPr>
                                <w:rFonts w:ascii="Carlito" w:cs="Carlito" w:eastAsia="Carlito" w:hAnsi="Carlito"/>
                                <w:b w:val="0"/>
                                <w:i w:val="1"/>
                                <w:smallCaps w:val="0"/>
                                <w:strike w:val="0"/>
                                <w:color w:val="bfbfbf"/>
                                <w:sz w:val="16"/>
                                <w:vertAlign w:val="baseline"/>
                              </w:rPr>
                              <w:t xml:space="preserve"> VR. 1 – 06/12/2024</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EM RDD56 Fecha de act 12-11-2024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-657224</wp:posOffset>
                </wp:positionH>
                <wp:positionV relativeFrom="paragraph">
                  <wp:posOffset>85725</wp:posOffset>
                </wp:positionV>
                <wp:extent cx="552450" cy="2593706"/>
                <wp:effectExtent b="0" l="0" r="0" t="0"/>
                <wp:wrapNone/>
                <wp:docPr id="2037140048"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552450" cy="2593706"/>
                        </a:xfrm>
                        <a:prstGeom prst="rect"/>
                        <a:ln/>
                      </pic:spPr>
                    </pic:pic>
                  </a:graphicData>
                </a:graphic>
              </wp:anchor>
            </w:drawing>
          </mc:Fallback>
        </mc:AlternateConten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 Tour Dubái (Moderno y Antiguo) de medio día</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recogida</w:t>
      </w:r>
      <w:r w:rsidDel="00000000" w:rsidR="00000000" w:rsidRPr="00000000">
        <w:rPr>
          <w:rFonts w:ascii="Calibri" w:cs="Calibri" w:eastAsia="Calibri" w:hAnsi="Calibri"/>
          <w:color w:val="1f3864"/>
          <w:rtl w:val="0"/>
        </w:rPr>
        <w:t xml:space="preserve">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Tour Abu Dhabi de día completo + Almuerzo</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Por la mañana, fuimos al hotel para dirigirnos a la ciudad de Abu Dhabi, capital de los Emiratos Árabes y el más grande de los siete emiratos. Una vez que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Opcionalmente por un valor adicional, podremos entrar al parque temático Ferrari World, para conocer sus espectaculares instalaciones. Al finalizar el tour nos dirigiremos al hotel en el desierto, para realizar el Check in. Noche en el desierto. Almuerzo Incluido</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Traslado en privado al hotel en Dubái</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12.00 Hrs – Check-Out del hotel en el desierto y traslado al hotel en Dubái para hacer el Check In. Tarde libre para actividades opcionales.</w:t>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 Traslado de salida en privado</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r w:rsidDel="00000000" w:rsidR="00000000" w:rsidRPr="00000000">
        <w:rPr>
          <w:rFonts w:ascii="Calibri" w:cs="Calibri" w:eastAsia="Calibri" w:hAnsi="Calibri"/>
          <w:b w:val="1"/>
          <w:color w:val="1f3864"/>
          <w:rtl w:val="0"/>
        </w:rPr>
        <w:t xml:space="preserve"> </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20">
      <w:pPr>
        <w:jc w:val="both"/>
        <w:rPr>
          <w:rFonts w:ascii="Calibri" w:cs="Calibri" w:eastAsia="Calibri" w:hAnsi="Calibri"/>
          <w:b w:val="1"/>
          <w:color w:val="1f3864"/>
        </w:rPr>
      </w:pPr>
      <w:r w:rsidDel="00000000" w:rsidR="00000000" w:rsidRPr="00000000">
        <w:rPr>
          <w:rtl w:val="0"/>
        </w:rPr>
      </w:r>
    </w:p>
    <w:tbl>
      <w:tblPr>
        <w:tblStyle w:val="Table1"/>
        <w:tblW w:w="9220.0" w:type="dxa"/>
        <w:jc w:val="center"/>
        <w:tblLayout w:type="fixed"/>
        <w:tblLook w:val="0400"/>
      </w:tblPr>
      <w:tblGrid>
        <w:gridCol w:w="4900"/>
        <w:gridCol w:w="1440"/>
        <w:gridCol w:w="1440"/>
        <w:gridCol w:w="1440"/>
        <w:tblGridChange w:id="0">
          <w:tblGrid>
            <w:gridCol w:w="4900"/>
            <w:gridCol w:w="1440"/>
            <w:gridCol w:w="1440"/>
            <w:gridCol w:w="1440"/>
          </w:tblGrid>
        </w:tblGridChange>
      </w:tblGrid>
      <w:tr>
        <w:trPr>
          <w:cantSplit w:val="0"/>
          <w:trHeight w:val="650" w:hRule="atLeast"/>
          <w:tblHeader w:val="0"/>
        </w:trPr>
        <w:tc>
          <w:tcPr>
            <w:gridSpan w:val="4"/>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2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BAJA - PRECIO POR PAX EN USD</w:t>
              <w:br w:type="textWrapping"/>
              <w:t xml:space="preserve">DEL 01 MAYO AL 30 DE SEPTIEMBRE 2025</w:t>
            </w:r>
          </w:p>
        </w:tc>
      </w:tr>
      <w:tr>
        <w:trPr>
          <w:cantSplit w:val="0"/>
          <w:trHeight w:val="34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2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2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 (4 a 11 años)</w:t>
            </w:r>
          </w:p>
        </w:tc>
      </w:tr>
      <w:tr>
        <w:trPr>
          <w:cantSplit w:val="0"/>
          <w:trHeight w:val="65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Andaz Capital Gate by Hyatt 5* +Anantara Desert Islands Resort 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1.184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1.702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600 USD</w:t>
            </w:r>
          </w:p>
        </w:tc>
      </w:tr>
      <w:tr>
        <w:trPr>
          <w:cantSplit w:val="0"/>
          <w:trHeight w:val="6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Islands Resort 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1.790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622 USD</w:t>
            </w:r>
          </w:p>
        </w:tc>
      </w:tr>
      <w:tr>
        <w:trPr>
          <w:cantSplit w:val="0"/>
          <w:trHeight w:val="65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Islands Resort 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1.414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2.172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714 USD</w:t>
            </w:r>
          </w:p>
        </w:tc>
      </w:tr>
    </w:tbl>
    <w:p w:rsidR="00000000" w:rsidDel="00000000" w:rsidP="00000000" w:rsidRDefault="00000000" w:rsidRPr="00000000" w14:paraId="00000035">
      <w:pPr>
        <w:rPr/>
      </w:pPr>
      <w:r w:rsidDel="00000000" w:rsidR="00000000" w:rsidRPr="00000000">
        <w:rPr>
          <w:rtl w:val="0"/>
        </w:rPr>
      </w:r>
    </w:p>
    <w:tbl>
      <w:tblPr>
        <w:tblStyle w:val="Table2"/>
        <w:tblW w:w="9220.0" w:type="dxa"/>
        <w:jc w:val="center"/>
        <w:tblLayout w:type="fixed"/>
        <w:tblLook w:val="0400"/>
      </w:tblPr>
      <w:tblGrid>
        <w:gridCol w:w="2800"/>
        <w:gridCol w:w="2100"/>
        <w:gridCol w:w="1440"/>
        <w:gridCol w:w="1440"/>
        <w:gridCol w:w="1440"/>
        <w:tblGridChange w:id="0">
          <w:tblGrid>
            <w:gridCol w:w="2800"/>
            <w:gridCol w:w="2100"/>
            <w:gridCol w:w="1440"/>
            <w:gridCol w:w="1440"/>
            <w:gridCol w:w="1440"/>
          </w:tblGrid>
        </w:tblGridChange>
      </w:tblGrid>
      <w:tr>
        <w:trPr>
          <w:cantSplit w:val="0"/>
          <w:trHeight w:val="110"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6">
            <w:pPr>
              <w:widowControl w:val="1"/>
              <w:jc w:val="left"/>
              <w:rPr>
                <w:rFonts w:ascii="Calibri" w:cs="Calibri" w:eastAsia="Calibri" w:hAnsi="Calibri"/>
                <w:color w:val="002060"/>
              </w:rPr>
            </w:pPr>
            <w:r w:rsidDel="00000000" w:rsidR="00000000" w:rsidRPr="00000000">
              <w:rPr>
                <w:rtl w:val="0"/>
              </w:rPr>
            </w:r>
          </w:p>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8">
            <w:pPr>
              <w:widowControl w:val="1"/>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tl w:val="0"/>
              </w:rPr>
            </w:r>
          </w:p>
        </w:tc>
      </w:tr>
      <w:tr>
        <w:trPr>
          <w:cantSplit w:val="0"/>
          <w:trHeight w:val="650" w:hRule="atLeast"/>
          <w:tblHeader w:val="0"/>
        </w:trPr>
        <w:tc>
          <w:tcPr>
            <w:gridSpan w:val="5"/>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ALTA - PRECIO POR PAX EN USD</w:t>
              <w:br w:type="textWrapping"/>
              <w:t xml:space="preserve">DEL 01 NOVIEMBRE DEL 2024 AL 30 ABRIL DEL 2025 Y DEL 01 AL 31 OCTUBRE DEL 2025</w:t>
            </w:r>
          </w:p>
        </w:tc>
      </w:tr>
      <w:tr>
        <w:trPr>
          <w:cantSplit w:val="0"/>
          <w:trHeight w:val="330" w:hRule="atLeast"/>
          <w:tblHeader w:val="0"/>
        </w:trPr>
        <w:tc>
          <w:tcPr>
            <w:gridSpan w:val="2"/>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 (4 a 11 años)</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 Andaz Capital Gate by Hyatt 5* +Anantara Desert Islands Resort 5*</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1.446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1.922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730 USD</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Islands Resort 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1.596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2.228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806 USD</w:t>
            </w:r>
          </w:p>
        </w:tc>
      </w:tr>
      <w:tr>
        <w:trPr>
          <w:cantSplit w:val="0"/>
          <w:trHeight w:val="650"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Dubái 5* Superior + Conrad Etihad Towers 5* + Anantara Desert Islands Resort 5*</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1.822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2.678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918 USD</w:t>
            </w:r>
          </w:p>
        </w:tc>
      </w:tr>
    </w:tbl>
    <w:p w:rsidR="00000000" w:rsidDel="00000000" w:rsidP="00000000" w:rsidRDefault="00000000" w:rsidRPr="00000000" w14:paraId="0000005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6">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w:t>
      </w:r>
    </w:p>
    <w:p w:rsidR="00000000" w:rsidDel="00000000" w:rsidP="00000000" w:rsidRDefault="00000000" w:rsidRPr="00000000" w14:paraId="00000057">
      <w:pPr>
        <w:jc w:val="center"/>
        <w:rPr>
          <w:rFonts w:ascii="Calibri" w:cs="Calibri" w:eastAsia="Calibri" w:hAnsi="Calibri"/>
          <w:b w:val="1"/>
          <w:color w:val="1f3864"/>
        </w:rPr>
      </w:pPr>
      <w:r w:rsidDel="00000000" w:rsidR="00000000" w:rsidRPr="00000000">
        <w:rPr>
          <w:rtl w:val="0"/>
        </w:rPr>
      </w:r>
    </w:p>
    <w:tbl>
      <w:tblPr>
        <w:tblStyle w:val="Table3"/>
        <w:tblW w:w="7295.0" w:type="dxa"/>
        <w:jc w:val="center"/>
        <w:tblLayout w:type="fixed"/>
        <w:tblLook w:val="0400"/>
      </w:tblPr>
      <w:tblGrid>
        <w:gridCol w:w="4695"/>
        <w:gridCol w:w="2600"/>
        <w:tblGridChange w:id="0">
          <w:tblGrid>
            <w:gridCol w:w="4695"/>
            <w:gridCol w:w="2600"/>
          </w:tblGrid>
        </w:tblGridChange>
      </w:tblGrid>
      <w:tr>
        <w:trPr>
          <w:cantSplit w:val="0"/>
          <w:trHeight w:val="30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5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OPCIONALES (MIN 2 PAX)</w:t>
            </w:r>
          </w:p>
        </w:tc>
        <w:tc>
          <w:tcPr>
            <w:tcBorders>
              <w:top w:color="000000" w:space="0" w:sz="8" w:val="single"/>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5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VALOR POR PASAJERO</w:t>
            </w:r>
          </w:p>
        </w:tc>
      </w:tr>
      <w:tr>
        <w:trPr>
          <w:cantSplit w:val="0"/>
          <w:trHeight w:val="504"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Subida al Burj Khalifa piso 124</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68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en Regular y español</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Visita Parque IMG traslados incluidos</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188 USD</w:t>
            </w:r>
          </w:p>
        </w:tc>
      </w:tr>
      <w:tr>
        <w:trPr>
          <w:cantSplit w:val="0"/>
          <w:trHeight w:val="55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Visita Parque Aquadventure Hotel Atlantis con</w:t>
              <w:br w:type="textWrapping"/>
              <w:t xml:space="preserve">traslados incluidos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208 USD</w:t>
            </w:r>
          </w:p>
        </w:tc>
      </w:tr>
    </w:tbl>
    <w:p w:rsidR="00000000" w:rsidDel="00000000" w:rsidP="00000000" w:rsidRDefault="00000000" w:rsidRPr="00000000" w14:paraId="00000062">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64">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4 Noches en Dubái +1 Noche en el Desierto con desayunos</w:t>
      </w:r>
    </w:p>
    <w:p w:rsidR="00000000" w:rsidDel="00000000" w:rsidP="00000000" w:rsidRDefault="00000000" w:rsidRPr="00000000" w14:paraId="0000006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de llegada y salida en privado</w:t>
      </w:r>
    </w:p>
    <w:p w:rsidR="00000000" w:rsidDel="00000000" w:rsidP="00000000" w:rsidRDefault="00000000" w:rsidRPr="00000000" w14:paraId="00000066">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Desert Safari en Regular con cena BBQ</w:t>
      </w:r>
    </w:p>
    <w:p w:rsidR="00000000" w:rsidDel="00000000" w:rsidP="00000000" w:rsidRDefault="00000000" w:rsidRPr="00000000" w14:paraId="00000067">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Dubái medio día en regular y español</w:t>
      </w:r>
    </w:p>
    <w:p w:rsidR="00000000" w:rsidDel="00000000" w:rsidP="00000000" w:rsidRDefault="00000000" w:rsidRPr="00000000" w14:paraId="0000006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Abu Dhabi día completo en regular y español</w:t>
      </w:r>
    </w:p>
    <w:p w:rsidR="00000000" w:rsidDel="00000000" w:rsidP="00000000" w:rsidRDefault="00000000" w:rsidRPr="00000000" w14:paraId="0000006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Almuerzo durante el tour de Abu Dhabi</w:t>
      </w:r>
    </w:p>
    <w:p w:rsidR="00000000" w:rsidDel="00000000" w:rsidP="00000000" w:rsidRDefault="00000000" w:rsidRPr="00000000" w14:paraId="0000006A">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 Hotel Desierto al Hotel en Dubái en privado e inglés</w:t>
      </w:r>
    </w:p>
    <w:p w:rsidR="00000000" w:rsidDel="00000000" w:rsidP="00000000" w:rsidRDefault="00000000" w:rsidRPr="00000000" w14:paraId="0000006B">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(Cobertura máxima USD 60.000).</w:t>
      </w:r>
    </w:p>
    <w:p w:rsidR="00000000" w:rsidDel="00000000" w:rsidP="00000000" w:rsidRDefault="00000000" w:rsidRPr="00000000" w14:paraId="0000006C">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D">
      <w:pPr>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6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Vuelos internacionales (Consulta nuestras tarifas especiales)</w:t>
      </w:r>
    </w:p>
    <w:p w:rsidR="00000000" w:rsidDel="00000000" w:rsidP="00000000" w:rsidRDefault="00000000" w:rsidRPr="00000000" w14:paraId="0000007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Propinas, Visado de Emiratos Árabes, Excursiones opcionales.</w:t>
      </w:r>
    </w:p>
    <w:p w:rsidR="00000000" w:rsidDel="00000000" w:rsidP="00000000" w:rsidRDefault="00000000" w:rsidRPr="00000000" w14:paraId="0000007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Alimentos y bebidas no especificados</w:t>
      </w:r>
    </w:p>
    <w:p w:rsidR="00000000" w:rsidDel="00000000" w:rsidP="00000000" w:rsidRDefault="00000000" w:rsidRPr="00000000" w14:paraId="0000007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 Tourism Dírham Fee (Usd 4.5 Hoteles 4*) – (Usd 5.5 Hoteles 5*</w:t>
      </w:r>
      <w:r w:rsidDel="00000000" w:rsidR="00000000" w:rsidRPr="00000000">
        <w:rPr>
          <w:rFonts w:ascii="Calibri" w:cs="Calibri" w:eastAsia="Calibri" w:hAnsi="Calibri"/>
          <w:color w:val="1f3864"/>
          <w:rtl w:val="0"/>
        </w:rPr>
        <w:t xml:space="preserve">por</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noche por habitación, el cual es de pago directo por el cliente, al momento del check-in. </w:t>
      </w:r>
    </w:p>
    <w:p w:rsidR="00000000" w:rsidDel="00000000" w:rsidP="00000000" w:rsidRDefault="00000000" w:rsidRPr="00000000" w14:paraId="0000007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Ningún otro servicio especificado como incluido</w:t>
      </w:r>
    </w:p>
    <w:p w:rsidR="00000000" w:rsidDel="00000000" w:rsidP="00000000" w:rsidRDefault="00000000" w:rsidRPr="00000000" w14:paraId="0000007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color w:val="1f3864"/>
          <w:u w:val="none"/>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77">
      <w:pPr>
        <w:jc w:val="both"/>
        <w:rPr>
          <w:rFonts w:ascii="Calibri" w:cs="Calibri" w:eastAsia="Calibri" w:hAnsi="Calibri"/>
          <w:b w:val="1"/>
          <w:color w:val="1f3864"/>
          <w:highlight w:val="yellow"/>
        </w:rPr>
      </w:pPr>
      <w:r w:rsidDel="00000000" w:rsidR="00000000" w:rsidRPr="00000000">
        <w:rPr>
          <w:rtl w:val="0"/>
        </w:rPr>
      </w:r>
    </w:p>
    <w:p w:rsidR="00000000" w:rsidDel="00000000" w:rsidP="00000000" w:rsidRDefault="00000000" w:rsidRPr="00000000" w14:paraId="00000078">
      <w:pPr>
        <w:widowControl w:val="1"/>
        <w:numPr>
          <w:ilvl w:val="0"/>
          <w:numId w:val="2"/>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79">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 debido a que es Tem. Alta.</w:t>
      </w:r>
    </w:p>
    <w:p w:rsidR="00000000" w:rsidDel="00000000" w:rsidP="00000000" w:rsidRDefault="00000000" w:rsidRPr="00000000" w14:paraId="0000007A">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7B">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7C">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7D">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7E">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7F">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80">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81">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Todas las tarifas son cotizadas en categoría de habitación estándar</w:t>
      </w:r>
    </w:p>
    <w:p w:rsidR="00000000" w:rsidDel="00000000" w:rsidP="00000000" w:rsidRDefault="00000000" w:rsidRPr="00000000" w14:paraId="00000082">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83">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84">
      <w:pPr>
        <w:widowControl w:val="1"/>
        <w:numPr>
          <w:ilvl w:val="0"/>
          <w:numId w:val="2"/>
        </w:numPr>
        <w:tabs>
          <w:tab w:val="left" w:leader="none" w:pos="160"/>
        </w:tabs>
        <w:ind w:left="168" w:hanging="152"/>
        <w:jc w:val="both"/>
        <w:rPr>
          <w:rFonts w:ascii="Calibri" w:cs="Calibri" w:eastAsia="Calibri" w:hAnsi="Calibri"/>
          <w:color w:val="1f3864"/>
          <w:highlight w:val="yellow"/>
        </w:rPr>
      </w:pPr>
      <w:bookmarkStart w:colFirst="0" w:colLast="0" w:name="_heading=h.1fob9te" w:id="2"/>
      <w:bookmarkEnd w:id="2"/>
      <w:r w:rsidDel="00000000" w:rsidR="00000000" w:rsidRPr="00000000">
        <w:rPr>
          <w:rFonts w:ascii="Calibri" w:cs="Calibri" w:eastAsia="Calibri" w:hAnsi="Calibri"/>
          <w:color w:val="1f3864"/>
          <w:highlight w:val="yellow"/>
          <w:rtl w:val="0"/>
        </w:rPr>
        <w:t xml:space="preserve">Las tarifas </w:t>
      </w:r>
      <w:r w:rsidDel="00000000" w:rsidR="00000000" w:rsidRPr="00000000">
        <w:rPr>
          <w:rFonts w:ascii="Calibri" w:cs="Calibri" w:eastAsia="Calibri" w:hAnsi="Calibri"/>
          <w:b w:val="1"/>
          <w:color w:val="1f3864"/>
          <w:highlight w:val="yellow"/>
          <w:rtl w:val="0"/>
        </w:rPr>
        <w:t xml:space="preserve">NO</w:t>
      </w:r>
      <w:r w:rsidDel="00000000" w:rsidR="00000000" w:rsidRPr="00000000">
        <w:rPr>
          <w:rFonts w:ascii="Calibri" w:cs="Calibri" w:eastAsia="Calibri" w:hAnsi="Calibri"/>
          <w:color w:val="1f3864"/>
          <w:highlight w:val="yellow"/>
          <w:rtl w:val="0"/>
        </w:rPr>
        <w:t xml:space="preserve"> aplican para las siguientes fechas (26 Dic 2024 al 02 Ene 25 // 26 al 30 Ene 2025 // 16 al 21 Feb 2025)</w:t>
      </w:r>
    </w:p>
    <w:p w:rsidR="00000000" w:rsidDel="00000000" w:rsidP="00000000" w:rsidRDefault="00000000" w:rsidRPr="00000000" w14:paraId="00000085">
      <w:pPr>
        <w:widowControl w:val="1"/>
        <w:numPr>
          <w:ilvl w:val="0"/>
          <w:numId w:val="2"/>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 </w:t>
      </w:r>
      <w:hyperlink r:id="rId11">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86">
      <w:pPr>
        <w:widowControl w:val="1"/>
        <w:tabs>
          <w:tab w:val="left" w:leader="none" w:pos="160"/>
        </w:tabs>
        <w:ind w:left="168"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7">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88">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89">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8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8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ind w:right="520"/>
        <w:jc w:val="both"/>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D">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8E">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8F">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90">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91">
      <w:pPr>
        <w:numPr>
          <w:ilvl w:val="0"/>
          <w:numId w:val="1"/>
        </w:numP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2">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92">
      <w:pPr>
        <w:spacing w:before="22" w:lineRule="auto"/>
        <w:ind w:left="720" w:firstLine="0"/>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3">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94">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95">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96">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97">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98">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3">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9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9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9B">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p w:rsidR="00000000" w:rsidDel="00000000" w:rsidP="00000000" w:rsidRDefault="00000000" w:rsidRPr="00000000" w14:paraId="0000009C">
      <w:pPr>
        <w:widowControl w:val="1"/>
        <w:spacing w:after="160" w:line="259" w:lineRule="auto"/>
        <w:jc w:val="both"/>
        <w:rPr>
          <w:sz w:val="20"/>
          <w:szCs w:val="20"/>
        </w:rPr>
      </w:pPr>
      <w:r w:rsidDel="00000000" w:rsidR="00000000" w:rsidRPr="00000000">
        <w:rPr>
          <w:sz w:val="20"/>
          <w:szCs w:val="20"/>
          <w:rtl w:val="0"/>
        </w:rPr>
        <w:t xml:space="preserve"> </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-923924</wp:posOffset>
          </wp:positionH>
          <wp:positionV relativeFrom="paragraph">
            <wp:posOffset>742950</wp:posOffset>
          </wp:positionV>
          <wp:extent cx="7810500" cy="999525"/>
          <wp:effectExtent b="0" l="0" r="0" t="0"/>
          <wp:wrapNone/>
          <wp:docPr id="203714005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-257807</wp:posOffset>
          </wp:positionH>
          <wp:positionV relativeFrom="paragraph">
            <wp:posOffset>598169</wp:posOffset>
          </wp:positionV>
          <wp:extent cx="1411646" cy="1411646"/>
          <wp:effectExtent b="171665" l="171665" r="171665" t="171665"/>
          <wp:wrapNone/>
          <wp:docPr id="2037140049" name="image2.png"/>
          <a:graphic>
            <a:graphicData uri="http://schemas.openxmlformats.org/drawingml/2006/picture">
              <pic:pic>
                <pic:nvPicPr>
                  <pic:cNvPr id="0" name="image2.png"/>
                  <pic:cNvPicPr preferRelativeResize="0"/>
                </pic:nvPicPr>
                <pic:blipFill>
                  <a:blip r:embed="rId1">
                    <a:alphaModFix amt="40000"/>
                  </a:blip>
                  <a:srcRect b="0" l="0" r="0" t="0"/>
                  <a:stretch>
                    <a:fillRect/>
                  </a:stretch>
                </pic:blipFill>
                <pic:spPr>
                  <a:xfrm rot="20608070">
                    <a:off x="0" y="0"/>
                    <a:ext cx="1411646" cy="141164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-1028699</wp:posOffset>
          </wp:positionH>
          <wp:positionV relativeFrom="paragraph">
            <wp:posOffset>-450214</wp:posOffset>
          </wp:positionV>
          <wp:extent cx="8016875" cy="955040"/>
          <wp:effectExtent b="0" l="0" r="0" t="0"/>
          <wp:wrapSquare wrapText="bothSides" distB="0" distT="0" distL="114300" distR="114300"/>
          <wp:docPr id="2037140054"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character" w:styleId="Mencinsinresolver">
    <w:name w:val="Unresolved Mention"/>
    <w:basedOn w:val="Fuentedeprrafopredeter"/>
    <w:uiPriority w:val="99"/>
    <w:semiHidden w:val="1"/>
    <w:unhideWhenUsed w:val="1"/>
    <w:rsid w:val="00594865"/>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1.png"/><Relationship Id="rId13" Type="http://schemas.openxmlformats.org/officeDocument/2006/relationships/hyperlink" Target="https://apply.joinsherpa.com/travel-restrictions/AE-DU?affiliateId=sherpa&amp;language=es-XL&amp;originCountry=COL" TargetMode="External"/><Relationship Id="rId12" Type="http://schemas.openxmlformats.org/officeDocument/2006/relationships/hyperlink" Target="https://www.exteriores.gob.es/es/ServiciosAlCiudadano/Paginas/Detalle-recomendaciones-de-viaje.aspx?trc=Emiratos+%C3%81rabes+Unid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3.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haPcoOD6q3T9E0CS6/dJsEGkAg==">CgMxLjAyCGguZ2pkZ3hzMgloLjMwajB6bGwyCWguMWZvYjl0ZTgAciExVGFxX0JnYTdHNnloLWZSZDY0c0NiVHFhdFVyUXdTUWc=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