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alibri" w:cs="Calibri" w:eastAsia="Calibri" w:hAnsi="Calibri"/>
          <w:b w:val="1"/>
          <w:bCs w:val="1"/>
          <w:color w:val="1f3864"/>
          <w:sz w:val="48"/>
          <w:szCs w:val="48"/>
        </w:rPr>
      </w:pPr>
      <w:r w:rsidDel="00000000" w:rsidR="00000000" w:rsidRPr="00000000">
        <w:rPr>
          <w:rFonts w:ascii="Calibri" w:cs="Calibri" w:eastAsia="Calibri" w:hAnsi="Calibri"/>
          <w:b w:val="1"/>
          <w:bCs w:val="1"/>
          <w:color w:val="1f3864"/>
          <w:sz w:val="48"/>
          <w:szCs w:val="48"/>
          <w:rtl w:val="0"/>
        </w:rPr>
        <w:t xml:space="preserve">RITMOS DE SEMANA SANTA</w:t>
      </w:r>
    </w:p>
    <w:p w:rsidR="00000000" w:rsidDel="00000000" w:rsidP="00000000" w:rsidRDefault="00000000" w:rsidRPr="00000000" w14:paraId="00000002">
      <w:pPr>
        <w:jc w:val="center"/>
        <w:rPr>
          <w:rFonts w:ascii="Calibri" w:cs="Calibri" w:eastAsia="Calibri" w:hAnsi="Calibri"/>
          <w:b w:val="1"/>
          <w:bCs w:val="1"/>
          <w:color w:val="1f3864"/>
          <w:sz w:val="48"/>
          <w:szCs w:val="48"/>
        </w:rPr>
      </w:pPr>
      <w:r w:rsidDel="00000000" w:rsidR="00000000" w:rsidRPr="00000000">
        <w:rPr>
          <w:rFonts w:ascii="Calibri" w:cs="Calibri" w:eastAsia="Calibri" w:hAnsi="Calibri"/>
          <w:b w:val="1"/>
          <w:bCs w:val="1"/>
          <w:color w:val="1f3864"/>
          <w:sz w:val="48"/>
          <w:szCs w:val="48"/>
          <w:rtl w:val="0"/>
        </w:rPr>
        <w:t xml:space="preserve">4N/5D</w:t>
      </w:r>
    </w:p>
    <w:p w:rsidR="00000000" w:rsidDel="00000000" w:rsidP="00000000" w:rsidRDefault="00000000" w:rsidRPr="00000000" w14:paraId="00000003">
      <w:pPr>
        <w:pBdr>
          <w:top w:space="0" w:sz="0" w:val="nil"/>
          <w:left w:space="0" w:sz="0" w:val="nil"/>
          <w:bottom w:space="0" w:sz="0" w:val="nil"/>
          <w:right w:space="0" w:sz="0" w:val="nil"/>
          <w:between w:space="0" w:sz="0" w:val="nil"/>
        </w:pBd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SALIDA PUNTUAL: </w:t>
      </w:r>
      <w:r w:rsidDel="00000000" w:rsidR="00000000" w:rsidRPr="00000000">
        <w:rPr>
          <w:rFonts w:ascii="Calibri" w:cs="Calibri" w:eastAsia="Calibri" w:hAnsi="Calibri"/>
          <w:color w:val="1f3864"/>
          <w:rtl w:val="0"/>
        </w:rPr>
        <w:t xml:space="preserve">Del 01 de abril al 05 de abril 2026.</w:t>
      </w:r>
      <w:r w:rsidDel="00000000" w:rsidR="00000000" w:rsidRPr="00000000">
        <w:rPr>
          <w:rtl w:val="0"/>
        </w:rPr>
      </w:r>
    </w:p>
    <w:p w:rsidR="00000000" w:rsidDel="00000000" w:rsidP="00000000" w:rsidRDefault="00000000" w:rsidRPr="00000000" w14:paraId="00000005">
      <w:pPr>
        <w:pBdr>
          <w:top w:space="0" w:sz="0" w:val="nil"/>
          <w:left w:space="0" w:sz="0" w:val="nil"/>
          <w:bottom w:color="000000" w:space="0" w:sz="12" w:val="single"/>
          <w:right w:space="0" w:sz="0" w:val="nil"/>
          <w:between w:space="0" w:sz="0" w:val="nil"/>
        </w:pBdr>
        <w:rPr>
          <w:rFonts w:ascii="Calibri" w:cs="Calibri" w:eastAsia="Calibri" w:hAnsi="Calibri"/>
          <w:color w:val="1f3864"/>
          <w:sz w:val="6"/>
          <w:szCs w:val="6"/>
        </w:rPr>
      </w:pPr>
      <w:r w:rsidDel="00000000" w:rsidR="00000000" w:rsidRPr="00000000">
        <w:rPr>
          <w:rtl w:val="0"/>
        </w:rPr>
      </w:r>
    </w:p>
    <w:p w:rsidR="00000000" w:rsidDel="00000000" w:rsidP="00000000" w:rsidRDefault="00000000" w:rsidRPr="00000000" w14:paraId="00000006">
      <w:pPr>
        <w:jc w:val="center"/>
        <w:rPr>
          <w:b w:val="1"/>
          <w:bCs w:val="1"/>
          <w:color w:val="002060"/>
        </w:rPr>
      </w:pPr>
      <w:r w:rsidDel="00000000" w:rsidR="00000000" w:rsidRPr="00000000">
        <w:rPr>
          <w:b w:val="1"/>
          <w:bCs w:val="1"/>
          <w:color w:val="002060"/>
          <w:rtl w:val="0"/>
        </w:rPr>
        <w:t xml:space="preserve"> </w:t>
      </w:r>
      <w:r w:rsidDel="00000000" w:rsidR="00000000" w:rsidRPr="00000000">
        <w:rPr>
          <w:rtl w:val="0"/>
        </w:rPr>
        <w:t xml:space="preserve"> </w:t>
      </w:r>
      <w:r w:rsidDel="00000000" w:rsidR="00000000" w:rsidRPr="00000000">
        <w:rPr>
          <w:rFonts w:ascii="Calibri" w:cs="Calibri" w:eastAsia="Calibri" w:hAnsi="Calibri"/>
          <w:b w:val="1"/>
          <w:bCs w:val="1"/>
          <w:color w:val="1f3864"/>
        </w:rPr>
        <w:drawing>
          <wp:inline distB="0" distT="0" distL="0" distR="0">
            <wp:extent cx="5610225" cy="1228725"/>
            <wp:effectExtent b="0" l="0" r="0" t="0"/>
            <wp:docPr id="2145196869"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5610225" cy="1228725"/>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jc w:val="cente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ITINERARIO</w:t>
      </w:r>
    </w:p>
    <w:p w:rsidR="00000000" w:rsidDel="00000000" w:rsidP="00000000" w:rsidRDefault="00000000" w:rsidRPr="00000000" w14:paraId="00000008">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09">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DÍA 01 DE ABRIL 2026 AEROPUERTO/HOTEL</w:t>
      </w:r>
    </w:p>
    <w:p w:rsidR="00000000" w:rsidDel="00000000" w:rsidP="00000000" w:rsidRDefault="00000000" w:rsidRPr="00000000" w14:paraId="0000000A">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Recibimiento en el aeropuerto Internacional y traslado al hotel en Ciudad de Guatemala.</w:t>
      </w:r>
    </w:p>
    <w:p w:rsidR="00000000" w:rsidDel="00000000" w:rsidP="00000000" w:rsidRDefault="00000000" w:rsidRPr="00000000" w14:paraId="0000000B">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 </w:t>
      </w:r>
    </w:p>
    <w:p w:rsidR="00000000" w:rsidDel="00000000" w:rsidP="00000000" w:rsidRDefault="00000000" w:rsidRPr="00000000" w14:paraId="0000000C">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DÍA 02 DE ABRIL 2026 CIUDAD DE GUATEMALA – SITIO ARQUEOLÓGICO DE IXIMCHÉ – CIUDAD DE GUATEMALA.</w:t>
      </w:r>
    </w:p>
    <w:p w:rsidR="00000000" w:rsidDel="00000000" w:rsidP="00000000" w:rsidRDefault="00000000" w:rsidRPr="00000000" w14:paraId="0000000D">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americano. Los pasajeros abordaran el bus a la 08:30am, esta excursión sale desde la Ciudad de Guatemala o desde Antigua Guatemala.  Los pasajeros son trasladados hacia el noroeste aproximadamente una hora de la ciudad de Tecpán, la ubicación de las ruinas mayas de Iximché. Con su experto guía profesional, podrá explorar estas ruinas, que antaño fueron el lugar de la capital maya Cakchiquel. Al entrar verá cuatro plazas ceremoniales rodeadas por dos grandes estructuras de templos y dos canchas de pelota. Las plazas se utilizaron como viviendas y para ceremonias especiales, y las canchas de pelota se emplearon para jugar al juego de pelota mesoamericano, un deporte que se remonta al año 1400 a. C. Mientras camina por la zona, su guía le proporcionará comentarios históricos. Después de dos horas en Iximché, los pasajeros serán trasladados hacia un restaurante cerca del sitio arqueológico para que almuercen. (Almuerzo no Incluido).  Posteriormente los pasajeros serán traslados hacia el hotel donde se estén hospedando.</w:t>
      </w:r>
    </w:p>
    <w:p w:rsidR="00000000" w:rsidDel="00000000" w:rsidP="00000000" w:rsidRDefault="00000000" w:rsidRPr="00000000" w14:paraId="0000000E">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 </w:t>
      </w:r>
    </w:p>
    <w:p w:rsidR="00000000" w:rsidDel="00000000" w:rsidP="00000000" w:rsidRDefault="00000000" w:rsidRPr="00000000" w14:paraId="0000000F">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DÍA 03 DE ABRIL 2026 CIUDAD DE GUATEMALA – ANTIGUA GUATEMALA – CIUDAD DE GUATEMALA.</w:t>
      </w:r>
    </w:p>
    <w:p w:rsidR="00000000" w:rsidDel="00000000" w:rsidP="00000000" w:rsidRDefault="00000000" w:rsidRPr="00000000" w14:paraId="00000010">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americano. Los pasajeros abordaran el bus en su hotel a las 05:00am para visitar la Ciudad de Antigua Guatemala para poder apreciar la elaboración de las famosas alfombras que hacen de aserrín teñido, de flores y de vegetales. Las procesiones de viernes Santo, famosas internacionalmente no solo por los devotos que llegan a la ciudad, sino por lo artístico de las alfombras de aserrín, flores y frutas. Podrán apreciar la procesión como la del Nazareno de la Iglesia de la Merced, Procesiones del Santo Entierro de las iglesias de San Felipe de Jesús y de la Escuela de Cristo, que estará saliendo de los templos a las 15hrs. Retorno a Ciudad de Guatemala aproximadamente a las 1800hrs (No Incluye Almuerzo).</w:t>
      </w:r>
    </w:p>
    <w:p w:rsidR="00000000" w:rsidDel="00000000" w:rsidP="00000000" w:rsidRDefault="00000000" w:rsidRPr="00000000" w14:paraId="00000011">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 </w:t>
      </w:r>
    </w:p>
    <w:p w:rsidR="00000000" w:rsidDel="00000000" w:rsidP="00000000" w:rsidRDefault="00000000" w:rsidRPr="00000000" w14:paraId="00000012">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DÍA 04 DE ABRIL 2026 CIUDAD DE GUATEMALA – LAGO DE ATITLÁN – CIUDAD DE GUATEMALA.</w:t>
      </w:r>
    </w:p>
    <w:p w:rsidR="00000000" w:rsidDel="00000000" w:rsidP="00000000" w:rsidRDefault="00000000" w:rsidRPr="00000000" w14:paraId="00000013">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americano. Por la mañana los pasajeros abordaron el vehículo a las 07:30 am que los trasladara hacia el altiplano de Guatemala, hasta llegara al majestuoso Lago de Atitlán. Al llegar los pasajeros serán trasladados al muelle municipal donde abordaron la lancha privada para realizar visita al pueblo de San Juan La Laguna, para conocer las tradiciones culturales, artesanales y artísticas por las cuales se destaca la cultura Zutujil, su religiosidad y su misticismo La primera parada será para realizar un tour de cacao (incluye degustación), luego realizarán el tour de la abeja maya (incluye degustación) y finalmente conocerán el proceso del tejido, hilado de algodón y tinte natural. Al finalizar la visita, los pasajeros serán trasladados hacia Panajachel, realizarán una caminata por las principales calles de Panajachel. Tiempo para almorzar. (Almuerzo no incluido). Por la tarde regreso a la ciudad de Guatemala. Alojamiento</w:t>
      </w:r>
    </w:p>
    <w:p w:rsidR="00000000" w:rsidDel="00000000" w:rsidP="00000000" w:rsidRDefault="00000000" w:rsidRPr="00000000" w14:paraId="00000014">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 </w:t>
      </w:r>
    </w:p>
    <w:p w:rsidR="00000000" w:rsidDel="00000000" w:rsidP="00000000" w:rsidRDefault="00000000" w:rsidRPr="00000000" w14:paraId="00000015">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DÍA 05 DE ABRIL 2026 CIUDAD DE GUATEMALA.</w:t>
      </w:r>
    </w:p>
    <w:p w:rsidR="00000000" w:rsidDel="00000000" w:rsidP="00000000" w:rsidRDefault="00000000" w:rsidRPr="00000000" w14:paraId="00000016">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Tiempo libre hasta la hora de ser trasladados hacia el aeropuerto Internacional La Aurora.</w:t>
      </w:r>
    </w:p>
    <w:p w:rsidR="00000000" w:rsidDel="00000000" w:rsidP="00000000" w:rsidRDefault="00000000" w:rsidRPr="00000000" w14:paraId="00000017">
      <w:pP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8">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¡FIN DE NUESTROS SERVICIOS!</w:t>
      </w:r>
    </w:p>
    <w:p w:rsidR="00000000" w:rsidDel="00000000" w:rsidP="00000000" w:rsidRDefault="00000000" w:rsidRPr="00000000" w14:paraId="00000019">
      <w:pPr>
        <w:rPr>
          <w:b w:val="1"/>
          <w:bCs w:val="1"/>
          <w:color w:val="002060"/>
        </w:rPr>
      </w:pPr>
      <w:r w:rsidDel="00000000" w:rsidR="00000000" w:rsidRPr="00000000">
        <w:rPr>
          <w:rtl w:val="0"/>
        </w:rPr>
      </w:r>
    </w:p>
    <w:p w:rsidR="00000000" w:rsidDel="00000000" w:rsidP="00000000" w:rsidRDefault="00000000" w:rsidRPr="00000000" w14:paraId="0000001A">
      <w:pPr>
        <w:jc w:val="cente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TARIFA POR PERSONA EN DÓLARES</w:t>
      </w:r>
    </w:p>
    <w:p w:rsidR="00000000" w:rsidDel="00000000" w:rsidP="00000000" w:rsidRDefault="00000000" w:rsidRPr="00000000" w14:paraId="0000001B">
      <w:pPr>
        <w:rPr>
          <w:rFonts w:ascii="Calibri" w:cs="Calibri" w:eastAsia="Calibri" w:hAnsi="Calibri"/>
          <w:b w:val="1"/>
          <w:bCs w:val="1"/>
          <w:color w:val="ffffff"/>
        </w:rPr>
      </w:pPr>
      <w:r w:rsidDel="00000000" w:rsidR="00000000" w:rsidRPr="00000000">
        <w:rPr>
          <w:rtl w:val="0"/>
        </w:rPr>
      </w:r>
    </w:p>
    <w:tbl>
      <w:tblPr>
        <w:tblStyle w:val="Table1"/>
        <w:tblW w:w="10490.0" w:type="dxa"/>
        <w:jc w:val="center"/>
        <w:tblLayout w:type="fixed"/>
        <w:tblLook w:val="0400"/>
      </w:tblPr>
      <w:tblGrid>
        <w:gridCol w:w="567"/>
        <w:gridCol w:w="5261"/>
        <w:gridCol w:w="1118"/>
        <w:gridCol w:w="1134"/>
        <w:gridCol w:w="1134"/>
        <w:gridCol w:w="1276"/>
        <w:tblGridChange w:id="0">
          <w:tblGrid>
            <w:gridCol w:w="567"/>
            <w:gridCol w:w="5261"/>
            <w:gridCol w:w="1118"/>
            <w:gridCol w:w="1134"/>
            <w:gridCol w:w="1134"/>
            <w:gridCol w:w="1276"/>
          </w:tblGrid>
        </w:tblGridChange>
      </w:tblGrid>
      <w:tr>
        <w:trPr>
          <w:cantSplit w:val="0"/>
          <w:trHeight w:val="580" w:hRule="atLeast"/>
          <w:tblHeader w:val="0"/>
        </w:trPr>
        <w:tc>
          <w:tcPr>
            <w:tcBorders>
              <w:top w:color="000000" w:space="0" w:sz="8" w:val="single"/>
              <w:left w:color="000000" w:space="0" w:sz="8" w:val="single"/>
              <w:bottom w:color="000000" w:space="0" w:sz="4" w:val="single"/>
              <w:right w:color="000000" w:space="0" w:sz="4" w:val="single"/>
            </w:tcBorders>
            <w:shd w:fill="002060" w:val="clear"/>
            <w:vAlign w:val="center"/>
          </w:tcPr>
          <w:p w:rsidR="00000000" w:rsidDel="00000000" w:rsidP="00000000" w:rsidRDefault="00000000" w:rsidRPr="00000000" w14:paraId="0000001C">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CAT</w:t>
            </w:r>
          </w:p>
        </w:tc>
        <w:tc>
          <w:tcPr>
            <w:tcBorders>
              <w:top w:color="000000" w:space="0" w:sz="8" w:val="single"/>
              <w:left w:color="000000" w:space="0" w:sz="0" w:val="nil"/>
              <w:bottom w:color="000000" w:space="0" w:sz="4" w:val="single"/>
              <w:right w:color="000000" w:space="0" w:sz="4" w:val="single"/>
            </w:tcBorders>
            <w:shd w:fill="002060" w:val="clear"/>
            <w:vAlign w:val="center"/>
          </w:tcPr>
          <w:p w:rsidR="00000000" w:rsidDel="00000000" w:rsidP="00000000" w:rsidRDefault="00000000" w:rsidRPr="00000000" w14:paraId="0000001D">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HOTELES</w:t>
            </w:r>
          </w:p>
        </w:tc>
        <w:tc>
          <w:tcPr>
            <w:tcBorders>
              <w:top w:color="000000" w:space="0" w:sz="8" w:val="single"/>
              <w:left w:color="000000" w:space="0" w:sz="0" w:val="nil"/>
              <w:bottom w:color="000000" w:space="0" w:sz="4" w:val="single"/>
              <w:right w:color="000000" w:space="0" w:sz="4" w:val="single"/>
            </w:tcBorders>
            <w:shd w:fill="002060" w:val="clear"/>
            <w:vAlign w:val="center"/>
          </w:tcPr>
          <w:p w:rsidR="00000000" w:rsidDel="00000000" w:rsidP="00000000" w:rsidRDefault="00000000" w:rsidRPr="00000000" w14:paraId="0000001E">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TRIPLE</w:t>
            </w:r>
          </w:p>
        </w:tc>
        <w:tc>
          <w:tcPr>
            <w:tcBorders>
              <w:top w:color="000000" w:space="0" w:sz="8" w:val="single"/>
              <w:left w:color="000000" w:space="0" w:sz="0" w:val="nil"/>
              <w:bottom w:color="000000" w:space="0" w:sz="4" w:val="single"/>
              <w:right w:color="000000" w:space="0" w:sz="4" w:val="single"/>
            </w:tcBorders>
            <w:shd w:fill="002060" w:val="clear"/>
            <w:vAlign w:val="center"/>
          </w:tcPr>
          <w:p w:rsidR="00000000" w:rsidDel="00000000" w:rsidP="00000000" w:rsidRDefault="00000000" w:rsidRPr="00000000" w14:paraId="0000001F">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DOBLE</w:t>
            </w:r>
          </w:p>
        </w:tc>
        <w:tc>
          <w:tcPr>
            <w:tcBorders>
              <w:top w:color="000000" w:space="0" w:sz="8" w:val="single"/>
              <w:left w:color="000000" w:space="0" w:sz="0" w:val="nil"/>
              <w:bottom w:color="000000" w:space="0" w:sz="4" w:val="single"/>
              <w:right w:color="000000" w:space="0" w:sz="0" w:val="nil"/>
            </w:tcBorders>
            <w:shd w:fill="002060" w:val="clear"/>
            <w:vAlign w:val="center"/>
          </w:tcPr>
          <w:p w:rsidR="00000000" w:rsidDel="00000000" w:rsidP="00000000" w:rsidRDefault="00000000" w:rsidRPr="00000000" w14:paraId="00000020">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SENCILLA</w:t>
            </w:r>
          </w:p>
        </w:tc>
        <w:tc>
          <w:tcPr>
            <w:tcBorders>
              <w:top w:color="000000" w:space="0" w:sz="8" w:val="single"/>
              <w:left w:color="000000" w:space="0" w:sz="4" w:val="single"/>
              <w:bottom w:color="000000" w:space="0" w:sz="4" w:val="single"/>
              <w:right w:color="000000" w:space="0" w:sz="8" w:val="single"/>
            </w:tcBorders>
            <w:shd w:fill="002060" w:val="clear"/>
            <w:vAlign w:val="center"/>
          </w:tcPr>
          <w:p w:rsidR="00000000" w:rsidDel="00000000" w:rsidP="00000000" w:rsidRDefault="00000000" w:rsidRPr="00000000" w14:paraId="00000021">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NIÑOS 3 - 11 AÑOS</w:t>
            </w:r>
          </w:p>
        </w:tc>
      </w:tr>
      <w:tr>
        <w:trPr>
          <w:cantSplit w:val="0"/>
          <w:trHeight w:val="290" w:hRule="atLeast"/>
          <w:tblHeader w:val="0"/>
        </w:trPr>
        <w:tc>
          <w:tcPr>
            <w:tcBorders>
              <w:top w:color="000000" w:space="0" w:sz="0" w:val="nil"/>
              <w:left w:color="000000" w:space="0" w:sz="8" w:val="single"/>
              <w:bottom w:color="000000" w:space="0" w:sz="4" w:val="single"/>
              <w:right w:color="000000" w:space="0" w:sz="4" w:val="single"/>
            </w:tcBorders>
            <w:shd w:fill="ffffff" w:val="clear"/>
            <w:vAlign w:val="center"/>
          </w:tcPr>
          <w:p w:rsidR="00000000" w:rsidDel="00000000" w:rsidP="00000000" w:rsidRDefault="00000000" w:rsidRPr="00000000" w14:paraId="0000002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23">
            <w:pPr>
              <w:widowControl w:val="1"/>
              <w:jc w:val="center"/>
              <w:rPr>
                <w:rFonts w:ascii="Calibri" w:cs="Calibri" w:eastAsia="Calibri" w:hAnsi="Calibri"/>
                <w:color w:val="002060"/>
              </w:rPr>
            </w:pPr>
            <w:r w:rsidDel="00000000" w:rsidR="00000000" w:rsidRPr="00000000">
              <w:rPr>
                <w:rFonts w:ascii="Calibri" w:cs="Calibri" w:eastAsia="Calibri" w:hAnsi="Calibri"/>
                <w:b w:val="1"/>
                <w:bCs w:val="1"/>
                <w:color w:val="002060"/>
                <w:rtl w:val="0"/>
              </w:rPr>
              <w:t xml:space="preserve">Ciudad de Guatemala:</w:t>
            </w:r>
            <w:r w:rsidDel="00000000" w:rsidR="00000000" w:rsidRPr="00000000">
              <w:rPr>
                <w:rFonts w:ascii="Calibri" w:cs="Calibri" w:eastAsia="Calibri" w:hAnsi="Calibri"/>
                <w:color w:val="002060"/>
                <w:rtl w:val="0"/>
              </w:rPr>
              <w:t xml:space="preserve">  Hotel Stofella o similar</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24">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USD 475</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2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USD 549</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2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USD 785</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2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USD 353</w:t>
            </w:r>
          </w:p>
        </w:tc>
      </w:tr>
      <w:tr>
        <w:trPr>
          <w:cantSplit w:val="0"/>
          <w:trHeight w:val="290" w:hRule="atLeast"/>
          <w:tblHeader w:val="0"/>
        </w:trPr>
        <w:tc>
          <w:tcPr>
            <w:tcBorders>
              <w:top w:color="000000" w:space="0" w:sz="0" w:val="nil"/>
              <w:left w:color="000000" w:space="0" w:sz="8" w:val="single"/>
              <w:bottom w:color="000000" w:space="0" w:sz="4" w:val="single"/>
              <w:right w:color="000000" w:space="0" w:sz="4" w:val="single"/>
            </w:tcBorders>
            <w:shd w:fill="d9e1f2" w:val="clear"/>
            <w:vAlign w:val="center"/>
          </w:tcPr>
          <w:p w:rsidR="00000000" w:rsidDel="00000000" w:rsidP="00000000" w:rsidRDefault="00000000" w:rsidRPr="00000000" w14:paraId="0000002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w:t>
            </w:r>
          </w:p>
        </w:tc>
        <w:tc>
          <w:tcPr>
            <w:tcBorders>
              <w:top w:color="000000" w:space="0" w:sz="0" w:val="nil"/>
              <w:left w:color="000000" w:space="0" w:sz="0" w:val="nil"/>
              <w:bottom w:color="000000" w:space="0" w:sz="4" w:val="single"/>
              <w:right w:color="000000" w:space="0" w:sz="4" w:val="single"/>
            </w:tcBorders>
            <w:shd w:fill="d9e1f2" w:val="clear"/>
            <w:vAlign w:val="center"/>
          </w:tcPr>
          <w:p w:rsidR="00000000" w:rsidDel="00000000" w:rsidP="00000000" w:rsidRDefault="00000000" w:rsidRPr="00000000" w14:paraId="00000029">
            <w:pPr>
              <w:widowControl w:val="1"/>
              <w:jc w:val="center"/>
              <w:rPr>
                <w:rFonts w:ascii="Calibri" w:cs="Calibri" w:eastAsia="Calibri" w:hAnsi="Calibri"/>
                <w:color w:val="002060"/>
              </w:rPr>
            </w:pPr>
            <w:r w:rsidDel="00000000" w:rsidR="00000000" w:rsidRPr="00000000">
              <w:rPr>
                <w:rFonts w:ascii="Calibri" w:cs="Calibri" w:eastAsia="Calibri" w:hAnsi="Calibri"/>
                <w:b w:val="1"/>
                <w:bCs w:val="1"/>
                <w:color w:val="002060"/>
                <w:rtl w:val="0"/>
              </w:rPr>
              <w:t xml:space="preserve">Ciudad de Guatemala:</w:t>
            </w:r>
            <w:r w:rsidDel="00000000" w:rsidR="00000000" w:rsidRPr="00000000">
              <w:rPr>
                <w:rFonts w:ascii="Calibri" w:cs="Calibri" w:eastAsia="Calibri" w:hAnsi="Calibri"/>
                <w:color w:val="002060"/>
                <w:rtl w:val="0"/>
              </w:rPr>
              <w:t xml:space="preserve">  Hotel Grand Tikal Futura/similar</w:t>
            </w:r>
          </w:p>
        </w:tc>
        <w:tc>
          <w:tcPr>
            <w:tcBorders>
              <w:top w:color="000000" w:space="0" w:sz="0" w:val="nil"/>
              <w:left w:color="000000" w:space="0" w:sz="0" w:val="nil"/>
              <w:bottom w:color="000000" w:space="0" w:sz="4" w:val="single"/>
              <w:right w:color="000000" w:space="0" w:sz="4" w:val="single"/>
            </w:tcBorders>
            <w:shd w:fill="d9e1f2" w:val="clear"/>
            <w:vAlign w:val="center"/>
          </w:tcPr>
          <w:p w:rsidR="00000000" w:rsidDel="00000000" w:rsidP="00000000" w:rsidRDefault="00000000" w:rsidRPr="00000000" w14:paraId="0000002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USD 529</w:t>
            </w:r>
          </w:p>
        </w:tc>
        <w:tc>
          <w:tcPr>
            <w:tcBorders>
              <w:top w:color="000000" w:space="0" w:sz="0" w:val="nil"/>
              <w:left w:color="000000" w:space="0" w:sz="0" w:val="nil"/>
              <w:bottom w:color="000000" w:space="0" w:sz="4" w:val="single"/>
              <w:right w:color="000000" w:space="0" w:sz="4" w:val="single"/>
            </w:tcBorders>
            <w:shd w:fill="d9e1f2" w:val="clear"/>
            <w:vAlign w:val="center"/>
          </w:tcPr>
          <w:p w:rsidR="00000000" w:rsidDel="00000000" w:rsidP="00000000" w:rsidRDefault="00000000" w:rsidRPr="00000000" w14:paraId="0000002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USD 625</w:t>
            </w:r>
          </w:p>
        </w:tc>
        <w:tc>
          <w:tcPr>
            <w:tcBorders>
              <w:top w:color="000000" w:space="0" w:sz="0" w:val="nil"/>
              <w:left w:color="000000" w:space="0" w:sz="0" w:val="nil"/>
              <w:bottom w:color="000000" w:space="0" w:sz="4" w:val="single"/>
              <w:right w:color="000000" w:space="0" w:sz="4" w:val="single"/>
            </w:tcBorders>
            <w:shd w:fill="d9e1f2" w:val="clear"/>
            <w:vAlign w:val="center"/>
          </w:tcPr>
          <w:p w:rsidR="00000000" w:rsidDel="00000000" w:rsidP="00000000" w:rsidRDefault="00000000" w:rsidRPr="00000000" w14:paraId="0000002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USD 919</w:t>
            </w:r>
          </w:p>
        </w:tc>
        <w:tc>
          <w:tcPr>
            <w:tcBorders>
              <w:top w:color="000000" w:space="0" w:sz="0" w:val="nil"/>
              <w:left w:color="000000" w:space="0" w:sz="0" w:val="nil"/>
              <w:bottom w:color="000000" w:space="0" w:sz="4" w:val="single"/>
              <w:right w:color="000000" w:space="0" w:sz="8" w:val="single"/>
            </w:tcBorders>
            <w:shd w:fill="d9e1f2" w:val="clear"/>
            <w:vAlign w:val="center"/>
          </w:tcPr>
          <w:p w:rsidR="00000000" w:rsidDel="00000000" w:rsidP="00000000" w:rsidRDefault="00000000" w:rsidRPr="00000000" w14:paraId="0000002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USD 405</w:t>
            </w:r>
          </w:p>
        </w:tc>
      </w:tr>
      <w:tr>
        <w:trPr>
          <w:cantSplit w:val="0"/>
          <w:trHeight w:val="300" w:hRule="atLeast"/>
          <w:tblHeader w:val="0"/>
        </w:trPr>
        <w:tc>
          <w:tcPr>
            <w:tcBorders>
              <w:top w:color="000000" w:space="0" w:sz="0" w:val="nil"/>
              <w:left w:color="000000" w:space="0" w:sz="8" w:val="single"/>
              <w:bottom w:color="000000" w:space="0" w:sz="8" w:val="single"/>
              <w:right w:color="000000" w:space="0" w:sz="4" w:val="single"/>
            </w:tcBorders>
            <w:shd w:fill="ffffff" w:val="clear"/>
            <w:vAlign w:val="center"/>
          </w:tcPr>
          <w:p w:rsidR="00000000" w:rsidDel="00000000" w:rsidP="00000000" w:rsidRDefault="00000000" w:rsidRPr="00000000" w14:paraId="0000002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5*</w:t>
            </w:r>
          </w:p>
        </w:tc>
        <w:tc>
          <w:tcPr>
            <w:tcBorders>
              <w:top w:color="000000" w:space="0" w:sz="0" w:val="nil"/>
              <w:left w:color="000000" w:space="0" w:sz="0" w:val="nil"/>
              <w:bottom w:color="000000" w:space="0" w:sz="8" w:val="single"/>
              <w:right w:color="000000" w:space="0" w:sz="4" w:val="single"/>
            </w:tcBorders>
            <w:shd w:fill="ffffff" w:val="clear"/>
            <w:vAlign w:val="center"/>
          </w:tcPr>
          <w:p w:rsidR="00000000" w:rsidDel="00000000" w:rsidP="00000000" w:rsidRDefault="00000000" w:rsidRPr="00000000" w14:paraId="0000002F">
            <w:pPr>
              <w:widowControl w:val="1"/>
              <w:jc w:val="center"/>
              <w:rPr>
                <w:rFonts w:ascii="Calibri" w:cs="Calibri" w:eastAsia="Calibri" w:hAnsi="Calibri"/>
                <w:color w:val="002060"/>
              </w:rPr>
            </w:pPr>
            <w:r w:rsidDel="00000000" w:rsidR="00000000" w:rsidRPr="00000000">
              <w:rPr>
                <w:rFonts w:ascii="Calibri" w:cs="Calibri" w:eastAsia="Calibri" w:hAnsi="Calibri"/>
                <w:b w:val="1"/>
                <w:bCs w:val="1"/>
                <w:color w:val="002060"/>
                <w:rtl w:val="0"/>
              </w:rPr>
              <w:t xml:space="preserve">Ciudad de Guatemala:</w:t>
            </w:r>
            <w:r w:rsidDel="00000000" w:rsidR="00000000" w:rsidRPr="00000000">
              <w:rPr>
                <w:rFonts w:ascii="Calibri" w:cs="Calibri" w:eastAsia="Calibri" w:hAnsi="Calibri"/>
                <w:color w:val="002060"/>
                <w:rtl w:val="0"/>
              </w:rPr>
              <w:t xml:space="preserve"> Hotel Intercontinental o similar</w:t>
            </w:r>
          </w:p>
        </w:tc>
        <w:tc>
          <w:tcPr>
            <w:tcBorders>
              <w:top w:color="000000" w:space="0" w:sz="0" w:val="nil"/>
              <w:left w:color="000000" w:space="0" w:sz="0" w:val="nil"/>
              <w:bottom w:color="000000" w:space="0" w:sz="8" w:val="single"/>
              <w:right w:color="000000" w:space="0" w:sz="4" w:val="single"/>
            </w:tcBorders>
            <w:shd w:fill="ffffff" w:val="clear"/>
            <w:vAlign w:val="center"/>
          </w:tcPr>
          <w:p w:rsidR="00000000" w:rsidDel="00000000" w:rsidP="00000000" w:rsidRDefault="00000000" w:rsidRPr="00000000" w14:paraId="0000003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USD 615</w:t>
            </w:r>
          </w:p>
        </w:tc>
        <w:tc>
          <w:tcPr>
            <w:tcBorders>
              <w:top w:color="000000" w:space="0" w:sz="0" w:val="nil"/>
              <w:left w:color="000000" w:space="0" w:sz="0" w:val="nil"/>
              <w:bottom w:color="000000" w:space="0" w:sz="8" w:val="single"/>
              <w:right w:color="000000" w:space="0" w:sz="4" w:val="single"/>
            </w:tcBorders>
            <w:shd w:fill="ffffff" w:val="clear"/>
            <w:vAlign w:val="center"/>
          </w:tcPr>
          <w:p w:rsidR="00000000" w:rsidDel="00000000" w:rsidP="00000000" w:rsidRDefault="00000000" w:rsidRPr="00000000" w14:paraId="0000003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USD 689</w:t>
            </w:r>
          </w:p>
        </w:tc>
        <w:tc>
          <w:tcPr>
            <w:tcBorders>
              <w:top w:color="000000" w:space="0" w:sz="0" w:val="nil"/>
              <w:left w:color="000000" w:space="0" w:sz="0" w:val="nil"/>
              <w:bottom w:color="000000" w:space="0" w:sz="8" w:val="single"/>
              <w:right w:color="000000" w:space="0" w:sz="4" w:val="single"/>
            </w:tcBorders>
            <w:shd w:fill="ffffff" w:val="clear"/>
            <w:vAlign w:val="center"/>
          </w:tcPr>
          <w:p w:rsidR="00000000" w:rsidDel="00000000" w:rsidP="00000000" w:rsidRDefault="00000000" w:rsidRPr="00000000" w14:paraId="0000003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USD 1.119</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USD 443</w:t>
            </w:r>
          </w:p>
        </w:tc>
      </w:tr>
    </w:tbl>
    <w:p w:rsidR="00000000" w:rsidDel="00000000" w:rsidP="00000000" w:rsidRDefault="00000000" w:rsidRPr="00000000" w14:paraId="00000034">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35">
      <w:pPr>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INCLUYE:</w:t>
      </w:r>
      <w:r w:rsidDel="00000000" w:rsidR="00000000" w:rsidRPr="00000000">
        <w:rPr>
          <w:rtl w:val="0"/>
        </w:rPr>
      </w:r>
    </w:p>
    <w:p w:rsidR="00000000" w:rsidDel="00000000" w:rsidP="00000000" w:rsidRDefault="00000000" w:rsidRPr="00000000" w14:paraId="00000036">
      <w:pPr>
        <w:numPr>
          <w:ilvl w:val="0"/>
          <w:numId w:val="1"/>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4 noches de alojamiento en el hotel a elegir</w:t>
      </w:r>
    </w:p>
    <w:p w:rsidR="00000000" w:rsidDel="00000000" w:rsidP="00000000" w:rsidRDefault="00000000" w:rsidRPr="00000000" w14:paraId="00000037">
      <w:pPr>
        <w:numPr>
          <w:ilvl w:val="0"/>
          <w:numId w:val="1"/>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4 desayunos americanos.</w:t>
      </w:r>
    </w:p>
    <w:p w:rsidR="00000000" w:rsidDel="00000000" w:rsidP="00000000" w:rsidRDefault="00000000" w:rsidRPr="00000000" w14:paraId="00000038">
      <w:pPr>
        <w:numPr>
          <w:ilvl w:val="0"/>
          <w:numId w:val="1"/>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Tours y traslados compartidos con guía en español</w:t>
      </w:r>
    </w:p>
    <w:p w:rsidR="00000000" w:rsidDel="00000000" w:rsidP="00000000" w:rsidRDefault="00000000" w:rsidRPr="00000000" w14:paraId="00000039">
      <w:pPr>
        <w:numPr>
          <w:ilvl w:val="0"/>
          <w:numId w:val="1"/>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Entradas a los lugares mencionados en el itinerario</w:t>
      </w:r>
    </w:p>
    <w:p w:rsidR="00000000" w:rsidDel="00000000" w:rsidP="00000000" w:rsidRDefault="00000000" w:rsidRPr="00000000" w14:paraId="0000003A">
      <w:pPr>
        <w:numPr>
          <w:ilvl w:val="0"/>
          <w:numId w:val="1"/>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Guía especializa en todo el recorrido</w:t>
      </w:r>
    </w:p>
    <w:p w:rsidR="00000000" w:rsidDel="00000000" w:rsidP="00000000" w:rsidRDefault="00000000" w:rsidRPr="00000000" w14:paraId="0000003B">
      <w:pPr>
        <w:numPr>
          <w:ilvl w:val="0"/>
          <w:numId w:val="1"/>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Lancha en el Lago de Atitlan</w:t>
      </w:r>
    </w:p>
    <w:p w:rsidR="00000000" w:rsidDel="00000000" w:rsidP="00000000" w:rsidRDefault="00000000" w:rsidRPr="00000000" w14:paraId="0000003C">
      <w:pPr>
        <w:numPr>
          <w:ilvl w:val="0"/>
          <w:numId w:val="1"/>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Impuestos hoteleros</w:t>
      </w:r>
    </w:p>
    <w:p w:rsidR="00000000" w:rsidDel="00000000" w:rsidP="00000000" w:rsidRDefault="00000000" w:rsidRPr="00000000" w14:paraId="0000003D">
      <w:pPr>
        <w:numPr>
          <w:ilvl w:val="0"/>
          <w:numId w:val="1"/>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Servicios en regular Tarjeta de asistencia médica. (Cobertura máxima 35.000 USD)</w:t>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before="22" w:lineRule="auto"/>
        <w:ind w:left="720" w:firstLine="0"/>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3F">
      <w:pPr>
        <w:rPr>
          <w:rFonts w:ascii="Calibri" w:cs="Calibri" w:eastAsia="Calibri" w:hAnsi="Calibri"/>
          <w:b w:val="1"/>
          <w:bCs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40">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NO INCLUYE:</w:t>
      </w:r>
    </w:p>
    <w:p w:rsidR="00000000" w:rsidDel="00000000" w:rsidP="00000000" w:rsidRDefault="00000000" w:rsidRPr="00000000" w14:paraId="00000041">
      <w:pPr>
        <w:numPr>
          <w:ilvl w:val="0"/>
          <w:numId w:val="1"/>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Tiquetes aéreos internacionales (consulta por nuestras tarifas especiales).</w:t>
      </w:r>
    </w:p>
    <w:p w:rsidR="00000000" w:rsidDel="00000000" w:rsidP="00000000" w:rsidRDefault="00000000" w:rsidRPr="00000000" w14:paraId="00000042">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Extras en hoteles</w:t>
      </w:r>
    </w:p>
    <w:p w:rsidR="00000000" w:rsidDel="00000000" w:rsidP="00000000" w:rsidRDefault="00000000" w:rsidRPr="00000000" w14:paraId="00000043">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Seguro de viajes</w:t>
      </w:r>
    </w:p>
    <w:p w:rsidR="00000000" w:rsidDel="00000000" w:rsidP="00000000" w:rsidRDefault="00000000" w:rsidRPr="00000000" w14:paraId="00000044">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Servicios no especificados</w:t>
      </w:r>
    </w:p>
    <w:p w:rsidR="00000000" w:rsidDel="00000000" w:rsidP="00000000" w:rsidRDefault="00000000" w:rsidRPr="00000000" w14:paraId="00000045">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Comidas y bebidas no especificadas en el itinerario.</w:t>
      </w:r>
    </w:p>
    <w:p w:rsidR="00000000" w:rsidDel="00000000" w:rsidP="00000000" w:rsidRDefault="00000000" w:rsidRPr="00000000" w14:paraId="00000046">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Propinas en general (Maleteros, Guía, restaurante etc)</w:t>
      </w:r>
    </w:p>
    <w:p w:rsidR="00000000" w:rsidDel="00000000" w:rsidP="00000000" w:rsidRDefault="00000000" w:rsidRPr="00000000" w14:paraId="00000047">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Fee bancario.</w:t>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before="22" w:lineRule="auto"/>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before="22" w:lineRule="auto"/>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CONDICIONES:</w:t>
      </w:r>
      <w:r w:rsidDel="00000000" w:rsidR="00000000" w:rsidRPr="00000000">
        <w:rPr>
          <w:rtl w:val="0"/>
        </w:rPr>
      </w:r>
    </w:p>
    <w:p w:rsidR="00000000" w:rsidDel="00000000" w:rsidP="00000000" w:rsidRDefault="00000000" w:rsidRPr="00000000" w14:paraId="0000004A">
      <w:pPr>
        <w:numPr>
          <w:ilvl w:val="0"/>
          <w:numId w:val="1"/>
        </w:numPr>
        <w:pBdr>
          <w:top w:space="0" w:sz="0" w:val="nil"/>
          <w:left w:space="0" w:sz="0" w:val="nil"/>
          <w:bottom w:space="0" w:sz="0" w:val="nil"/>
          <w:right w:space="0" w:sz="0" w:val="nil"/>
          <w:between w:space="0" w:sz="0" w:val="nil"/>
        </w:pBdr>
        <w:spacing w:before="22" w:lineRule="auto"/>
        <w:ind w:left="720" w:right="49"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La tarifa por persona en dólares, se liquida a la TRM negociada.</w:t>
      </w:r>
    </w:p>
    <w:p w:rsidR="00000000" w:rsidDel="00000000" w:rsidP="00000000" w:rsidRDefault="00000000" w:rsidRPr="00000000" w14:paraId="0000004B">
      <w:pPr>
        <w:numPr>
          <w:ilvl w:val="0"/>
          <w:numId w:val="1"/>
        </w:numPr>
        <w:pBdr>
          <w:top w:space="0" w:sz="0" w:val="nil"/>
          <w:left w:space="0" w:sz="0" w:val="nil"/>
          <w:bottom w:space="0" w:sz="0" w:val="nil"/>
          <w:right w:space="0" w:sz="0" w:val="nil"/>
          <w:between w:space="0" w:sz="0" w:val="nil"/>
        </w:pBdr>
        <w:spacing w:before="22" w:lineRule="auto"/>
        <w:ind w:left="720" w:right="49"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Para garantía de reserva se requiere un depósito del 100 % del valor del paquete por persona.</w:t>
      </w:r>
    </w:p>
    <w:p w:rsidR="00000000" w:rsidDel="00000000" w:rsidP="00000000" w:rsidRDefault="00000000" w:rsidRPr="00000000" w14:paraId="0000004C">
      <w:pPr>
        <w:numPr>
          <w:ilvl w:val="0"/>
          <w:numId w:val="1"/>
        </w:numPr>
        <w:pBdr>
          <w:top w:space="0" w:sz="0" w:val="nil"/>
          <w:left w:space="0" w:sz="0" w:val="nil"/>
          <w:bottom w:space="0" w:sz="0" w:val="nil"/>
          <w:right w:space="0" w:sz="0" w:val="nil"/>
          <w:between w:space="0" w:sz="0" w:val="nil"/>
        </w:pBdr>
        <w:spacing w:before="22" w:lineRule="auto"/>
        <w:ind w:left="720" w:right="49"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Una vez pagados los servicios no son reembolsables</w:t>
      </w:r>
    </w:p>
    <w:p w:rsidR="00000000" w:rsidDel="00000000" w:rsidP="00000000" w:rsidRDefault="00000000" w:rsidRPr="00000000" w14:paraId="0000004D">
      <w:pPr>
        <w:numPr>
          <w:ilvl w:val="0"/>
          <w:numId w:val="1"/>
        </w:numPr>
        <w:pBdr>
          <w:top w:space="0" w:sz="0" w:val="nil"/>
          <w:left w:space="0" w:sz="0" w:val="nil"/>
          <w:bottom w:space="0" w:sz="0" w:val="nil"/>
          <w:right w:space="0" w:sz="0" w:val="nil"/>
          <w:between w:space="0" w:sz="0" w:val="nil"/>
        </w:pBdr>
        <w:spacing w:before="22" w:lineRule="auto"/>
        <w:ind w:left="720" w:right="49"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Toda reservación debe ser pagada a más tardar el 10 de marzo 2026. </w:t>
      </w:r>
    </w:p>
    <w:p w:rsidR="00000000" w:rsidDel="00000000" w:rsidP="00000000" w:rsidRDefault="00000000" w:rsidRPr="00000000" w14:paraId="0000004E">
      <w:pPr>
        <w:numPr>
          <w:ilvl w:val="0"/>
          <w:numId w:val="1"/>
        </w:numPr>
        <w:pBdr>
          <w:top w:space="0" w:sz="0" w:val="nil"/>
          <w:left w:space="0" w:sz="0" w:val="nil"/>
          <w:bottom w:space="0" w:sz="0" w:val="nil"/>
          <w:right w:space="0" w:sz="0" w:val="nil"/>
          <w:between w:space="0" w:sz="0" w:val="nil"/>
        </w:pBdr>
        <w:spacing w:before="22" w:lineRule="auto"/>
        <w:ind w:left="720" w:right="49"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La hora de Check in es a las 03:00 pm y Check out a las 12:00 pm.</w:t>
      </w:r>
    </w:p>
    <w:p w:rsidR="00000000" w:rsidDel="00000000" w:rsidP="00000000" w:rsidRDefault="00000000" w:rsidRPr="00000000" w14:paraId="0000004F">
      <w:pPr>
        <w:numPr>
          <w:ilvl w:val="0"/>
          <w:numId w:val="1"/>
        </w:numPr>
        <w:pBdr>
          <w:top w:space="0" w:sz="0" w:val="nil"/>
          <w:left w:space="0" w:sz="0" w:val="nil"/>
          <w:bottom w:space="0" w:sz="0" w:val="nil"/>
          <w:right w:space="0" w:sz="0" w:val="nil"/>
          <w:between w:space="0" w:sz="0" w:val="nil"/>
        </w:pBdr>
        <w:spacing w:before="22" w:lineRule="auto"/>
        <w:ind w:left="720" w:right="49"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Si los pasajeros desean tomar la excursión a Tikal, deben enviar copia del pasaporte al momento de solicitar la reserva.</w:t>
      </w:r>
    </w:p>
    <w:p w:rsidR="00000000" w:rsidDel="00000000" w:rsidP="00000000" w:rsidRDefault="00000000" w:rsidRPr="00000000" w14:paraId="00000050">
      <w:pPr>
        <w:numPr>
          <w:ilvl w:val="0"/>
          <w:numId w:val="1"/>
        </w:numPr>
        <w:pBdr>
          <w:top w:space="0" w:sz="0" w:val="nil"/>
          <w:left w:space="0" w:sz="0" w:val="nil"/>
          <w:bottom w:space="0" w:sz="0" w:val="nil"/>
          <w:right w:space="0" w:sz="0" w:val="nil"/>
          <w:between w:space="0" w:sz="0" w:val="nil"/>
        </w:pBdr>
        <w:spacing w:before="22" w:lineRule="auto"/>
        <w:ind w:left="720" w:right="49"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Tours operados en servicio regular-compartido.</w:t>
      </w:r>
    </w:p>
    <w:p w:rsidR="00000000" w:rsidDel="00000000" w:rsidP="00000000" w:rsidRDefault="00000000" w:rsidRPr="00000000" w14:paraId="00000051">
      <w:pPr>
        <w:numPr>
          <w:ilvl w:val="0"/>
          <w:numId w:val="1"/>
        </w:numPr>
        <w:pBdr>
          <w:top w:space="0" w:sz="0" w:val="nil"/>
          <w:left w:space="0" w:sz="0" w:val="nil"/>
          <w:bottom w:space="0" w:sz="0" w:val="nil"/>
          <w:right w:space="0" w:sz="0" w:val="nil"/>
          <w:between w:space="0" w:sz="0" w:val="nil"/>
        </w:pBdr>
        <w:spacing w:before="22" w:lineRule="auto"/>
        <w:ind w:left="720" w:right="49"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Precio y disponibilidad sujeto cambio sin previo aviso</w:t>
      </w:r>
    </w:p>
    <w:p w:rsidR="00000000" w:rsidDel="00000000" w:rsidP="00000000" w:rsidRDefault="00000000" w:rsidRPr="00000000" w14:paraId="00000052">
      <w:pPr>
        <w:numPr>
          <w:ilvl w:val="0"/>
          <w:numId w:val="1"/>
        </w:numPr>
        <w:pBdr>
          <w:top w:space="0" w:sz="0" w:val="nil"/>
          <w:left w:space="0" w:sz="0" w:val="nil"/>
          <w:bottom w:space="0" w:sz="0" w:val="nil"/>
          <w:right w:space="0" w:sz="0" w:val="nil"/>
          <w:between w:space="0" w:sz="0" w:val="nil"/>
        </w:pBdr>
        <w:spacing w:before="22" w:lineRule="auto"/>
        <w:ind w:left="720" w:right="49"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El orden de los servicios podrá ser variado a criterio del operador, para poder garantizar la prestación óptima de los mismos y la completa seguridad de los viajeros.</w:t>
      </w:r>
    </w:p>
    <w:p w:rsidR="00000000" w:rsidDel="00000000" w:rsidP="00000000" w:rsidRDefault="00000000" w:rsidRPr="00000000" w14:paraId="00000053">
      <w:pPr>
        <w:widowControl w:val="1"/>
        <w:numPr>
          <w:ilvl w:val="0"/>
          <w:numId w:val="1"/>
        </w:numPr>
        <w:tabs>
          <w:tab w:val="left" w:leader="none" w:pos="160"/>
        </w:tabs>
        <w:ind w:left="720" w:right="49" w:hanging="360"/>
        <w:jc w:val="both"/>
        <w:rPr>
          <w:color w:val="1f3864"/>
        </w:rPr>
      </w:pPr>
      <w:r w:rsidDel="00000000" w:rsidR="00000000" w:rsidRPr="00000000">
        <w:rPr>
          <w:rFonts w:ascii="Calibri" w:cs="Calibri" w:eastAsia="Calibri" w:hAnsi="Calibri"/>
          <w:color w:val="002060"/>
          <w:rtl w:val="0"/>
        </w:rPr>
        <w:t xml:space="preserve">La asistencia médica está sujeta a un suplemento adicional para personas mayores de 65 años. Para conocer los detalles de los beneficios de tu asistencia, contáctanos o revisa la información en tu voucher. </w:t>
      </w: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CAMBIOS Y/O CANCELACIONES:</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56">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cambios y/o cancelaciones deben hacerse por escrito por correo electrónico, cancelaciones y/o cambios verbales no serán aceptados. En el caso que el pasajero cancele servicios y/o hoteles estando de viaje, es importante que obtenga del operador u hotel un número de cancelación. En todos los casos nos reservamos el derecho de cobrar un cargo por los cambios hechos. </w:t>
      </w:r>
    </w:p>
    <w:p w:rsidR="00000000" w:rsidDel="00000000" w:rsidP="00000000" w:rsidRDefault="00000000" w:rsidRPr="00000000" w14:paraId="00000057">
      <w:pP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58">
      <w:pPr>
        <w:ind w:right="520"/>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PENALIDADES Y GASTOS POR CANCELACIONES:</w:t>
      </w:r>
    </w:p>
    <w:p w:rsidR="00000000" w:rsidDel="00000000" w:rsidP="00000000" w:rsidRDefault="00000000" w:rsidRPr="00000000" w14:paraId="00000059">
      <w:pPr>
        <w:pBdr>
          <w:top w:space="0" w:sz="0" w:val="nil"/>
          <w:left w:space="0" w:sz="0" w:val="nil"/>
          <w:bottom w:space="0" w:sz="0" w:val="nil"/>
          <w:right w:space="0" w:sz="0" w:val="nil"/>
          <w:between w:space="0" w:sz="0" w:val="nil"/>
        </w:pBdr>
        <w:rPr>
          <w:rFonts w:ascii="Calibri" w:cs="Calibri" w:eastAsia="Calibri" w:hAnsi="Calibri"/>
          <w:color w:val="1f3864"/>
          <w:highlight w:val="lightGray"/>
        </w:rPr>
      </w:pPr>
      <w:bookmarkStart w:colFirst="0" w:colLast="0" w:name="_heading=h.gjdgxs" w:id="0"/>
      <w:bookmarkEnd w:id="0"/>
      <w:r w:rsidDel="00000000" w:rsidR="00000000" w:rsidRPr="00000000">
        <w:rPr>
          <w:rFonts w:ascii="Calibri" w:cs="Calibri" w:eastAsia="Calibri" w:hAnsi="Calibri"/>
          <w:color w:val="1f3864"/>
          <w:highlight w:val="lightGray"/>
          <w:rtl w:val="0"/>
        </w:rPr>
        <w:t xml:space="preserve">Cancelación con gastos al 100% y/o no show</w:t>
      </w:r>
    </w:p>
    <w:p w:rsidR="00000000" w:rsidDel="00000000" w:rsidP="00000000" w:rsidRDefault="00000000" w:rsidRPr="00000000" w14:paraId="0000005A">
      <w:pP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5B">
      <w:pPr>
        <w:ind w:right="520"/>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w:t>
      </w:r>
    </w:p>
    <w:p w:rsidR="00000000" w:rsidDel="00000000" w:rsidP="00000000" w:rsidRDefault="00000000" w:rsidRPr="00000000" w14:paraId="0000005C">
      <w:pPr>
        <w:ind w:right="52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No tendrá derecho a devolución. Cambios hechos fuera del tiempo están sujetos a cargos.</w:t>
      </w:r>
    </w:p>
    <w:p w:rsidR="00000000" w:rsidDel="00000000" w:rsidP="00000000" w:rsidRDefault="00000000" w:rsidRPr="00000000" w14:paraId="0000005D">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5E">
      <w:pPr>
        <w:rPr>
          <w:rFonts w:ascii="Calibri" w:cs="Calibri" w:eastAsia="Calibri" w:hAnsi="Calibri"/>
          <w:b w:val="1"/>
          <w:bCs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5F">
      <w:pPr>
        <w:ind w:right="520"/>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RECOMENDACIONES:</w:t>
      </w:r>
    </w:p>
    <w:p w:rsidR="00000000" w:rsidDel="00000000" w:rsidP="00000000" w:rsidRDefault="00000000" w:rsidRPr="00000000" w14:paraId="00000060">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moneda de Guatemala es el quetzal y actualmente su equivalencia es 1 euro=8,67 quetzales. </w:t>
      </w:r>
    </w:p>
    <w:p w:rsidR="00000000" w:rsidDel="00000000" w:rsidP="00000000" w:rsidRDefault="00000000" w:rsidRPr="00000000" w14:paraId="00000061">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Además de las tarjetas, en un viaje a Guatemala también es necesario llevar efectivo para hacer pagos en lugares en los que no las acepten.</w:t>
      </w:r>
    </w:p>
    <w:p w:rsidR="00000000" w:rsidDel="00000000" w:rsidP="00000000" w:rsidRDefault="00000000" w:rsidRPr="00000000" w14:paraId="00000062">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Entre las compañías de autobuses más recomendadas, están Maya de Oro o Hedman Alas, que se encuentran entre las más seguras.</w:t>
      </w:r>
    </w:p>
    <w:p w:rsidR="00000000" w:rsidDel="00000000" w:rsidP="00000000" w:rsidRDefault="00000000" w:rsidRPr="00000000" w14:paraId="00000063">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voltaje es de 120V, frecuencia 60Hz y las clavijas de los enchufes son tipo A/B/G/I.</w:t>
      </w:r>
    </w:p>
    <w:p w:rsidR="00000000" w:rsidDel="00000000" w:rsidP="00000000" w:rsidRDefault="00000000" w:rsidRPr="00000000" w14:paraId="00000064">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https://inguat.gob.gt/index.php</w:t>
      </w:r>
    </w:p>
    <w:p w:rsidR="00000000" w:rsidDel="00000000" w:rsidP="00000000" w:rsidRDefault="00000000" w:rsidRPr="00000000" w14:paraId="00000065">
      <w:pP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66">
      <w:pPr>
        <w:widowControl w:val="1"/>
        <w:spacing w:after="160" w:line="259" w:lineRule="auto"/>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REQUISITOS:</w:t>
      </w:r>
    </w:p>
    <w:p w:rsidR="00000000" w:rsidDel="00000000" w:rsidP="00000000" w:rsidRDefault="00000000" w:rsidRPr="00000000" w14:paraId="00000067">
      <w:pPr>
        <w:numPr>
          <w:ilvl w:val="0"/>
          <w:numId w:val="2"/>
        </w:numPr>
        <w:spacing w:before="22" w:lineRule="auto"/>
        <w:ind w:left="720" w:right="520" w:hanging="360"/>
        <w:jc w:val="both"/>
        <w:rPr>
          <w:rFonts w:ascii="Noto Sans Symbols" w:cs="Noto Sans Symbols" w:eastAsia="Noto Sans Symbols" w:hAnsi="Noto Sans Symbols"/>
          <w:color w:val="1f3864"/>
        </w:rPr>
      </w:pPr>
      <w:r w:rsidDel="00000000" w:rsidR="00000000" w:rsidRPr="00000000">
        <w:rPr>
          <w:rFonts w:ascii="Calibri" w:cs="Calibri" w:eastAsia="Calibri" w:hAnsi="Calibri"/>
          <w:color w:val="1f3864"/>
          <w:rtl w:val="0"/>
        </w:rPr>
        <w:t xml:space="preserve">Pasaporte con vigencia de mínimo 6 meses a partir de la fecha de viaje.</w:t>
      </w:r>
      <w:r w:rsidDel="00000000" w:rsidR="00000000" w:rsidRPr="00000000">
        <w:rPr>
          <w:rtl w:val="0"/>
        </w:rPr>
      </w:r>
    </w:p>
    <w:p w:rsidR="00000000" w:rsidDel="00000000" w:rsidP="00000000" w:rsidRDefault="00000000" w:rsidRPr="00000000" w14:paraId="00000068">
      <w:pPr>
        <w:numPr>
          <w:ilvl w:val="0"/>
          <w:numId w:val="2"/>
        </w:numPr>
        <w:spacing w:before="22" w:lineRule="auto"/>
        <w:ind w:left="720" w:right="520" w:hanging="360"/>
        <w:jc w:val="both"/>
        <w:rPr>
          <w:rFonts w:ascii="Noto Sans Symbols" w:cs="Noto Sans Symbols" w:eastAsia="Noto Sans Symbols" w:hAnsi="Noto Sans Symbols"/>
          <w:color w:val="1f3864"/>
        </w:rPr>
      </w:pPr>
      <w:r w:rsidDel="00000000" w:rsidR="00000000" w:rsidRPr="00000000">
        <w:rPr>
          <w:rFonts w:ascii="Calibri" w:cs="Calibri" w:eastAsia="Calibri" w:hAnsi="Calibri"/>
          <w:color w:val="1f3864"/>
          <w:rtl w:val="0"/>
        </w:rPr>
        <w:t xml:space="preserve">Tiquete aéreo ida y regreso.</w:t>
      </w:r>
      <w:r w:rsidDel="00000000" w:rsidR="00000000" w:rsidRPr="00000000">
        <w:rPr>
          <w:rtl w:val="0"/>
        </w:rPr>
      </w:r>
    </w:p>
    <w:p w:rsidR="00000000" w:rsidDel="00000000" w:rsidP="00000000" w:rsidRDefault="00000000" w:rsidRPr="00000000" w14:paraId="00000069">
      <w:pPr>
        <w:numPr>
          <w:ilvl w:val="0"/>
          <w:numId w:val="2"/>
        </w:numPr>
        <w:spacing w:before="22" w:lineRule="auto"/>
        <w:ind w:left="720" w:right="520" w:hanging="360"/>
        <w:jc w:val="both"/>
        <w:rPr>
          <w:rFonts w:ascii="Noto Sans Symbols" w:cs="Noto Sans Symbols" w:eastAsia="Noto Sans Symbols" w:hAnsi="Noto Sans Symbols"/>
          <w:color w:val="1f3864"/>
        </w:rPr>
      </w:pPr>
      <w:r w:rsidDel="00000000" w:rsidR="00000000" w:rsidRPr="00000000">
        <w:rPr>
          <w:rFonts w:ascii="Calibri" w:cs="Calibri" w:eastAsia="Calibri" w:hAnsi="Calibri"/>
          <w:color w:val="1f3864"/>
          <w:rtl w:val="0"/>
        </w:rPr>
        <w:t xml:space="preserve">Voucher de alojamiento y demostrar solvencia económica.</w:t>
      </w:r>
      <w:r w:rsidDel="00000000" w:rsidR="00000000" w:rsidRPr="00000000">
        <w:rPr>
          <w:rtl w:val="0"/>
        </w:rPr>
      </w:r>
    </w:p>
    <w:p w:rsidR="00000000" w:rsidDel="00000000" w:rsidP="00000000" w:rsidRDefault="00000000" w:rsidRPr="00000000" w14:paraId="0000006A">
      <w:pPr>
        <w:numPr>
          <w:ilvl w:val="0"/>
          <w:numId w:val="2"/>
        </w:numPr>
        <w:spacing w:before="22" w:lineRule="auto"/>
        <w:ind w:left="720" w:right="520" w:hanging="360"/>
        <w:jc w:val="both"/>
        <w:rPr>
          <w:rFonts w:ascii="Noto Sans Symbols" w:cs="Noto Sans Symbols" w:eastAsia="Noto Sans Symbols" w:hAnsi="Noto Sans Symbols"/>
          <w:color w:val="1f3864"/>
        </w:rPr>
      </w:pPr>
      <w:r w:rsidDel="00000000" w:rsidR="00000000" w:rsidRPr="00000000">
        <w:rPr>
          <w:rFonts w:ascii="Calibri" w:cs="Calibri" w:eastAsia="Calibri" w:hAnsi="Calibri"/>
          <w:color w:val="1f3864"/>
          <w:rtl w:val="0"/>
        </w:rPr>
        <w:t xml:space="preserve">Vacuna contra la Malaria recomendable.</w:t>
      </w:r>
      <w:r w:rsidDel="00000000" w:rsidR="00000000" w:rsidRPr="00000000">
        <w:rPr>
          <w:rtl w:val="0"/>
        </w:rPr>
      </w:r>
    </w:p>
    <w:p w:rsidR="00000000" w:rsidDel="00000000" w:rsidP="00000000" w:rsidRDefault="00000000" w:rsidRPr="00000000" w14:paraId="0000006B">
      <w:pPr>
        <w:numPr>
          <w:ilvl w:val="0"/>
          <w:numId w:val="2"/>
        </w:numPr>
        <w:spacing w:before="22"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información debe ser confirmada permanentemente, debido a que las embajadas y consulados se reservan el derecho de modificar sin previo aviso la documentación y requisitos establecidos. </w:t>
      </w:r>
      <w:hyperlink r:id="rId8">
        <w:r w:rsidDel="00000000" w:rsidR="00000000" w:rsidRPr="00000000">
          <w:rPr>
            <w:rFonts w:ascii="Calibri" w:cs="Calibri" w:eastAsia="Calibri" w:hAnsi="Calibri"/>
            <w:color w:val="1155cc"/>
            <w:u w:val="single"/>
            <w:rtl w:val="0"/>
          </w:rPr>
          <w:t xml:space="preserve">https://apply.joinsherpa.com/travel-restrictions/GTM?affiliateId=sherpa&amp;language=es-XL&amp;originCountry=COL</w:t>
        </w:r>
      </w:hyperlink>
      <w:r w:rsidDel="00000000" w:rsidR="00000000" w:rsidRPr="00000000">
        <w:rPr>
          <w:rtl w:val="0"/>
        </w:rPr>
      </w:r>
    </w:p>
    <w:p w:rsidR="00000000" w:rsidDel="00000000" w:rsidP="00000000" w:rsidRDefault="00000000" w:rsidRPr="00000000" w14:paraId="0000006C">
      <w:pPr>
        <w:ind w:right="520"/>
        <w:jc w:val="both"/>
        <w:rPr>
          <w:rFonts w:ascii="Calibri" w:cs="Calibri" w:eastAsia="Calibri" w:hAnsi="Calibri"/>
          <w:b w:val="1"/>
          <w:bCs w:val="1"/>
          <w:color w:val="1f3864"/>
          <w:sz w:val="21"/>
          <w:szCs w:val="21"/>
        </w:rPr>
      </w:pPr>
      <w:r w:rsidDel="00000000" w:rsidR="00000000" w:rsidRPr="00000000">
        <w:rPr>
          <w:rtl w:val="0"/>
        </w:rPr>
      </w:r>
    </w:p>
    <w:p w:rsidR="00000000" w:rsidDel="00000000" w:rsidP="00000000" w:rsidRDefault="00000000" w:rsidRPr="00000000" w14:paraId="0000006D">
      <w:pPr>
        <w:ind w:right="520"/>
        <w:rPr>
          <w:rFonts w:ascii="Calibri" w:cs="Calibri" w:eastAsia="Calibri" w:hAnsi="Calibri"/>
          <w:color w:val="1f3864"/>
        </w:rPr>
      </w:pPr>
      <w:r w:rsidDel="00000000" w:rsidR="00000000" w:rsidRPr="00000000">
        <w:rPr>
          <w:rFonts w:ascii="Calibri" w:cs="Calibri" w:eastAsia="Calibri" w:hAnsi="Calibri"/>
          <w:b w:val="1"/>
          <w:bCs w:val="1"/>
          <w:color w:val="1f3864"/>
          <w:sz w:val="21"/>
          <w:szCs w:val="21"/>
          <w:rtl w:val="0"/>
        </w:rPr>
        <w:t xml:space="preserve">CLÁUSULA DE RESPONSABILIDAD: </w:t>
      </w:r>
      <w:hyperlink r:id="rId9">
        <w:r w:rsidDel="00000000" w:rsidR="00000000" w:rsidRPr="00000000">
          <w:rPr>
            <w:rFonts w:ascii="Calibri" w:cs="Calibri" w:eastAsia="Calibri" w:hAnsi="Calibri"/>
            <w:color w:val="1155cc"/>
            <w:sz w:val="21"/>
            <w:szCs w:val="21"/>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6E">
      <w:pP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6F">
      <w:pPr>
        <w:ind w:right="520"/>
        <w:jc w:val="both"/>
        <w:rPr>
          <w:sz w:val="20"/>
          <w:szCs w:val="20"/>
        </w:rPr>
      </w:pPr>
      <w:r w:rsidDel="00000000" w:rsidR="00000000" w:rsidRPr="00000000">
        <w:rPr>
          <w:rFonts w:ascii="Calibri" w:cs="Calibri" w:eastAsia="Calibri" w:hAnsi="Calibri"/>
          <w:b w:val="1"/>
          <w:bCs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r w:rsidDel="00000000" w:rsidR="00000000" w:rsidRPr="00000000">
        <w:rPr>
          <w:sz w:val="20"/>
          <w:szCs w:val="20"/>
          <w:rtl w:val="0"/>
        </w:rPr>
        <w:t xml:space="preserve"> </w:t>
      </w:r>
    </w:p>
    <w:sectPr>
      <w:headerReference r:id="rId10" w:type="default"/>
      <w:headerReference r:id="rId11" w:type="first"/>
      <w:headerReference r:id="rId12" w:type="even"/>
      <w:footerReference r:id="rId13" w:type="default"/>
      <w:footerReference r:id="rId14" w:type="first"/>
      <w:footerReference r:id="rId15" w:type="even"/>
      <w:pgSz w:h="15840" w:w="12240" w:orient="portrait"/>
      <w:pgMar w:bottom="1417" w:top="1417" w:left="1701" w:right="1701" w:header="709" w:footer="187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Noto Sans Symbols">
    <w:embedRegular w:fontKey="{00000000-0000-0000-0000-000000000000}" r:id="rId1" w:subsetted="0"/>
    <w:embedBold w:fontKey="{00000000-0000-0000-0000-000000000000}" r:id="rId2" w:subsetted="0"/>
  </w:font>
  <w:font w:name="Carli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3">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4">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-1080134</wp:posOffset>
          </wp:positionH>
          <wp:positionV relativeFrom="paragraph">
            <wp:posOffset>233045</wp:posOffset>
          </wp:positionV>
          <wp:extent cx="7786734" cy="1123950"/>
          <wp:effectExtent b="0" l="0" r="0" t="0"/>
          <wp:wrapNone/>
          <wp:docPr id="214519686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86734" cy="1123950"/>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5">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0">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1">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t xml:space="preserve"> </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-1289684</wp:posOffset>
          </wp:positionH>
          <wp:positionV relativeFrom="paragraph">
            <wp:posOffset>-212724</wp:posOffset>
          </wp:positionV>
          <wp:extent cx="2276475" cy="1348105"/>
          <wp:effectExtent b="0" l="0" r="0" t="0"/>
          <wp:wrapNone/>
          <wp:docPr id="2145196870" name="image4.png"/>
          <a:graphic>
            <a:graphicData uri="http://schemas.openxmlformats.org/drawingml/2006/picture">
              <pic:pic>
                <pic:nvPicPr>
                  <pic:cNvPr id="0" name="image4.png"/>
                  <pic:cNvPicPr preferRelativeResize="0"/>
                </pic:nvPicPr>
                <pic:blipFill>
                  <a:blip r:embed="rId1"/>
                  <a:srcRect b="0" l="0" r="-28" t="11835"/>
                  <a:stretch>
                    <a:fillRect/>
                  </a:stretch>
                </pic:blipFill>
                <pic:spPr>
                  <a:xfrm>
                    <a:off x="0" y="0"/>
                    <a:ext cx="2276475" cy="1348105"/>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-556259</wp:posOffset>
          </wp:positionH>
          <wp:positionV relativeFrom="paragraph">
            <wp:posOffset>3740785</wp:posOffset>
          </wp:positionV>
          <wp:extent cx="368300" cy="2622550"/>
          <wp:effectExtent b="0" l="0" r="0" t="0"/>
          <wp:wrapNone/>
          <wp:docPr id="2145196871"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368300" cy="26225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-1203958</wp:posOffset>
          </wp:positionH>
          <wp:positionV relativeFrom="paragraph">
            <wp:posOffset>-450213</wp:posOffset>
          </wp:positionV>
          <wp:extent cx="8016875" cy="955040"/>
          <wp:effectExtent b="0" l="0" r="0" t="0"/>
          <wp:wrapSquare wrapText="bothSides" distB="0" distT="0" distL="114300" distR="114300"/>
          <wp:docPr id="2145196868" name="image3.png"/>
          <a:graphic>
            <a:graphicData uri="http://schemas.openxmlformats.org/drawingml/2006/picture">
              <pic:pic>
                <pic:nvPicPr>
                  <pic:cNvPr id="0" name="image3.png"/>
                  <pic:cNvPicPr preferRelativeResize="0"/>
                </pic:nvPicPr>
                <pic:blipFill>
                  <a:blip r:embed="rId3"/>
                  <a:srcRect b="0" l="0" r="0" t="0"/>
                  <a:stretch>
                    <a:fillRect/>
                  </a:stretch>
                </pic:blipFill>
                <pic:spPr>
                  <a:xfrm>
                    <a:off x="0" y="0"/>
                    <a:ext cx="8016875" cy="955040"/>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2">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ind w:left="1302"/>
    </w:pPr>
    <w:rPr>
      <w:b w:val="1"/>
      <w:bCs w:val="1"/>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2E3F58"/>
    <w:pPr>
      <w:tabs>
        <w:tab w:val="center" w:pos="4419"/>
        <w:tab w:val="right" w:pos="8838"/>
      </w:tabs>
    </w:pPr>
  </w:style>
  <w:style w:type="character" w:styleId="EncabezadoCar" w:customStyle="1">
    <w:name w:val="Encabezado Car"/>
    <w:basedOn w:val="Fuentedeprrafopredeter"/>
    <w:link w:val="Encabezado"/>
    <w:uiPriority w:val="99"/>
    <w:rsid w:val="002E3F58"/>
    <w:rPr>
      <w:rFonts w:ascii="Carlito" w:cs="Carlito" w:eastAsia="Carlito" w:hAnsi="Carlito"/>
      <w:lang w:val="es-ES"/>
    </w:rPr>
  </w:style>
  <w:style w:type="paragraph" w:styleId="Piedepgina">
    <w:name w:val="footer"/>
    <w:basedOn w:val="Normal"/>
    <w:link w:val="PiedepginaCar"/>
    <w:uiPriority w:val="99"/>
    <w:unhideWhenUsed w:val="1"/>
    <w:rsid w:val="002E3F58"/>
    <w:pPr>
      <w:tabs>
        <w:tab w:val="center" w:pos="4419"/>
        <w:tab w:val="right" w:pos="8838"/>
      </w:tabs>
    </w:pPr>
  </w:style>
  <w:style w:type="character" w:styleId="PiedepginaCar" w:customStyle="1">
    <w:name w:val="Pie de página Car"/>
    <w:basedOn w:val="Fuentedeprrafopredeter"/>
    <w:link w:val="Piedepgina"/>
    <w:uiPriority w:val="99"/>
    <w:rsid w:val="002E3F58"/>
    <w:rPr>
      <w:rFonts w:ascii="Carlito" w:cs="Carlito" w:eastAsia="Carlito" w:hAnsi="Carlito"/>
      <w:lang w:val="es-ES"/>
    </w:rPr>
  </w:style>
  <w:style w:type="character" w:styleId="Ttulo1Car" w:customStyle="1">
    <w:name w:val="Título 1 Car"/>
    <w:basedOn w:val="Fuentedeprrafopredeter"/>
    <w:link w:val="Ttulo1"/>
    <w:uiPriority w:val="9"/>
    <w:rsid w:val="00E65AEE"/>
    <w:rPr>
      <w:rFonts w:ascii="Carlito" w:cs="Carlito" w:eastAsia="Carlito" w:hAnsi="Carlito"/>
      <w:b w:val="1"/>
      <w:bCs w:val="1"/>
      <w:lang w:val="es-ES"/>
    </w:rPr>
  </w:style>
  <w:style w:type="paragraph" w:styleId="Textoindependiente">
    <w:name w:val="Body Text"/>
    <w:basedOn w:val="Normal"/>
    <w:link w:val="TextoindependienteCar"/>
    <w:uiPriority w:val="1"/>
    <w:qFormat w:val="1"/>
    <w:rsid w:val="00E65AEE"/>
  </w:style>
  <w:style w:type="character" w:styleId="TextoindependienteCar" w:customStyle="1">
    <w:name w:val="Texto independiente Car"/>
    <w:basedOn w:val="Fuentedeprrafopredeter"/>
    <w:link w:val="Textoindependiente"/>
    <w:uiPriority w:val="1"/>
    <w:rsid w:val="00E65AEE"/>
    <w:rPr>
      <w:rFonts w:ascii="Carlito" w:cs="Carlito" w:eastAsia="Carlito" w:hAnsi="Carlito"/>
      <w:lang w:val="es-ES"/>
    </w:rPr>
  </w:style>
  <w:style w:type="paragraph" w:styleId="Prrafodelista">
    <w:name w:val="List Paragraph"/>
    <w:basedOn w:val="Normal"/>
    <w:uiPriority w:val="34"/>
    <w:qFormat w:val="1"/>
    <w:rsid w:val="00E65AEE"/>
    <w:pPr>
      <w:spacing w:before="22"/>
      <w:ind w:left="2022" w:hanging="360"/>
    </w:pPr>
  </w:style>
  <w:style w:type="paragraph" w:styleId="TableParagraph" w:customStyle="1">
    <w:name w:val="Table Paragraph"/>
    <w:basedOn w:val="Normal"/>
    <w:uiPriority w:val="1"/>
    <w:qFormat w:val="1"/>
    <w:rsid w:val="00E65AEE"/>
  </w:style>
  <w:style w:type="paragraph" w:styleId="Default" w:customStyle="1">
    <w:name w:val="Default"/>
    <w:rsid w:val="00E65AEE"/>
    <w:pPr>
      <w:autoSpaceDE w:val="0"/>
      <w:autoSpaceDN w:val="0"/>
      <w:adjustRightInd w:val="0"/>
    </w:pPr>
    <w:rPr>
      <w:rFonts w:ascii="Calibri" w:cs="Calibri" w:hAnsi="Calibri"/>
      <w:color w:val="000000"/>
      <w:sz w:val="24"/>
      <w:szCs w:val="24"/>
    </w:rPr>
  </w:style>
  <w:style w:type="table" w:styleId="TableNormal1" w:customStyle="1">
    <w:name w:val="Table Normal1"/>
    <w:uiPriority w:val="2"/>
    <w:semiHidden w:val="1"/>
    <w:unhideWhenUsed w:val="1"/>
    <w:qFormat w:val="1"/>
    <w:rsid w:val="009E7667"/>
    <w:pPr>
      <w:autoSpaceDE w:val="0"/>
      <w:autoSpaceDN w:val="0"/>
    </w:pPr>
    <w:rPr>
      <w:lang w:val="en-US"/>
    </w:rPr>
    <w:tblPr>
      <w:tblInd w:w="0.0" w:type="dxa"/>
      <w:tblCellMar>
        <w:top w:w="0.0" w:type="dxa"/>
        <w:left w:w="0.0" w:type="dxa"/>
        <w:bottom w:w="0.0" w:type="dxa"/>
        <w:right w:w="0.0" w:type="dxa"/>
      </w:tblCellMar>
    </w:tblPr>
  </w:style>
  <w:style w:type="paragraph" w:styleId="textoiberia" w:customStyle="1">
    <w:name w:val="texto iberia"/>
    <w:basedOn w:val="Normal"/>
    <w:uiPriority w:val="99"/>
    <w:rsid w:val="00E76147"/>
    <w:pPr>
      <w:adjustRightInd w:val="0"/>
      <w:spacing w:line="200" w:lineRule="atLeast"/>
      <w:jc w:val="both"/>
      <w:textAlignment w:val="center"/>
    </w:pPr>
    <w:rPr>
      <w:rFonts w:ascii="MuseoSans-100" w:cs="MuseoSans-100" w:hAnsi="MuseoSans-100" w:eastAsiaTheme="minorEastAsia"/>
      <w:color w:val="7b7b7a"/>
      <w:sz w:val="15"/>
      <w:szCs w:val="15"/>
      <w:lang w:eastAsia="ja-JP" w:val="es-ES_tradnl"/>
    </w:rPr>
  </w:style>
  <w:style w:type="character" w:styleId="Hipervnculo">
    <w:name w:val="Hyperlink"/>
    <w:basedOn w:val="Fuentedeprrafopredeter"/>
    <w:uiPriority w:val="99"/>
    <w:semiHidden w:val="1"/>
    <w:unhideWhenUsed w:val="1"/>
    <w:rsid w:val="00676D60"/>
    <w:rPr>
      <w:color w:val="0563c1"/>
      <w:u w:val="single"/>
    </w:rPr>
  </w:style>
  <w:style w:type="character" w:styleId="Fuerte">
    <w:name w:val="Strong"/>
    <w:basedOn w:val="Fuentedeprrafopredeter"/>
    <w:uiPriority w:val="22"/>
    <w:qFormat w:val="1"/>
    <w:rsid w:val="00633397"/>
    <w:rPr>
      <w:b w:val="1"/>
      <w:bCs w:val="1"/>
    </w:rPr>
  </w:style>
  <w:style w:type="character" w:styleId="Ttulo2Car" w:customStyle="1">
    <w:name w:val="Título 2 Car"/>
    <w:basedOn w:val="Fuentedeprrafopredeter"/>
    <w:link w:val="Ttulo2"/>
    <w:uiPriority w:val="9"/>
    <w:semiHidden w:val="1"/>
    <w:rsid w:val="00633397"/>
    <w:rPr>
      <w:rFonts w:asciiTheme="majorHAnsi" w:cstheme="majorBidi" w:eastAsiaTheme="majorEastAsia" w:hAnsiTheme="majorHAnsi"/>
      <w:color w:val="2f5496" w:themeColor="accent1" w:themeShade="0000BF"/>
      <w:sz w:val="26"/>
      <w:szCs w:val="26"/>
      <w:lang w:val="es-ES"/>
    </w:rPr>
  </w:style>
  <w:style w:type="table" w:styleId="Tablaconcuadrcula">
    <w:name w:val="Table Grid"/>
    <w:basedOn w:val="Tablanormal"/>
    <w:uiPriority w:val="39"/>
    <w:rsid w:val="001D128A"/>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a" w:customStyle="1">
    <w:basedOn w:val="TableNormal0"/>
    <w:tblPr>
      <w:tblStyleRowBandSize w:val="1"/>
      <w:tblStyleColBandSize w:val="1"/>
      <w:tblCellMar>
        <w:left w:w="70.0" w:type="dxa"/>
        <w:right w:w="70.0" w:type="dxa"/>
      </w:tblCellMar>
    </w:tblPr>
  </w:style>
  <w:style w:type="table" w:styleId="a0" w:customStyle="1">
    <w:basedOn w:val="TableNormal0"/>
    <w:tblPr>
      <w:tblStyleRowBandSize w:val="1"/>
      <w:tblStyleColBandSize w:val="1"/>
      <w:tblCellMar>
        <w:left w:w="70.0" w:type="dxa"/>
        <w:right w:w="70.0" w:type="dxa"/>
      </w:tblCellMar>
    </w:tblPr>
  </w:style>
  <w:style w:type="table" w:styleId="a1" w:customStyle="1">
    <w:basedOn w:val="TableNormal0"/>
    <w:tblPr>
      <w:tblStyleRowBandSize w:val="1"/>
      <w:tblStyleColBandSize w:val="1"/>
      <w:tblCellMar>
        <w:left w:w="70.0" w:type="dxa"/>
        <w:right w:w="7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3.xml"/><Relationship Id="rId10" Type="http://schemas.openxmlformats.org/officeDocument/2006/relationships/header" Target="header2.xml"/><Relationship Id="rId13" Type="http://schemas.openxmlformats.org/officeDocument/2006/relationships/footer" Target="foot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tropitours.co/es/clausula-de-responsabilidad" TargetMode="External"/><Relationship Id="rId15" Type="http://schemas.openxmlformats.org/officeDocument/2006/relationships/footer" Target="footer1.xml"/><Relationship Id="rId14" Type="http://schemas.openxmlformats.org/officeDocument/2006/relationships/footer" Target="foot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jpg"/><Relationship Id="rId8" Type="http://schemas.openxmlformats.org/officeDocument/2006/relationships/hyperlink" Target="https://apply.joinsherpa.com/travel-restrictions/GTM?affiliateId=sherpa&amp;language=es-XL&amp;originCountry=CO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rlito-regular.ttf"/><Relationship Id="rId4" Type="http://schemas.openxmlformats.org/officeDocument/2006/relationships/font" Target="fonts/Carlito-bold.ttf"/><Relationship Id="rId5" Type="http://schemas.openxmlformats.org/officeDocument/2006/relationships/font" Target="fonts/Carlito-italic.ttf"/><Relationship Id="rId6" Type="http://schemas.openxmlformats.org/officeDocument/2006/relationships/font" Target="fonts/Carlito-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2.png"/><Relationship Id="rId3"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g2iakso7IGBn+rrw+TMTO0nGJQ==">CgMxLjAyCGguZ2pkZ3hzOAByITFqTDVYa0JfelZCSU8xVVlBWXBtQklKR3ZFNmdFM2FxeA==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2024-09-10T21:54:00Z</dcterms:created>
  <dc:creator>Eliana Gomez</dc:creator>
</cp:coreProperties>
</file>