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bCs w:val="1"/>
          <w:color w:val="002060"/>
          <w:sz w:val="48"/>
          <w:szCs w:val="48"/>
        </w:rPr>
      </w:pPr>
      <w:r w:rsidDel="00000000" w:rsidR="00000000" w:rsidRPr="00000000">
        <w:rPr>
          <w:rFonts w:ascii="Calibri" w:cs="Calibri" w:eastAsia="Calibri" w:hAnsi="Calibri"/>
          <w:b w:val="1"/>
          <w:bCs w:val="1"/>
          <w:color w:val="002060"/>
          <w:sz w:val="48"/>
          <w:szCs w:val="48"/>
          <w:rtl w:val="0"/>
        </w:rPr>
        <w:t xml:space="preserve">RAÍCES DEL MEDITERRÁNEO</w:t>
      </w:r>
    </w:p>
    <w:p w:rsidR="00000000" w:rsidDel="00000000" w:rsidP="00000000" w:rsidRDefault="00000000" w:rsidRPr="00000000" w14:paraId="00000002">
      <w:pPr>
        <w:jc w:val="center"/>
        <w:rPr>
          <w:rFonts w:ascii="Calibri" w:cs="Calibri" w:eastAsia="Calibri" w:hAnsi="Calibri"/>
          <w:b w:val="1"/>
          <w:bCs w:val="1"/>
          <w:color w:val="1f3864"/>
          <w:sz w:val="48"/>
          <w:szCs w:val="48"/>
        </w:rPr>
      </w:pPr>
      <w:r w:rsidDel="00000000" w:rsidR="00000000" w:rsidRPr="00000000">
        <w:rPr>
          <w:rFonts w:ascii="Calibri" w:cs="Calibri" w:eastAsia="Calibri" w:hAnsi="Calibri"/>
          <w:b w:val="1"/>
          <w:bCs w:val="1"/>
          <w:color w:val="1f3864"/>
          <w:sz w:val="48"/>
          <w:szCs w:val="48"/>
          <w:rtl w:val="0"/>
        </w:rPr>
        <w:t xml:space="preserve">20N/21D</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(Madrid, Toledo, Salamanca, Oporto, Coímbra, Fátima, Lisboa, Córdoba, </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Sevilla, Costa Del Sol, Tánger, Fez, Marrakech, Casablanca, Y Costa del sol)</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SALIDAS PUNTUALES: </w:t>
      </w:r>
      <w:r w:rsidDel="00000000" w:rsidR="00000000" w:rsidRPr="00000000">
        <w:rPr>
          <w:rFonts w:ascii="Calibri" w:cs="Calibri" w:eastAsia="Calibri" w:hAnsi="Calibri"/>
          <w:color w:val="1f3864"/>
          <w:rtl w:val="0"/>
        </w:rPr>
        <w:t xml:space="preserve">Los Domingos. </w:t>
        <w:tab/>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VIGENCIA DE VIAJE:</w:t>
      </w:r>
      <w:r w:rsidDel="00000000" w:rsidR="00000000" w:rsidRPr="00000000">
        <w:rPr>
          <w:rFonts w:ascii="Calibri" w:cs="Calibri" w:eastAsia="Calibri" w:hAnsi="Calibri"/>
          <w:color w:val="1f3864"/>
          <w:rtl w:val="0"/>
        </w:rPr>
        <w:t xml:space="preserve"> Desde Abril de 2026 a Marzo de 2027. (Ver cuadro de salidas).</w:t>
      </w:r>
    </w:p>
    <w:p w:rsidR="00000000" w:rsidDel="00000000" w:rsidP="00000000" w:rsidRDefault="00000000" w:rsidRPr="00000000" w14:paraId="00000008">
      <w:pPr>
        <w:pBdr>
          <w:top w:space="0" w:sz="0" w:val="nil"/>
          <w:left w:space="0" w:sz="0" w:val="nil"/>
          <w:bottom w:color="000000" w:space="0" w:sz="12" w:val="single"/>
          <w:right w:space="0" w:sz="0" w:val="nil"/>
          <w:between w:space="0" w:sz="0" w:val="nil"/>
        </w:pBdr>
        <w:rPr>
          <w:rFonts w:ascii="Calibri" w:cs="Calibri" w:eastAsia="Calibri" w:hAnsi="Calibri"/>
          <w:color w:val="1f3864"/>
          <w:sz w:val="8"/>
          <w:szCs w:val="8"/>
        </w:rPr>
      </w:pPr>
      <w:r w:rsidDel="00000000" w:rsidR="00000000" w:rsidRPr="00000000">
        <w:rPr>
          <w:rtl w:val="0"/>
        </w:rPr>
      </w:r>
    </w:p>
    <w:p w:rsidR="00000000" w:rsidDel="00000000" w:rsidP="00000000" w:rsidRDefault="00000000" w:rsidRPr="00000000" w14:paraId="00000009">
      <w:pPr>
        <w:jc w:val="center"/>
        <w:rPr>
          <w:b w:val="1"/>
          <w:bCs w:val="1"/>
          <w:color w:val="002060"/>
          <w:sz w:val="14"/>
          <w:szCs w:val="14"/>
        </w:rPr>
      </w:pPr>
      <w:r w:rsidDel="00000000" w:rsidR="00000000" w:rsidRPr="00000000">
        <w:rPr>
          <w:rtl w:val="0"/>
        </w:rPr>
      </w:r>
    </w:p>
    <w:p w:rsidR="00000000" w:rsidDel="00000000" w:rsidP="00000000" w:rsidRDefault="00000000" w:rsidRPr="00000000" w14:paraId="0000000A">
      <w:pPr>
        <w:jc w:val="center"/>
        <w:rPr>
          <w:b w:val="1"/>
          <w:bCs w:val="1"/>
          <w:color w:val="002060"/>
        </w:rPr>
      </w:pPr>
      <w:r w:rsidDel="00000000" w:rsidR="00000000" w:rsidRPr="00000000">
        <w:rPr/>
        <w:drawing>
          <wp:inline distB="0" distT="0" distL="0" distR="0">
            <wp:extent cx="1702879" cy="1160126"/>
            <wp:effectExtent b="0" l="0" r="0" t="0"/>
            <wp:docPr descr="Qué ver en Madrid en 2 días - Itinerario y recomendaciones" id="2037140063" name="image3.jpg"/>
            <a:graphic>
              <a:graphicData uri="http://schemas.openxmlformats.org/drawingml/2006/picture">
                <pic:pic>
                  <pic:nvPicPr>
                    <pic:cNvPr descr="Qué ver en Madrid en 2 días - Itinerario y recomendaciones" id="0" name="image3.jpg"/>
                    <pic:cNvPicPr preferRelativeResize="0"/>
                  </pic:nvPicPr>
                  <pic:blipFill>
                    <a:blip r:embed="rId7"/>
                    <a:srcRect b="0" l="0" r="18354" t="0"/>
                    <a:stretch>
                      <a:fillRect/>
                    </a:stretch>
                  </pic:blipFill>
                  <pic:spPr>
                    <a:xfrm>
                      <a:off x="0" y="0"/>
                      <a:ext cx="1702879" cy="1160126"/>
                    </a:xfrm>
                    <a:prstGeom prst="rect"/>
                    <a:ln/>
                  </pic:spPr>
                </pic:pic>
              </a:graphicData>
            </a:graphic>
          </wp:inline>
        </w:drawing>
      </w:r>
      <w:r w:rsidDel="00000000" w:rsidR="00000000" w:rsidRPr="00000000">
        <w:rPr>
          <w:b w:val="1"/>
          <w:bCs w:val="1"/>
          <w:color w:val="002060"/>
          <w:rtl w:val="0"/>
        </w:rPr>
        <w:t xml:space="preserve">  </w:t>
      </w:r>
      <w:r w:rsidDel="00000000" w:rsidR="00000000" w:rsidRPr="00000000">
        <w:rPr/>
        <w:drawing>
          <wp:inline distB="0" distT="0" distL="0" distR="0">
            <wp:extent cx="1743683" cy="1164232"/>
            <wp:effectExtent b="0" l="0" r="0" t="0"/>
            <wp:docPr descr="Lisboa, Portugal. | Fueradeserie/arquitectura | EXPANSION.com" id="2037140066" name="image7.jpg"/>
            <a:graphic>
              <a:graphicData uri="http://schemas.openxmlformats.org/drawingml/2006/picture">
                <pic:pic>
                  <pic:nvPicPr>
                    <pic:cNvPr descr="Lisboa, Portugal. | Fueradeserie/arquitectura | EXPANSION.com" id="0" name="image7.jpg"/>
                    <pic:cNvPicPr preferRelativeResize="0"/>
                  </pic:nvPicPr>
                  <pic:blipFill>
                    <a:blip r:embed="rId8"/>
                    <a:srcRect b="0" l="0" r="0" t="0"/>
                    <a:stretch>
                      <a:fillRect/>
                    </a:stretch>
                  </pic:blipFill>
                  <pic:spPr>
                    <a:xfrm>
                      <a:off x="0" y="0"/>
                      <a:ext cx="1743683" cy="1164232"/>
                    </a:xfrm>
                    <a:prstGeom prst="rect"/>
                    <a:ln/>
                  </pic:spPr>
                </pic:pic>
              </a:graphicData>
            </a:graphic>
          </wp:inline>
        </w:drawing>
      </w:r>
      <w:r w:rsidDel="00000000" w:rsidR="00000000" w:rsidRPr="00000000">
        <w:rPr>
          <w:b w:val="1"/>
          <w:bCs w:val="1"/>
          <w:color w:val="002060"/>
          <w:rtl w:val="0"/>
        </w:rPr>
        <w:t xml:space="preserve">  </w:t>
      </w:r>
      <w:r w:rsidDel="00000000" w:rsidR="00000000" w:rsidRPr="00000000">
        <w:rPr/>
        <w:drawing>
          <wp:inline distB="0" distT="0" distL="0" distR="0">
            <wp:extent cx="1806776" cy="1176246"/>
            <wp:effectExtent b="0" l="0" r="0" t="0"/>
            <wp:docPr descr="Marrakech" id="2037140065" name="image6.jpg"/>
            <a:graphic>
              <a:graphicData uri="http://schemas.openxmlformats.org/drawingml/2006/picture">
                <pic:pic>
                  <pic:nvPicPr>
                    <pic:cNvPr descr="Marrakech" id="0" name="image6.jpg"/>
                    <pic:cNvPicPr preferRelativeResize="0"/>
                  </pic:nvPicPr>
                  <pic:blipFill>
                    <a:blip r:embed="rId9"/>
                    <a:srcRect b="6430" l="4083" r="0" t="0"/>
                    <a:stretch>
                      <a:fillRect/>
                    </a:stretch>
                  </pic:blipFill>
                  <pic:spPr>
                    <a:xfrm>
                      <a:off x="0" y="0"/>
                      <a:ext cx="1806776" cy="1176246"/>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ITINERARIO</w:t>
      </w:r>
    </w:p>
    <w:p w:rsidR="00000000" w:rsidDel="00000000" w:rsidP="00000000" w:rsidRDefault="00000000" w:rsidRPr="00000000" w14:paraId="0000000C">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1 DÍA (DOM.) MADRID </w:t>
      </w:r>
    </w:p>
    <w:p w:rsidR="00000000" w:rsidDel="00000000" w:rsidP="00000000" w:rsidRDefault="00000000" w:rsidRPr="00000000" w14:paraId="0000000D">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y traslado al hotel. Resto del día libre. Alojamiento en el hotel.</w:t>
      </w:r>
    </w:p>
    <w:p w:rsidR="00000000" w:rsidDel="00000000" w:rsidP="00000000" w:rsidRDefault="00000000" w:rsidRPr="00000000" w14:paraId="0000000E">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F">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2 DÍA (LUN.)  MADRID – TOLEDO – MADRID</w:t>
      </w:r>
    </w:p>
    <w:p w:rsidR="00000000" w:rsidDel="00000000" w:rsidP="00000000" w:rsidRDefault="00000000" w:rsidRPr="00000000" w14:paraId="0000001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Por la mañana, visita panorámica de la ciudad; contemplaremos sus orígenes medievales como la fortaleza árabe recorriendo el Barrio de la Morería, caracterizado por la antigüedad de sus edificios y los sabores de sus mesones; recorreremos el Madrid cortesano de los Austrias, caracterizado por Felipe II y sus edificios renacentistas y barrocos en la Puerta del Sol, Plaza Mayor y Plaza de la Villa; veremos el Madrid de los Borbones y el trazado urbanístico de Carlos III, el Palacio Real, la Fuente de Cibeles, de Neptuno y la Puerta de Alcalá; admiramos las obras del s. XIX como la elegante Plaza de Oriente y el Museo del Prado; conoceremos el Madrid contemporáneo con avenidas como Gran Vía, Paseo de la Castellana, Barrio de Salamanca, Parque del Oeste, zonas comerciales y financieras del Madrid Moderno, y el Estadio Santiago Bernabéu. </w:t>
      </w:r>
    </w:p>
    <w:p w:rsidR="00000000" w:rsidDel="00000000" w:rsidP="00000000" w:rsidRDefault="00000000" w:rsidRPr="00000000" w14:paraId="00000011">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Tiempo libre y presentación, a la hora convenida, en nuestra oficina para salir hacia Toledo. Realizaremos un recorrido a pie por la ciudad histórica de Toledo, Patrimonio Mundial de la Humanidad desde 1986, y una mezcla espectacular de culturas árabe, judía y cristiana. Admiramos el Monasterio de San Juan de los Reyes, edificio patrocinado por la Reina Isabel de Castilla para convertirse en un mausoleo real. Después caminaremos hasta la Sinagoga de Santa Maria la Blanca, hoy en día, un fantástico museo de estilo mudéjar. Continuaremos hacia la Iglesia de Santo Tomé, donde admiramos la mundialmente conocida pintura de El Greco, El Entierro del Conde de Orgaz. Terminaremos frente a la Catedral de Toledo, considerada la más importante de estilo gótico en España. Tiempo libre y regreso a Madrid (final en Plaza de Oriente). Alojamiento en el hotel. (D)</w:t>
      </w:r>
    </w:p>
    <w:p w:rsidR="00000000" w:rsidDel="00000000" w:rsidP="00000000" w:rsidRDefault="00000000" w:rsidRPr="00000000" w14:paraId="00000012">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3 DÍA (MAR.) MADRID – SALAMANCA – OPORTO</w:t>
      </w:r>
    </w:p>
    <w:p w:rsidR="00000000" w:rsidDel="00000000" w:rsidP="00000000" w:rsidRDefault="00000000" w:rsidRPr="00000000" w14:paraId="00000015">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Salida hacia Salamanca. Tiempo libre en esta ciudad universitaria Patrimonio de la Humanidad de gran riqueza arquitectónica y artística y salida hacia la frontera portuguesa hasta llegar a Oporto. Alojamiento. (D)</w:t>
      </w:r>
    </w:p>
    <w:p w:rsidR="00000000" w:rsidDel="00000000" w:rsidP="00000000" w:rsidRDefault="00000000" w:rsidRPr="00000000" w14:paraId="00000016">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7">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4 DÍA (MIE.)  OPORTO</w:t>
      </w:r>
    </w:p>
    <w:p w:rsidR="00000000" w:rsidDel="00000000" w:rsidP="00000000" w:rsidRDefault="00000000" w:rsidRPr="00000000" w14:paraId="00000018">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Visita panorámica de Oporto, considerada Patrimonio de la Humanidad donde contemplaremos la Catedral, el edificio de la Bolsa y la Iglesia de Santa Clara. Después disfrute de una perspectiva diferente de la ciudad a lo largo del río Duero a bordo de un crucero y descubra el patrimonio histórico visitando una conocida Bodega de Vino de Oporto con degustación de vinos incluida. Resto del día libre. Alojamiento. (D)</w:t>
      </w:r>
    </w:p>
    <w:p w:rsidR="00000000" w:rsidDel="00000000" w:rsidP="00000000" w:rsidRDefault="00000000" w:rsidRPr="00000000" w14:paraId="00000019">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A">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5 DÍA (JUE.)  OPORTO – COÍMBRA – FÁTIMA</w:t>
      </w:r>
    </w:p>
    <w:p w:rsidR="00000000" w:rsidDel="00000000" w:rsidP="00000000" w:rsidRDefault="00000000" w:rsidRPr="00000000" w14:paraId="0000001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Salida hacia Coímbra, ciudad sede de una de las universidades más antiguas de Europa y cuna del Fado. Tiempo libre. Continuación a Fátima. Centro de la Fe Cristiana y Santuario de Peregrinación Mundial con su impresionante Basílica y la Cova da Iria, lugar donde apareció la Virgen María. Recomendamos visitar la Capilla de las Apariciones, corazón del santuario, con las tumbas de los tres pastorcillos, Lucía, Francisco y Jacinta. Por la noche la posibilidad de atender la procesión de velas. Alojamiento. (D)</w:t>
      </w:r>
    </w:p>
    <w:p w:rsidR="00000000" w:rsidDel="00000000" w:rsidP="00000000" w:rsidRDefault="00000000" w:rsidRPr="00000000" w14:paraId="0000001C">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D">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6 DÍA (VIE.)  FÁTIMA – BATALHA – NAZARÉ – ALCOBAÇA – LISBOA</w:t>
      </w:r>
    </w:p>
    <w:p w:rsidR="00000000" w:rsidDel="00000000" w:rsidP="00000000" w:rsidRDefault="00000000" w:rsidRPr="00000000" w14:paraId="0000001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Salida hacia el Monasterio de Batalha, obra maestra de estilo gótico y manuelino considerada Patrimonio de la Humanidad. Continuaremos hacia el pintoresco pueblo pesquero de Nazaré. Tiempo libre y continuación a Alcobaça con su iglesia gótica y monasterio cisterciense, cuyos orígenes se remontan al siglo XII, y luego Lisboa. Llegada a la capital portuguesa y alojamiento. (D)</w:t>
      </w:r>
    </w:p>
    <w:p w:rsidR="00000000" w:rsidDel="00000000" w:rsidP="00000000" w:rsidRDefault="00000000" w:rsidRPr="00000000" w14:paraId="0000001F">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0">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7 DÍA (SÁB.)  LISBOA</w:t>
      </w:r>
    </w:p>
    <w:p w:rsidR="00000000" w:rsidDel="00000000" w:rsidP="00000000" w:rsidRDefault="00000000" w:rsidRPr="00000000" w14:paraId="00000021">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Por la mañana visita la ciudad, antiguamente conocida como Olissipo, recorrido a través de sus principales plazas y avenidas, la Torre de Belém, el Monasterio de los Jerónimos (exterior), el Monumento a los Descubridores... Tarde libre para descubrir los nostálgicos rincones de esta ciudad como el Barrio de Alfama o realizar la excursión opcional a Sintra y Cascais (Patrimonio de la Humanidad). Alojamiento en el hotel. (D)</w:t>
      </w:r>
    </w:p>
    <w:p w:rsidR="00000000" w:rsidDel="00000000" w:rsidP="00000000" w:rsidRDefault="00000000" w:rsidRPr="00000000" w14:paraId="00000022">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3">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8 DÍA (DOM.)  LISBOA – MÉRIDA – CÓRDOBA</w:t>
      </w:r>
    </w:p>
    <w:p w:rsidR="00000000" w:rsidDel="00000000" w:rsidP="00000000" w:rsidRDefault="00000000" w:rsidRPr="00000000" w14:paraId="00000024">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Salida hacia Mérida, capital de Extremadura. Declarada Patrimonio de la Humanidad, Mérida destaca por su rico patrimonio histórico, entre el que se cuentan sus bien conservadas ruinas romanas: el teatro, el anfiteatro, el puente romano... Tiempo libre y continuación hacia Córdoba, en el pasado capital del Califato. Alojamiento en el hotel. (D)</w:t>
      </w:r>
    </w:p>
    <w:p w:rsidR="00000000" w:rsidDel="00000000" w:rsidP="00000000" w:rsidRDefault="00000000" w:rsidRPr="00000000" w14:paraId="00000025">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6">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27">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9 DÍA (LUN.) CÓRDOBA – SEVILLA</w:t>
      </w:r>
    </w:p>
    <w:p w:rsidR="00000000" w:rsidDel="00000000" w:rsidP="00000000" w:rsidRDefault="00000000" w:rsidRPr="00000000" w14:paraId="00000028">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Visita de la impresionante Mezquita/Catedral que relajará nuestra mente y ánimo para pasearnos a través de las estrechas calles del Barrio Judío. A continuación, después de un corto recorrido de unas dos horas, llegada a Sevilla. Alojamiento en el hotel. (D)</w:t>
      </w:r>
    </w:p>
    <w:p w:rsidR="00000000" w:rsidDel="00000000" w:rsidP="00000000" w:rsidRDefault="00000000" w:rsidRPr="00000000" w14:paraId="00000029">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A">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10 DÍA (MAR.) SEVILLA</w:t>
      </w:r>
    </w:p>
    <w:p w:rsidR="00000000" w:rsidDel="00000000" w:rsidP="00000000" w:rsidRDefault="00000000" w:rsidRPr="00000000" w14:paraId="0000002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Por la mañana visita monumental y panorámica de la ciudad, incluyendo entrada a la Catedral, la segunda más grande en el mundo católico después de San Pedro en Roma. Recorreremos también el típico Barrio de Santa Cruz, escenario natural de “Carmen” así como lugar donde se desarrolló el mito de “Don Juan”, el Parque de María Luisa y Plaza de España… Tarde libre para descubrir diferentes perspectivas y sabores específicos de esta activa ciudad plena de luz. Alojamiento en el hotel. (D)</w:t>
      </w:r>
    </w:p>
    <w:p w:rsidR="00000000" w:rsidDel="00000000" w:rsidP="00000000" w:rsidRDefault="00000000" w:rsidRPr="00000000" w14:paraId="0000002C">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D">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11 DÍA (MIE.) SEVILLA – RONDA – COSTA DEL SOL</w:t>
      </w:r>
    </w:p>
    <w:p w:rsidR="00000000" w:rsidDel="00000000" w:rsidP="00000000" w:rsidRDefault="00000000" w:rsidRPr="00000000" w14:paraId="0000002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en el hotel salida dirección sur por la ruta de los Pueblos Blancos con dirección a Ronda; tiempo libre para admirar esta ciudad de origen Celta con maravillosas vistas del valle y la montaña. Por la tarde continuamos hacia una de las más modernas e importantes zonas de interés turístico internacional, la Costa del Sol. Alojamiento en el hotel. (D)</w:t>
      </w:r>
    </w:p>
    <w:p w:rsidR="00000000" w:rsidDel="00000000" w:rsidP="00000000" w:rsidRDefault="00000000" w:rsidRPr="00000000" w14:paraId="0000002F">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0">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12 DÍA (JUE.) COSTA DEL SOL</w:t>
      </w:r>
    </w:p>
    <w:p w:rsidR="00000000" w:rsidDel="00000000" w:rsidP="00000000" w:rsidRDefault="00000000" w:rsidRPr="00000000" w14:paraId="00000031">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alojamiento en el hotel. Día a su disposición para disfrutar de las hermosas playas de la Costa del Sol y zonas próximas o realizar opcionalmente alguna de nuestras excursiones. (D)</w:t>
      </w:r>
    </w:p>
    <w:p w:rsidR="00000000" w:rsidDel="00000000" w:rsidP="00000000" w:rsidRDefault="00000000" w:rsidRPr="00000000" w14:paraId="00000032">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3">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13 DÍA (VIE.) COSTA DEL SOL – TARIFA/ALGECIRAS – TÁNGER – FEZ </w:t>
      </w:r>
    </w:p>
    <w:p w:rsidR="00000000" w:rsidDel="00000000" w:rsidP="00000000" w:rsidRDefault="00000000" w:rsidRPr="00000000" w14:paraId="00000034">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Salida a lo largo de la ruta turística de la Costa del Sol y llegada a Algeciras o Tarifa. Embarque en el ferry para una corta e interesante travesía del Estrecho de Gibraltar con destino a África. Llegada a Marruecos, desembarque, formalidades de aduana y continuación en autocar hacia Fez. Cena y alojamiento. (C)</w:t>
      </w:r>
    </w:p>
    <w:p w:rsidR="00000000" w:rsidDel="00000000" w:rsidP="00000000" w:rsidRDefault="00000000" w:rsidRPr="00000000" w14:paraId="00000035">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6">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14 DÍA (SÁB.)  FEZ</w:t>
      </w:r>
    </w:p>
    <w:p w:rsidR="00000000" w:rsidDel="00000000" w:rsidP="00000000" w:rsidRDefault="00000000" w:rsidRPr="00000000" w14:paraId="00000037">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Por la mañana visita de la más antigua y monumental de las Ciudades Imperiales visitando los lugares más interesantes: las 7 puertas del Palacio Real, Barrio Judío o Mellah, puerta de Bab Bou Jeloud y paseo por su grandiosa Medina o ciudad antigua, declarada Patrimonio de la Humanidad. Tarde a disposición. Cena y alojamiento en el hotel. (DC)</w:t>
      </w:r>
    </w:p>
    <w:p w:rsidR="00000000" w:rsidDel="00000000" w:rsidP="00000000" w:rsidRDefault="00000000" w:rsidRPr="00000000" w14:paraId="00000038">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9">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15 Día (Dom.)  FEZ – RABAT – CASABLANCA – MARRAKECH</w:t>
      </w:r>
    </w:p>
    <w:p w:rsidR="00000000" w:rsidDel="00000000" w:rsidP="00000000" w:rsidRDefault="00000000" w:rsidRPr="00000000" w14:paraId="0000003A">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salida temprano en dirección a Rabat, la capital del país. Visita de los lugares más emblemáticos de esta ciudad como son los exteriores del Palacio Real, el Mausoleo de Mohamed V y la torre de Hassan. Continuación hacia Casablanca para visitar los lugares más interesantes, como la Plaza de las Naciones Unidas, el Boulevard de la Corniche y los exteriores de la mezquita de Hassan II. Una vez terminada la visita, almuerzo libre en ruta y continuación hacia Marrakech. Opcionalmente, cena típica Fantasía Chez Ali bajo tiendas kaidales. Alojamiento. (D)</w:t>
      </w:r>
    </w:p>
    <w:p w:rsidR="00000000" w:rsidDel="00000000" w:rsidP="00000000" w:rsidRDefault="00000000" w:rsidRPr="00000000" w14:paraId="0000003B">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3C">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16 DÍA (LUN.)   MARRAKECH – CASABLANCA</w:t>
      </w:r>
    </w:p>
    <w:p w:rsidR="00000000" w:rsidDel="00000000" w:rsidP="00000000" w:rsidRDefault="00000000" w:rsidRPr="00000000" w14:paraId="0000003D">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Por la mañana visita de la ciudad, llamada “Perla del Sur”, que comienza en los grandiosos Jardines de la Menara, que cuentan con un pabellón lateral y con infinidad de olivos. Después, visita exterior del minarete de la Koutoubia, hermana gemela de la Giralda de Sevilla. Una vez dentro de la parte antigua de la ciudad, se realiza la visita al Palacio de la Bahía, propiedad de un noble de la ciudad. Finalmente, llegada a la plaza de Jemaa el-Fna, uno de los lugares más interesantes de Marruecos desde donde se accede a los zocos y la medina. Gremios de artesanos de madera, cerámica, peleteros, especieros serán algunos de los lugares que se visitarán. Almuerzo en el hotel y salida hacia Casablanca. Llegada, cena y alojamiento. (DAC)  </w:t>
      </w:r>
    </w:p>
    <w:p w:rsidR="00000000" w:rsidDel="00000000" w:rsidP="00000000" w:rsidRDefault="00000000" w:rsidRPr="00000000" w14:paraId="0000003E">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F">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17 DÍA (MAR.) CASABLANCA – TÁNGER – TARIFA/ALGECIRAS – COSTA DEL SOL</w:t>
      </w:r>
    </w:p>
    <w:p w:rsidR="00000000" w:rsidDel="00000000" w:rsidP="00000000" w:rsidRDefault="00000000" w:rsidRPr="00000000" w14:paraId="0000004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en el hotel salida hacia Tánger. Trasladado al puerto para embarcar en el ferry, a través del Estrecho de Gibraltar regresó a España. Continuación hacia la Costa del Sol. Alojamiento en el hotel. (D)</w:t>
      </w:r>
    </w:p>
    <w:p w:rsidR="00000000" w:rsidDel="00000000" w:rsidP="00000000" w:rsidRDefault="00000000" w:rsidRPr="00000000" w14:paraId="00000041">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2">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18 DÍA (MIE.) COSTA DEL SOL</w:t>
      </w:r>
    </w:p>
    <w:p w:rsidR="00000000" w:rsidDel="00000000" w:rsidP="00000000" w:rsidRDefault="00000000" w:rsidRPr="00000000" w14:paraId="00000043">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alojamiento en el hotel. Día a su disposición para disfrutar de las hermosas playas de la Costa del Sol y zonas próximas o realizar opcionalmente alguna de nuestras excursiones. (D)</w:t>
      </w:r>
    </w:p>
    <w:p w:rsidR="00000000" w:rsidDel="00000000" w:rsidP="00000000" w:rsidRDefault="00000000" w:rsidRPr="00000000" w14:paraId="00000044">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5">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19 DÍA (JUE.) COSTA DEL SOL – GRANADA</w:t>
      </w:r>
    </w:p>
    <w:p w:rsidR="00000000" w:rsidDel="00000000" w:rsidP="00000000" w:rsidRDefault="00000000" w:rsidRPr="00000000" w14:paraId="00000046">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Salida 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Washington Irving en sus “Cuentos de la Alhambra”. Alojamiento en el hotel.  Por la noche, opcionalmente, espectáculo de Zambra Flamenca. (D)</w:t>
      </w:r>
    </w:p>
    <w:p w:rsidR="00000000" w:rsidDel="00000000" w:rsidP="00000000" w:rsidRDefault="00000000" w:rsidRPr="00000000" w14:paraId="00000047">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8">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20 DÍA (VIE.)  GRANADA – MADRID</w:t>
      </w:r>
    </w:p>
    <w:p w:rsidR="00000000" w:rsidDel="00000000" w:rsidP="00000000" w:rsidRDefault="00000000" w:rsidRPr="00000000" w14:paraId="00000049">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Salida con rumbo norte hacia Madrid. Llegada y alojamiento en Madrid. (D)</w:t>
      </w:r>
    </w:p>
    <w:p w:rsidR="00000000" w:rsidDel="00000000" w:rsidP="00000000" w:rsidRDefault="00000000" w:rsidRPr="00000000" w14:paraId="0000004A">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B">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21 DÍA (SÁB.)  MADRID </w:t>
      </w:r>
    </w:p>
    <w:p w:rsidR="00000000" w:rsidDel="00000000" w:rsidP="00000000" w:rsidRDefault="00000000" w:rsidRPr="00000000" w14:paraId="0000004C">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Traslado al aeropuerto. (D) </w:t>
      </w:r>
    </w:p>
    <w:p w:rsidR="00000000" w:rsidDel="00000000" w:rsidP="00000000" w:rsidRDefault="00000000" w:rsidRPr="00000000" w14:paraId="0000004D">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E">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¡FIN DE NUESTROS SERVICIOS!</w:t>
      </w:r>
    </w:p>
    <w:p w:rsidR="00000000" w:rsidDel="00000000" w:rsidP="00000000" w:rsidRDefault="00000000" w:rsidRPr="00000000" w14:paraId="0000004F">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50">
      <w:pPr>
        <w:jc w:val="center"/>
        <w:rPr>
          <w:rFonts w:ascii="Calibri" w:cs="Calibri" w:eastAsia="Calibri" w:hAnsi="Calibri"/>
          <w:b w:val="1"/>
          <w:bCs w:val="1"/>
          <w:color w:val="1f3864"/>
          <w:sz w:val="18"/>
          <w:szCs w:val="18"/>
        </w:rPr>
      </w:pPr>
      <w:r w:rsidDel="00000000" w:rsidR="00000000" w:rsidRPr="00000000">
        <w:rPr>
          <w:rFonts w:ascii="Calibri" w:cs="Calibri" w:eastAsia="Calibri" w:hAnsi="Calibri"/>
          <w:b w:val="1"/>
          <w:bCs w:val="1"/>
          <w:color w:val="1f3864"/>
          <w:rtl w:val="0"/>
        </w:rPr>
        <w:t xml:space="preserve">TARIFA POR PERSONA EN EUROS</w:t>
        <w:br w:type="textWrapping"/>
      </w:r>
      <w:r w:rsidDel="00000000" w:rsidR="00000000" w:rsidRPr="00000000">
        <w:rPr>
          <w:rtl w:val="0"/>
        </w:rPr>
      </w:r>
    </w:p>
    <w:tbl>
      <w:tblPr>
        <w:tblStyle w:val="Table1"/>
        <w:tblW w:w="9840.0" w:type="dxa"/>
        <w:jc w:val="center"/>
        <w:tblLayout w:type="fixed"/>
        <w:tblLook w:val="0400"/>
      </w:tblPr>
      <w:tblGrid>
        <w:gridCol w:w="3200"/>
        <w:gridCol w:w="1660"/>
        <w:gridCol w:w="1660"/>
        <w:gridCol w:w="1660"/>
        <w:gridCol w:w="1660"/>
        <w:tblGridChange w:id="0">
          <w:tblGrid>
            <w:gridCol w:w="3200"/>
            <w:gridCol w:w="1660"/>
            <w:gridCol w:w="1660"/>
            <w:gridCol w:w="1660"/>
            <w:gridCol w:w="1660"/>
          </w:tblGrid>
        </w:tblGridChange>
      </w:tblGrid>
      <w:tr>
        <w:trPr>
          <w:cantSplit w:val="0"/>
          <w:trHeight w:val="360" w:hRule="atLeast"/>
          <w:tblHeader w:val="0"/>
        </w:trPr>
        <w:tc>
          <w:tcPr>
            <w:vMerge w:val="restart"/>
            <w:tcBorders>
              <w:top w:color="000000" w:space="0" w:sz="8" w:val="single"/>
              <w:left w:color="000000" w:space="0" w:sz="8" w:val="single"/>
              <w:bottom w:color="c5e0b3" w:space="0" w:sz="8" w:val="single"/>
              <w:right w:color="000000" w:space="0" w:sz="8" w:val="single"/>
            </w:tcBorders>
            <w:shd w:fill="203764" w:val="clear"/>
            <w:vAlign w:val="center"/>
          </w:tcPr>
          <w:p w:rsidR="00000000" w:rsidDel="00000000" w:rsidP="00000000" w:rsidRDefault="00000000" w:rsidRPr="00000000" w14:paraId="00000051">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PRECIO POR PERSONA EN EUROS</w:t>
            </w:r>
          </w:p>
        </w:tc>
        <w:tc>
          <w:tcPr>
            <w:gridSpan w:val="2"/>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2">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SUPERIOR “T"</w:t>
            </w:r>
          </w:p>
        </w:tc>
        <w:tc>
          <w:tcPr>
            <w:gridSpan w:val="2"/>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4">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SUPERIOR PLUS "A"</w:t>
            </w:r>
          </w:p>
        </w:tc>
      </w:tr>
      <w:tr>
        <w:trPr>
          <w:cantSplit w:val="0"/>
          <w:trHeight w:val="590" w:hRule="atLeast"/>
          <w:tblHeader w:val="0"/>
        </w:trPr>
        <w:tc>
          <w:tcPr>
            <w:vMerge w:val="continue"/>
            <w:tcBorders>
              <w:top w:color="000000" w:space="0" w:sz="8" w:val="single"/>
              <w:left w:color="000000" w:space="0" w:sz="8" w:val="single"/>
              <w:bottom w:color="c5e0b3" w:space="0" w:sz="8" w:val="single"/>
              <w:right w:color="000000" w:space="0" w:sz="8" w:val="single"/>
            </w:tcBorders>
            <w:shd w:fill="203764" w:val="clear"/>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ffffff"/>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57">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Habitación doble</w:t>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58">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Habitación single</w:t>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59">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Habitación doble</w:t>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5A">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Habitación single</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B">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Abril 2026 - Octubre 2026</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4.055 €</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5.939 €</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4.675 €</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6.795 €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0">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Noviembre 2026 &amp; Marzo 2027</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3.879 €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5.759 €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4.415 €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6.529 €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5">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Diciembre 2026 - Febrero 2027</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6">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3.765 €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5.639 €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4.245 €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6.359 €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2ceef" w:val="clear"/>
            <w:vAlign w:val="center"/>
          </w:tcPr>
          <w:p w:rsidR="00000000" w:rsidDel="00000000" w:rsidP="00000000" w:rsidRDefault="00000000" w:rsidRPr="00000000" w14:paraId="0000006A">
            <w:pPr>
              <w:widowControl w:val="1"/>
              <w:jc w:val="center"/>
              <w:rPr>
                <w:rFonts w:ascii="Calibri" w:cs="Calibri" w:eastAsia="Calibri" w:hAnsi="Calibri"/>
                <w:b w:val="1"/>
                <w:bCs w:val="1"/>
                <w:color w:val="ff0000"/>
              </w:rPr>
            </w:pPr>
            <w:r w:rsidDel="00000000" w:rsidR="00000000" w:rsidRPr="00000000">
              <w:rPr>
                <w:rFonts w:ascii="Calibri" w:cs="Calibri" w:eastAsia="Calibri" w:hAnsi="Calibri"/>
                <w:b w:val="1"/>
                <w:bCs w:val="1"/>
                <w:color w:val="ff0000"/>
                <w:rtl w:val="0"/>
              </w:rPr>
              <w:t xml:space="preserve">Suplemento fechas especiales</w:t>
            </w:r>
          </w:p>
        </w:tc>
        <w:tc>
          <w:tcPr>
            <w:gridSpan w:val="2"/>
            <w:tcBorders>
              <w:top w:color="000000" w:space="0" w:sz="8" w:val="single"/>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6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136 €</w:t>
            </w:r>
          </w:p>
        </w:tc>
        <w:tc>
          <w:tcPr>
            <w:gridSpan w:val="2"/>
            <w:tcBorders>
              <w:top w:color="000000" w:space="0" w:sz="8" w:val="single"/>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6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226 €</w:t>
            </w:r>
          </w:p>
        </w:tc>
      </w:tr>
    </w:tbl>
    <w:p w:rsidR="00000000" w:rsidDel="00000000" w:rsidP="00000000" w:rsidRDefault="00000000" w:rsidRPr="00000000" w14:paraId="0000006F">
      <w:pPr>
        <w:jc w:val="center"/>
        <w:rPr>
          <w:rFonts w:ascii="Calibri" w:cs="Calibri" w:eastAsia="Calibri" w:hAnsi="Calibri"/>
          <w:b w:val="1"/>
          <w:bCs w:val="1"/>
          <w:color w:val="1f3864"/>
          <w:sz w:val="18"/>
          <w:szCs w:val="18"/>
        </w:rPr>
      </w:pPr>
      <w:r w:rsidDel="00000000" w:rsidR="00000000" w:rsidRPr="00000000">
        <w:rPr>
          <w:rtl w:val="0"/>
        </w:rPr>
      </w:r>
    </w:p>
    <w:p w:rsidR="00000000" w:rsidDel="00000000" w:rsidP="00000000" w:rsidRDefault="00000000" w:rsidRPr="00000000" w14:paraId="00000070">
      <w:pPr>
        <w:jc w:val="center"/>
        <w:rPr>
          <w:rFonts w:ascii="Calibri" w:cs="Calibri" w:eastAsia="Calibri" w:hAnsi="Calibri"/>
          <w:i w:val="1"/>
          <w:iCs w:val="1"/>
          <w:color w:val="002060"/>
          <w:u w:val="single"/>
        </w:rPr>
      </w:pPr>
      <w:r w:rsidDel="00000000" w:rsidR="00000000" w:rsidRPr="00000000">
        <w:rPr>
          <w:rFonts w:ascii="Calibri" w:cs="Calibri" w:eastAsia="Calibri" w:hAnsi="Calibri"/>
          <w:i w:val="1"/>
          <w:iCs w:val="1"/>
          <w:color w:val="002060"/>
          <w:u w:val="single"/>
          <w:rtl w:val="0"/>
        </w:rPr>
        <w:t xml:space="preserve"> Consultar el suplemento Fin de Año.</w:t>
      </w:r>
    </w:p>
    <w:p w:rsidR="00000000" w:rsidDel="00000000" w:rsidP="00000000" w:rsidRDefault="00000000" w:rsidRPr="00000000" w14:paraId="00000071">
      <w:pPr>
        <w:jc w:val="center"/>
        <w:rPr>
          <w:rFonts w:ascii="Calibri" w:cs="Calibri" w:eastAsia="Calibri" w:hAnsi="Calibri"/>
          <w:i w:val="1"/>
          <w:iCs w:val="1"/>
          <w:color w:val="002060"/>
          <w:u w:val="single"/>
        </w:rPr>
      </w:pPr>
      <w:r w:rsidDel="00000000" w:rsidR="00000000" w:rsidRPr="00000000">
        <w:rPr>
          <w:rtl w:val="0"/>
        </w:rPr>
      </w:r>
    </w:p>
    <w:tbl>
      <w:tblPr>
        <w:tblStyle w:val="Table2"/>
        <w:tblW w:w="3740.0" w:type="dxa"/>
        <w:jc w:val="center"/>
        <w:tblLayout w:type="fixed"/>
        <w:tblLook w:val="0400"/>
      </w:tblPr>
      <w:tblGrid>
        <w:gridCol w:w="1440"/>
        <w:gridCol w:w="460"/>
        <w:gridCol w:w="460"/>
        <w:gridCol w:w="460"/>
        <w:gridCol w:w="460"/>
        <w:gridCol w:w="460"/>
        <w:tblGridChange w:id="0">
          <w:tblGrid>
            <w:gridCol w:w="1440"/>
            <w:gridCol w:w="460"/>
            <w:gridCol w:w="460"/>
            <w:gridCol w:w="460"/>
            <w:gridCol w:w="460"/>
            <w:gridCol w:w="460"/>
          </w:tblGrid>
        </w:tblGridChange>
      </w:tblGrid>
      <w:tr>
        <w:trPr>
          <w:cantSplit w:val="0"/>
          <w:trHeight w:val="290" w:hRule="atLeast"/>
          <w:tblHeader w:val="0"/>
        </w:trPr>
        <w:tc>
          <w:tcPr>
            <w:gridSpan w:val="6"/>
            <w:tcBorders>
              <w:top w:color="000000" w:space="0" w:sz="8" w:val="single"/>
              <w:left w:color="000000" w:space="0" w:sz="8" w:val="single"/>
              <w:bottom w:color="000000" w:space="0" w:sz="4" w:val="single"/>
              <w:right w:color="000000" w:space="0" w:sz="8" w:val="single"/>
            </w:tcBorders>
            <w:shd w:fill="203764" w:val="clear"/>
            <w:vAlign w:val="center"/>
          </w:tcPr>
          <w:p w:rsidR="00000000" w:rsidDel="00000000" w:rsidP="00000000" w:rsidRDefault="00000000" w:rsidRPr="00000000" w14:paraId="00000072">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SALIDAS GARANTIZADAS 2026</w:t>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78">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abr-26</w:t>
            </w:r>
          </w:p>
        </w:tc>
        <w:tc>
          <w:tcPr>
            <w:tcBorders>
              <w:top w:color="000000" w:space="0" w:sz="0" w:val="nil"/>
              <w:left w:color="000000" w:space="0" w:sz="0" w:val="nil"/>
              <w:bottom w:color="000000" w:space="0" w:sz="4" w:val="single"/>
              <w:right w:color="000000" w:space="0" w:sz="4" w:val="single"/>
            </w:tcBorders>
            <w:shd w:fill="f2ceef" w:val="clear"/>
            <w:vAlign w:val="center"/>
          </w:tcPr>
          <w:p w:rsidR="00000000" w:rsidDel="00000000" w:rsidP="00000000" w:rsidRDefault="00000000" w:rsidRPr="00000000" w14:paraId="0000007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w:t>
            </w:r>
          </w:p>
        </w:tc>
        <w:tc>
          <w:tcPr>
            <w:tcBorders>
              <w:top w:color="000000" w:space="0" w:sz="0" w:val="nil"/>
              <w:left w:color="000000" w:space="0" w:sz="0" w:val="nil"/>
              <w:bottom w:color="000000" w:space="0" w:sz="4" w:val="single"/>
              <w:right w:color="000000" w:space="0" w:sz="4" w:val="single"/>
            </w:tcBorders>
            <w:shd w:fill="f2ceef" w:val="clear"/>
            <w:vAlign w:val="center"/>
          </w:tcPr>
          <w:p w:rsidR="00000000" w:rsidDel="00000000" w:rsidP="00000000" w:rsidRDefault="00000000" w:rsidRPr="00000000" w14:paraId="0000007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7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7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w:t>
            </w:r>
          </w:p>
        </w:tc>
        <w:tc>
          <w:tcPr>
            <w:tcBorders>
              <w:top w:color="000000" w:space="0" w:sz="0" w:val="nil"/>
              <w:left w:color="000000" w:space="0" w:sz="0" w:val="nil"/>
              <w:bottom w:color="000000" w:space="0" w:sz="4" w:val="single"/>
              <w:right w:color="000000" w:space="0" w:sz="4" w:val="single"/>
            </w:tcBorders>
            <w:shd w:fill="000000" w:val="clear"/>
            <w:vAlign w:val="center"/>
          </w:tcPr>
          <w:p w:rsidR="00000000" w:rsidDel="00000000" w:rsidP="00000000" w:rsidRDefault="00000000" w:rsidRPr="00000000" w14:paraId="0000007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7E">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may-26</w:t>
            </w:r>
          </w:p>
        </w:tc>
        <w:tc>
          <w:tcPr>
            <w:tcBorders>
              <w:top w:color="000000" w:space="0" w:sz="0" w:val="nil"/>
              <w:left w:color="000000" w:space="0" w:sz="0" w:val="nil"/>
              <w:bottom w:color="000000" w:space="0" w:sz="4" w:val="single"/>
              <w:right w:color="000000" w:space="0" w:sz="4" w:val="single"/>
            </w:tcBorders>
            <w:shd w:fill="f2ceef" w:val="clear"/>
            <w:vAlign w:val="center"/>
          </w:tcPr>
          <w:p w:rsidR="00000000" w:rsidDel="00000000" w:rsidP="00000000" w:rsidRDefault="00000000" w:rsidRPr="00000000" w14:paraId="0000007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24</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8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31</w:t>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84">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jun-26</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8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w:t>
            </w:r>
          </w:p>
        </w:tc>
        <w:tc>
          <w:tcPr>
            <w:tcBorders>
              <w:top w:color="000000" w:space="0" w:sz="0" w:val="nil"/>
              <w:left w:color="000000" w:space="0" w:sz="0" w:val="nil"/>
              <w:bottom w:color="000000" w:space="0" w:sz="4" w:val="single"/>
              <w:right w:color="000000" w:space="0" w:sz="4" w:val="single"/>
            </w:tcBorders>
            <w:shd w:fill="000000" w:val="clear"/>
            <w:vAlign w:val="center"/>
          </w:tcPr>
          <w:p w:rsidR="00000000" w:rsidDel="00000000" w:rsidP="00000000" w:rsidRDefault="00000000" w:rsidRPr="00000000" w14:paraId="0000008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c>
          <w:tcPr>
            <w:tcBorders>
              <w:top w:color="000000" w:space="0" w:sz="0" w:val="nil"/>
              <w:left w:color="000000" w:space="0" w:sz="0" w:val="nil"/>
              <w:bottom w:color="000000" w:space="0" w:sz="4" w:val="single"/>
              <w:right w:color="000000" w:space="0" w:sz="4" w:val="single"/>
            </w:tcBorders>
            <w:shd w:fill="000000" w:val="clear"/>
            <w:vAlign w:val="center"/>
          </w:tcPr>
          <w:p w:rsidR="00000000" w:rsidDel="00000000" w:rsidP="00000000" w:rsidRDefault="00000000" w:rsidRPr="00000000" w14:paraId="0000008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8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28</w:t>
            </w:r>
          </w:p>
        </w:tc>
        <w:tc>
          <w:tcPr>
            <w:tcBorders>
              <w:top w:color="000000" w:space="0" w:sz="0" w:val="nil"/>
              <w:left w:color="000000" w:space="0" w:sz="0" w:val="nil"/>
              <w:bottom w:color="000000" w:space="0" w:sz="4" w:val="single"/>
              <w:right w:color="000000" w:space="0" w:sz="4" w:val="single"/>
            </w:tcBorders>
            <w:shd w:fill="000000" w:val="clear"/>
            <w:vAlign w:val="center"/>
          </w:tcPr>
          <w:p w:rsidR="00000000" w:rsidDel="00000000" w:rsidP="00000000" w:rsidRDefault="00000000" w:rsidRPr="00000000" w14:paraId="0000008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8A">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jul-26</w:t>
            </w:r>
          </w:p>
        </w:tc>
        <w:tc>
          <w:tcPr>
            <w:tcBorders>
              <w:top w:color="000000" w:space="0" w:sz="0" w:val="nil"/>
              <w:left w:color="000000" w:space="0" w:sz="0" w:val="nil"/>
              <w:bottom w:color="000000" w:space="0" w:sz="4" w:val="single"/>
              <w:right w:color="000000" w:space="0" w:sz="4" w:val="single"/>
            </w:tcBorders>
            <w:shd w:fill="f2ceef" w:val="clear"/>
            <w:vAlign w:val="center"/>
          </w:tcPr>
          <w:p w:rsidR="00000000" w:rsidDel="00000000" w:rsidP="00000000" w:rsidRDefault="00000000" w:rsidRPr="00000000" w14:paraId="0000008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w:t>
            </w:r>
          </w:p>
        </w:tc>
        <w:tc>
          <w:tcPr>
            <w:tcBorders>
              <w:top w:color="000000" w:space="0" w:sz="0" w:val="nil"/>
              <w:left w:color="000000" w:space="0" w:sz="0" w:val="nil"/>
              <w:bottom w:color="000000" w:space="0" w:sz="4" w:val="single"/>
              <w:right w:color="000000" w:space="0" w:sz="4" w:val="single"/>
            </w:tcBorders>
            <w:shd w:fill="000000" w:val="clear"/>
            <w:vAlign w:val="center"/>
          </w:tcPr>
          <w:p w:rsidR="00000000" w:rsidDel="00000000" w:rsidP="00000000" w:rsidRDefault="00000000" w:rsidRPr="00000000" w14:paraId="0000008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c>
          <w:tcPr>
            <w:tcBorders>
              <w:top w:color="000000" w:space="0" w:sz="0" w:val="nil"/>
              <w:left w:color="000000" w:space="0" w:sz="0" w:val="nil"/>
              <w:bottom w:color="000000" w:space="0" w:sz="4" w:val="single"/>
              <w:right w:color="000000" w:space="0" w:sz="4" w:val="single"/>
            </w:tcBorders>
            <w:shd w:fill="000000" w:val="clear"/>
            <w:vAlign w:val="center"/>
          </w:tcPr>
          <w:p w:rsidR="00000000" w:rsidDel="00000000" w:rsidP="00000000" w:rsidRDefault="00000000" w:rsidRPr="00000000" w14:paraId="0000008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w:t>
            </w:r>
          </w:p>
        </w:tc>
        <w:tc>
          <w:tcPr>
            <w:tcBorders>
              <w:top w:color="000000" w:space="0" w:sz="0" w:val="nil"/>
              <w:left w:color="000000" w:space="0" w:sz="0" w:val="nil"/>
              <w:bottom w:color="000000" w:space="0" w:sz="4" w:val="single"/>
              <w:right w:color="000000" w:space="0" w:sz="4" w:val="single"/>
            </w:tcBorders>
            <w:shd w:fill="000000" w:val="clear"/>
            <w:vAlign w:val="center"/>
          </w:tcPr>
          <w:p w:rsidR="00000000" w:rsidDel="00000000" w:rsidP="00000000" w:rsidRDefault="00000000" w:rsidRPr="00000000" w14:paraId="0000008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90">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ago-26</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9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w:t>
            </w:r>
          </w:p>
        </w:tc>
        <w:tc>
          <w:tcPr>
            <w:tcBorders>
              <w:top w:color="000000" w:space="0" w:sz="0" w:val="nil"/>
              <w:left w:color="000000" w:space="0" w:sz="0" w:val="nil"/>
              <w:bottom w:color="000000" w:space="0" w:sz="4" w:val="single"/>
              <w:right w:color="000000" w:space="0" w:sz="4" w:val="single"/>
            </w:tcBorders>
            <w:shd w:fill="000000" w:val="clear"/>
            <w:vAlign w:val="center"/>
          </w:tcPr>
          <w:p w:rsidR="00000000" w:rsidDel="00000000" w:rsidP="00000000" w:rsidRDefault="00000000" w:rsidRPr="00000000" w14:paraId="0000009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c>
          <w:tcPr>
            <w:tcBorders>
              <w:top w:color="000000" w:space="0" w:sz="0" w:val="nil"/>
              <w:left w:color="000000" w:space="0" w:sz="0" w:val="nil"/>
              <w:bottom w:color="000000" w:space="0" w:sz="4" w:val="single"/>
              <w:right w:color="000000" w:space="0" w:sz="4" w:val="single"/>
            </w:tcBorders>
            <w:shd w:fill="000000" w:val="clear"/>
            <w:vAlign w:val="center"/>
          </w:tcPr>
          <w:p w:rsidR="00000000" w:rsidDel="00000000" w:rsidP="00000000" w:rsidRDefault="00000000" w:rsidRPr="00000000" w14:paraId="0000009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c>
          <w:tcPr>
            <w:tcBorders>
              <w:top w:color="000000" w:space="0" w:sz="0" w:val="nil"/>
              <w:left w:color="000000" w:space="0" w:sz="0" w:val="nil"/>
              <w:bottom w:color="000000" w:space="0" w:sz="4" w:val="single"/>
              <w:right w:color="000000" w:space="0" w:sz="4" w:val="single"/>
            </w:tcBorders>
            <w:shd w:fill="000000" w:val="clear"/>
            <w:vAlign w:val="center"/>
          </w:tcPr>
          <w:p w:rsidR="00000000" w:rsidDel="00000000" w:rsidP="00000000" w:rsidRDefault="00000000" w:rsidRPr="00000000" w14:paraId="0000009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9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30</w:t>
            </w:r>
          </w:p>
        </w:tc>
      </w:tr>
      <w:tr>
        <w:trPr>
          <w:cantSplit w:val="0"/>
          <w:trHeight w:val="285"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96">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sep-26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9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w:t>
            </w:r>
          </w:p>
        </w:tc>
        <w:tc>
          <w:tcPr>
            <w:tcBorders>
              <w:top w:color="000000" w:space="0" w:sz="0" w:val="nil"/>
              <w:left w:color="000000" w:space="0" w:sz="0" w:val="nil"/>
              <w:bottom w:color="000000" w:space="0" w:sz="4" w:val="single"/>
              <w:right w:color="000000" w:space="0" w:sz="4" w:val="single"/>
            </w:tcBorders>
            <w:shd w:fill="000000" w:val="clear"/>
            <w:vAlign w:val="center"/>
          </w:tcPr>
          <w:p w:rsidR="00000000" w:rsidDel="00000000" w:rsidP="00000000" w:rsidRDefault="00000000" w:rsidRPr="00000000" w14:paraId="0000009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c>
          <w:tcPr>
            <w:tcBorders>
              <w:top w:color="000000" w:space="0" w:sz="0" w:val="nil"/>
              <w:left w:color="000000" w:space="0" w:sz="0" w:val="nil"/>
              <w:bottom w:color="000000" w:space="0" w:sz="4" w:val="single"/>
              <w:right w:color="000000" w:space="0" w:sz="4" w:val="single"/>
            </w:tcBorders>
            <w:shd w:fill="f2ceef" w:val="clear"/>
            <w:vAlign w:val="center"/>
          </w:tcPr>
          <w:p w:rsidR="00000000" w:rsidDel="00000000" w:rsidP="00000000" w:rsidRDefault="00000000" w:rsidRPr="00000000" w14:paraId="0000009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9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w:t>
            </w:r>
          </w:p>
        </w:tc>
        <w:tc>
          <w:tcPr>
            <w:tcBorders>
              <w:top w:color="000000" w:space="0" w:sz="0" w:val="nil"/>
              <w:left w:color="000000" w:space="0" w:sz="0" w:val="nil"/>
              <w:bottom w:color="000000" w:space="0" w:sz="4" w:val="single"/>
              <w:right w:color="000000" w:space="0" w:sz="4" w:val="single"/>
            </w:tcBorders>
            <w:shd w:fill="000000" w:val="clear"/>
            <w:vAlign w:val="center"/>
          </w:tcPr>
          <w:p w:rsidR="00000000" w:rsidDel="00000000" w:rsidP="00000000" w:rsidRDefault="00000000" w:rsidRPr="00000000" w14:paraId="0000009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r>
      <w:tr>
        <w:trPr>
          <w:cantSplit w:val="0"/>
          <w:trHeight w:val="285" w:hRule="atLeast"/>
          <w:tblHeader w:val="0"/>
        </w:trPr>
        <w:tc>
          <w:tcPr>
            <w:tcBorders>
              <w:top w:color="000000" w:space="0" w:sz="0" w:val="nil"/>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9C">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oct-26</w:t>
            </w:r>
          </w:p>
        </w:tc>
        <w:tc>
          <w:tcPr>
            <w:tcBorders>
              <w:top w:color="000000" w:space="0" w:sz="0" w:val="nil"/>
              <w:left w:color="000000" w:space="0" w:sz="0" w:val="nil"/>
              <w:bottom w:color="000000" w:space="0" w:sz="4" w:val="single"/>
              <w:right w:color="000000" w:space="0" w:sz="4" w:val="single"/>
            </w:tcBorders>
            <w:shd w:fill="000000" w:val="clear"/>
            <w:vAlign w:val="center"/>
          </w:tcPr>
          <w:p w:rsidR="00000000" w:rsidDel="00000000" w:rsidP="00000000" w:rsidRDefault="00000000" w:rsidRPr="00000000" w14:paraId="0000009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9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9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w:t>
            </w:r>
          </w:p>
        </w:tc>
        <w:tc>
          <w:tcPr>
            <w:tcBorders>
              <w:top w:color="000000" w:space="0" w:sz="0" w:val="nil"/>
              <w:left w:color="000000" w:space="0" w:sz="0" w:val="nil"/>
              <w:bottom w:color="000000" w:space="0" w:sz="4" w:val="single"/>
              <w:right w:color="000000" w:space="0" w:sz="4" w:val="single"/>
            </w:tcBorders>
            <w:shd w:fill="000000" w:val="clear"/>
            <w:vAlign w:val="center"/>
          </w:tcPr>
          <w:p w:rsidR="00000000" w:rsidDel="00000000" w:rsidP="00000000" w:rsidRDefault="00000000" w:rsidRPr="00000000" w14:paraId="000000A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c>
          <w:tcPr>
            <w:tcBorders>
              <w:top w:color="000000" w:space="0" w:sz="0" w:val="nil"/>
              <w:left w:color="000000" w:space="0" w:sz="0" w:val="nil"/>
              <w:bottom w:color="000000" w:space="0" w:sz="4" w:val="single"/>
              <w:right w:color="000000" w:space="0" w:sz="4" w:val="single"/>
            </w:tcBorders>
            <w:shd w:fill="000000" w:val="clear"/>
            <w:vAlign w:val="center"/>
          </w:tcPr>
          <w:p w:rsidR="00000000" w:rsidDel="00000000" w:rsidP="00000000" w:rsidRDefault="00000000" w:rsidRPr="00000000" w14:paraId="000000A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r>
      <w:tr>
        <w:trPr>
          <w:cantSplit w:val="0"/>
          <w:trHeight w:val="285"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A2">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nov-26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A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w:t>
            </w:r>
          </w:p>
        </w:tc>
        <w:tc>
          <w:tcPr>
            <w:tcBorders>
              <w:top w:color="000000" w:space="0" w:sz="0" w:val="nil"/>
              <w:left w:color="000000" w:space="0" w:sz="0" w:val="nil"/>
              <w:bottom w:color="000000" w:space="0" w:sz="4" w:val="single"/>
              <w:right w:color="000000" w:space="0" w:sz="4" w:val="single"/>
            </w:tcBorders>
            <w:shd w:fill="000000" w:val="clear"/>
            <w:vAlign w:val="center"/>
          </w:tcPr>
          <w:p w:rsidR="00000000" w:rsidDel="00000000" w:rsidP="00000000" w:rsidRDefault="00000000" w:rsidRPr="00000000" w14:paraId="000000A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c>
          <w:tcPr>
            <w:tcBorders>
              <w:top w:color="000000" w:space="0" w:sz="0" w:val="nil"/>
              <w:left w:color="000000" w:space="0" w:sz="0" w:val="nil"/>
              <w:bottom w:color="000000" w:space="0" w:sz="4" w:val="single"/>
              <w:right w:color="000000" w:space="0" w:sz="4" w:val="single"/>
            </w:tcBorders>
            <w:shd w:fill="000000" w:val="clear"/>
            <w:vAlign w:val="center"/>
          </w:tcPr>
          <w:p w:rsidR="00000000" w:rsidDel="00000000" w:rsidP="00000000" w:rsidRDefault="00000000" w:rsidRPr="00000000" w14:paraId="000000A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A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w:t>
            </w:r>
          </w:p>
        </w:tc>
        <w:tc>
          <w:tcPr>
            <w:tcBorders>
              <w:top w:color="000000" w:space="0" w:sz="0" w:val="nil"/>
              <w:left w:color="000000" w:space="0" w:sz="0" w:val="nil"/>
              <w:bottom w:color="000000" w:space="0" w:sz="4" w:val="single"/>
              <w:right w:color="000000" w:space="0" w:sz="4" w:val="single"/>
            </w:tcBorders>
            <w:shd w:fill="000000" w:val="clear"/>
            <w:vAlign w:val="center"/>
          </w:tcPr>
          <w:p w:rsidR="00000000" w:rsidDel="00000000" w:rsidP="00000000" w:rsidRDefault="00000000" w:rsidRPr="00000000" w14:paraId="000000A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r>
      <w:tr>
        <w:trPr>
          <w:cantSplit w:val="0"/>
          <w:trHeight w:val="285" w:hRule="atLeast"/>
          <w:tblHeader w:val="0"/>
        </w:trPr>
        <w:tc>
          <w:tcPr>
            <w:tcBorders>
              <w:top w:color="000000" w:space="0" w:sz="0" w:val="nil"/>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A8">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dic-26</w:t>
            </w:r>
          </w:p>
        </w:tc>
        <w:tc>
          <w:tcPr>
            <w:tcBorders>
              <w:top w:color="000000" w:space="0" w:sz="0" w:val="nil"/>
              <w:left w:color="000000" w:space="0" w:sz="0" w:val="nil"/>
              <w:bottom w:color="000000" w:space="0" w:sz="4" w:val="single"/>
              <w:right w:color="000000" w:space="0" w:sz="4" w:val="single"/>
            </w:tcBorders>
            <w:shd w:fill="000000" w:val="clear"/>
            <w:vAlign w:val="center"/>
          </w:tcPr>
          <w:p w:rsidR="00000000" w:rsidDel="00000000" w:rsidP="00000000" w:rsidRDefault="00000000" w:rsidRPr="00000000" w14:paraId="000000A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c>
          <w:tcPr>
            <w:tcBorders>
              <w:top w:color="000000" w:space="0" w:sz="0" w:val="nil"/>
              <w:left w:color="000000" w:space="0" w:sz="0" w:val="nil"/>
              <w:bottom w:color="000000" w:space="0" w:sz="4" w:val="single"/>
              <w:right w:color="000000" w:space="0" w:sz="4" w:val="single"/>
            </w:tcBorders>
            <w:shd w:fill="f2ceef" w:val="clear"/>
            <w:vAlign w:val="center"/>
          </w:tcPr>
          <w:p w:rsidR="00000000" w:rsidDel="00000000" w:rsidP="00000000" w:rsidRDefault="00000000" w:rsidRPr="00000000" w14:paraId="000000A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w:t>
            </w:r>
          </w:p>
        </w:tc>
        <w:tc>
          <w:tcPr>
            <w:tcBorders>
              <w:top w:color="000000" w:space="0" w:sz="0" w:val="nil"/>
              <w:left w:color="000000" w:space="0" w:sz="0" w:val="nil"/>
              <w:bottom w:color="000000" w:space="0" w:sz="4" w:val="single"/>
              <w:right w:color="000000" w:space="0" w:sz="4" w:val="single"/>
            </w:tcBorders>
            <w:shd w:fill="f2ceef" w:val="clear"/>
            <w:vAlign w:val="center"/>
          </w:tcPr>
          <w:p w:rsidR="00000000" w:rsidDel="00000000" w:rsidP="00000000" w:rsidRDefault="00000000" w:rsidRPr="00000000" w14:paraId="000000A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w:t>
            </w:r>
          </w:p>
        </w:tc>
        <w:tc>
          <w:tcPr>
            <w:tcBorders>
              <w:top w:color="000000" w:space="0" w:sz="0" w:val="nil"/>
              <w:left w:color="000000" w:space="0" w:sz="0" w:val="nil"/>
              <w:bottom w:color="000000" w:space="0" w:sz="4" w:val="single"/>
              <w:right w:color="000000" w:space="0" w:sz="4" w:val="single"/>
            </w:tcBorders>
            <w:shd w:fill="000000" w:val="clear"/>
            <w:vAlign w:val="center"/>
          </w:tcPr>
          <w:p w:rsidR="00000000" w:rsidDel="00000000" w:rsidP="00000000" w:rsidRDefault="00000000" w:rsidRPr="00000000" w14:paraId="000000A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c>
          <w:tcPr>
            <w:tcBorders>
              <w:top w:color="000000" w:space="0" w:sz="0" w:val="nil"/>
              <w:left w:color="000000" w:space="0" w:sz="0" w:val="nil"/>
              <w:bottom w:color="000000" w:space="0" w:sz="4" w:val="single"/>
              <w:right w:color="000000" w:space="0" w:sz="4" w:val="single"/>
            </w:tcBorders>
            <w:shd w:fill="000000" w:val="clear"/>
            <w:vAlign w:val="center"/>
          </w:tcPr>
          <w:p w:rsidR="00000000" w:rsidDel="00000000" w:rsidP="00000000" w:rsidRDefault="00000000" w:rsidRPr="00000000" w14:paraId="000000A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r>
      <w:tr>
        <w:trPr>
          <w:cantSplit w:val="0"/>
          <w:trHeight w:val="290" w:hRule="atLeast"/>
          <w:tblHeader w:val="0"/>
        </w:trPr>
        <w:tc>
          <w:tcPr>
            <w:gridSpan w:val="6"/>
            <w:tcBorders>
              <w:top w:color="000000" w:space="0" w:sz="4" w:val="single"/>
              <w:left w:color="000000" w:space="0" w:sz="8" w:val="single"/>
              <w:bottom w:color="000000" w:space="0" w:sz="4" w:val="single"/>
              <w:right w:color="000000" w:space="0" w:sz="8" w:val="single"/>
            </w:tcBorders>
            <w:shd w:fill="203764" w:val="clear"/>
            <w:vAlign w:val="center"/>
          </w:tcPr>
          <w:p w:rsidR="00000000" w:rsidDel="00000000" w:rsidP="00000000" w:rsidRDefault="00000000" w:rsidRPr="00000000" w14:paraId="000000AE">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2027</w:t>
            </w:r>
          </w:p>
        </w:tc>
      </w:tr>
      <w:tr>
        <w:trPr>
          <w:cantSplit w:val="0"/>
          <w:trHeight w:val="285" w:hRule="atLeast"/>
          <w:tblHeader w:val="0"/>
        </w:trPr>
        <w:tc>
          <w:tcPr>
            <w:tcBorders>
              <w:top w:color="000000" w:space="0" w:sz="0" w:val="nil"/>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B4">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ene-27</w:t>
            </w:r>
          </w:p>
        </w:tc>
        <w:tc>
          <w:tcPr>
            <w:tcBorders>
              <w:top w:color="000000" w:space="0" w:sz="0" w:val="nil"/>
              <w:left w:color="000000" w:space="0" w:sz="0" w:val="nil"/>
              <w:bottom w:color="000000" w:space="0" w:sz="4" w:val="single"/>
              <w:right w:color="000000" w:space="0" w:sz="4" w:val="single"/>
            </w:tcBorders>
            <w:shd w:fill="000000" w:val="clear"/>
            <w:vAlign w:val="center"/>
          </w:tcPr>
          <w:p w:rsidR="00000000" w:rsidDel="00000000" w:rsidP="00000000" w:rsidRDefault="00000000" w:rsidRPr="00000000" w14:paraId="000000B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c>
          <w:tcPr>
            <w:tcBorders>
              <w:top w:color="000000" w:space="0" w:sz="0" w:val="nil"/>
              <w:left w:color="000000" w:space="0" w:sz="0" w:val="nil"/>
              <w:bottom w:color="000000" w:space="0" w:sz="4" w:val="single"/>
              <w:right w:color="000000" w:space="0" w:sz="4" w:val="single"/>
            </w:tcBorders>
            <w:shd w:fill="000000" w:val="clear"/>
            <w:vAlign w:val="center"/>
          </w:tcPr>
          <w:p w:rsidR="00000000" w:rsidDel="00000000" w:rsidP="00000000" w:rsidRDefault="00000000" w:rsidRPr="00000000" w14:paraId="000000B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c>
          <w:tcPr>
            <w:tcBorders>
              <w:top w:color="000000" w:space="0" w:sz="0" w:val="nil"/>
              <w:left w:color="000000" w:space="0" w:sz="0" w:val="nil"/>
              <w:bottom w:color="000000" w:space="0" w:sz="4" w:val="single"/>
              <w:right w:color="000000" w:space="0" w:sz="4" w:val="single"/>
            </w:tcBorders>
            <w:shd w:fill="000000" w:val="clear"/>
            <w:vAlign w:val="center"/>
          </w:tcPr>
          <w:p w:rsidR="00000000" w:rsidDel="00000000" w:rsidP="00000000" w:rsidRDefault="00000000" w:rsidRPr="00000000" w14:paraId="000000B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c>
          <w:tcPr>
            <w:tcBorders>
              <w:top w:color="000000" w:space="0" w:sz="0" w:val="nil"/>
              <w:left w:color="000000" w:space="0" w:sz="0" w:val="nil"/>
              <w:bottom w:color="000000" w:space="0" w:sz="4" w:val="single"/>
              <w:right w:color="000000" w:space="0" w:sz="4" w:val="single"/>
            </w:tcBorders>
            <w:shd w:fill="000000" w:val="clear"/>
            <w:vAlign w:val="center"/>
          </w:tcPr>
          <w:p w:rsidR="00000000" w:rsidDel="00000000" w:rsidP="00000000" w:rsidRDefault="00000000" w:rsidRPr="00000000" w14:paraId="000000B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B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31</w:t>
            </w:r>
          </w:p>
        </w:tc>
      </w:tr>
      <w:tr>
        <w:trPr>
          <w:cantSplit w:val="0"/>
          <w:trHeight w:val="285"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BA">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feb-27</w:t>
            </w:r>
          </w:p>
        </w:tc>
        <w:tc>
          <w:tcPr>
            <w:tcBorders>
              <w:top w:color="000000" w:space="0" w:sz="0" w:val="nil"/>
              <w:left w:color="000000" w:space="0" w:sz="0" w:val="nil"/>
              <w:bottom w:color="000000" w:space="0" w:sz="4" w:val="single"/>
              <w:right w:color="000000" w:space="0" w:sz="4" w:val="single"/>
            </w:tcBorders>
            <w:shd w:fill="000000" w:val="clear"/>
            <w:vAlign w:val="center"/>
          </w:tcPr>
          <w:p w:rsidR="00000000" w:rsidDel="00000000" w:rsidP="00000000" w:rsidRDefault="00000000" w:rsidRPr="00000000" w14:paraId="000000B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c>
          <w:tcPr>
            <w:tcBorders>
              <w:top w:color="000000" w:space="0" w:sz="0" w:val="nil"/>
              <w:left w:color="000000" w:space="0" w:sz="0" w:val="nil"/>
              <w:bottom w:color="000000" w:space="0" w:sz="4" w:val="single"/>
              <w:right w:color="000000" w:space="0" w:sz="4" w:val="single"/>
            </w:tcBorders>
            <w:shd w:fill="000000" w:val="clear"/>
            <w:vAlign w:val="center"/>
          </w:tcPr>
          <w:p w:rsidR="00000000" w:rsidDel="00000000" w:rsidP="00000000" w:rsidRDefault="00000000" w:rsidRPr="00000000" w14:paraId="000000B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c>
          <w:tcPr>
            <w:tcBorders>
              <w:top w:color="000000" w:space="0" w:sz="0" w:val="nil"/>
              <w:left w:color="000000" w:space="0" w:sz="0" w:val="nil"/>
              <w:bottom w:color="000000" w:space="0" w:sz="4" w:val="single"/>
              <w:right w:color="000000" w:space="0" w:sz="4" w:val="single"/>
            </w:tcBorders>
            <w:shd w:fill="000000" w:val="clear"/>
            <w:vAlign w:val="center"/>
          </w:tcPr>
          <w:p w:rsidR="00000000" w:rsidDel="00000000" w:rsidP="00000000" w:rsidRDefault="00000000" w:rsidRPr="00000000" w14:paraId="000000B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28</w:t>
            </w:r>
          </w:p>
        </w:tc>
        <w:tc>
          <w:tcPr>
            <w:tcBorders>
              <w:top w:color="000000" w:space="0" w:sz="0" w:val="nil"/>
              <w:left w:color="000000" w:space="0" w:sz="0" w:val="nil"/>
              <w:bottom w:color="000000" w:space="0" w:sz="4" w:val="single"/>
              <w:right w:color="000000" w:space="0" w:sz="4" w:val="single"/>
            </w:tcBorders>
            <w:shd w:fill="000000" w:val="clear"/>
            <w:vAlign w:val="center"/>
          </w:tcPr>
          <w:p w:rsidR="00000000" w:rsidDel="00000000" w:rsidP="00000000" w:rsidRDefault="00000000" w:rsidRPr="00000000" w14:paraId="000000B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4" w:val="single"/>
            </w:tcBorders>
            <w:shd w:fill="d9e2f3" w:val="clear"/>
            <w:vAlign w:val="center"/>
          </w:tcPr>
          <w:p w:rsidR="00000000" w:rsidDel="00000000" w:rsidP="00000000" w:rsidRDefault="00000000" w:rsidRPr="00000000" w14:paraId="000000C0">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mar-27</w:t>
            </w:r>
          </w:p>
        </w:tc>
        <w:tc>
          <w:tcPr>
            <w:tcBorders>
              <w:top w:color="000000" w:space="0" w:sz="0" w:val="nil"/>
              <w:left w:color="000000" w:space="0" w:sz="0" w:val="nil"/>
              <w:bottom w:color="000000" w:space="0" w:sz="8" w:val="single"/>
              <w:right w:color="000000" w:space="0" w:sz="4" w:val="single"/>
            </w:tcBorders>
            <w:shd w:fill="f2ceef" w:val="clear"/>
            <w:vAlign w:val="center"/>
          </w:tcPr>
          <w:p w:rsidR="00000000" w:rsidDel="00000000" w:rsidP="00000000" w:rsidRDefault="00000000" w:rsidRPr="00000000" w14:paraId="000000C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w:t>
            </w:r>
          </w:p>
        </w:tc>
        <w:tc>
          <w:tcPr>
            <w:tcBorders>
              <w:top w:color="000000" w:space="0" w:sz="0" w:val="nil"/>
              <w:left w:color="000000" w:space="0" w:sz="0" w:val="nil"/>
              <w:bottom w:color="000000" w:space="0" w:sz="8" w:val="single"/>
              <w:right w:color="000000" w:space="0" w:sz="4" w:val="single"/>
            </w:tcBorders>
            <w:shd w:fill="f2ceef" w:val="clear"/>
            <w:vAlign w:val="center"/>
          </w:tcPr>
          <w:p w:rsidR="00000000" w:rsidDel="00000000" w:rsidP="00000000" w:rsidRDefault="00000000" w:rsidRPr="00000000" w14:paraId="000000C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w:t>
            </w:r>
          </w:p>
        </w:tc>
        <w:tc>
          <w:tcPr>
            <w:tcBorders>
              <w:top w:color="000000" w:space="0" w:sz="0" w:val="nil"/>
              <w:left w:color="000000" w:space="0" w:sz="0" w:val="nil"/>
              <w:bottom w:color="000000" w:space="0" w:sz="4" w:val="single"/>
              <w:right w:color="000000" w:space="0" w:sz="4" w:val="single"/>
            </w:tcBorders>
            <w:shd w:fill="000000" w:val="clear"/>
            <w:vAlign w:val="center"/>
          </w:tcPr>
          <w:p w:rsidR="00000000" w:rsidDel="00000000" w:rsidP="00000000" w:rsidRDefault="00000000" w:rsidRPr="00000000" w14:paraId="000000C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c>
          <w:tcPr>
            <w:tcBorders>
              <w:top w:color="000000" w:space="0" w:sz="0" w:val="nil"/>
              <w:left w:color="000000" w:space="0" w:sz="0" w:val="nil"/>
              <w:bottom w:color="000000" w:space="0" w:sz="4" w:val="single"/>
              <w:right w:color="000000" w:space="0" w:sz="4" w:val="single"/>
            </w:tcBorders>
            <w:shd w:fill="000000" w:val="clear"/>
            <w:vAlign w:val="center"/>
          </w:tcPr>
          <w:p w:rsidR="00000000" w:rsidDel="00000000" w:rsidP="00000000" w:rsidRDefault="00000000" w:rsidRPr="00000000" w14:paraId="000000C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c>
          <w:tcPr>
            <w:tcBorders>
              <w:top w:color="000000" w:space="0" w:sz="0" w:val="nil"/>
              <w:left w:color="000000" w:space="0" w:sz="0" w:val="nil"/>
              <w:bottom w:color="000000" w:space="0" w:sz="4" w:val="single"/>
              <w:right w:color="000000" w:space="0" w:sz="4" w:val="single"/>
            </w:tcBorders>
            <w:shd w:fill="000000" w:val="clear"/>
            <w:vAlign w:val="center"/>
          </w:tcPr>
          <w:p w:rsidR="00000000" w:rsidDel="00000000" w:rsidP="00000000" w:rsidRDefault="00000000" w:rsidRPr="00000000" w14:paraId="000000C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r>
    </w:tbl>
    <w:p w:rsidR="00000000" w:rsidDel="00000000" w:rsidP="00000000" w:rsidRDefault="00000000" w:rsidRPr="00000000" w14:paraId="000000C6">
      <w:pPr>
        <w:jc w:val="center"/>
        <w:rPr>
          <w:rFonts w:ascii="Calibri" w:cs="Calibri" w:eastAsia="Calibri" w:hAnsi="Calibri"/>
          <w:i w:val="1"/>
          <w:iCs w:val="1"/>
          <w:color w:val="002060"/>
          <w:u w:val="single"/>
        </w:rPr>
      </w:pPr>
      <w:r w:rsidDel="00000000" w:rsidR="00000000" w:rsidRPr="00000000">
        <w:rPr>
          <w:rtl w:val="0"/>
        </w:rPr>
      </w:r>
    </w:p>
    <w:p w:rsidR="00000000" w:rsidDel="00000000" w:rsidP="00000000" w:rsidRDefault="00000000" w:rsidRPr="00000000" w14:paraId="000000C7">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INCLUYE:</w:t>
      </w:r>
    </w:p>
    <w:p w:rsidR="00000000" w:rsidDel="00000000" w:rsidP="00000000" w:rsidRDefault="00000000" w:rsidRPr="00000000" w14:paraId="000000C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Visitas en Madrid, Toledo (con entrada a Santo Tomé y la Sinagoga), Lisboa, Oporto (con crucero por el Duero y cata de vino), Córdoba (con entrada a la Mezquita), Sevilla (con entrada a la Catedral), Rabat, Casablanca, Marrakech, Fez y Granada (Alhambra y Jardines Generalife) </w:t>
      </w:r>
    </w:p>
    <w:p w:rsidR="00000000" w:rsidDel="00000000" w:rsidP="00000000" w:rsidRDefault="00000000" w:rsidRPr="00000000" w14:paraId="000000C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Asistencia de guía acompañante durante el circuito </w:t>
      </w:r>
    </w:p>
    <w:p w:rsidR="00000000" w:rsidDel="00000000" w:rsidP="00000000" w:rsidRDefault="00000000" w:rsidRPr="00000000" w14:paraId="000000C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Transporte en autobús de lujo con aire acondicionado </w:t>
      </w:r>
    </w:p>
    <w:p w:rsidR="00000000" w:rsidDel="00000000" w:rsidP="00000000" w:rsidRDefault="00000000" w:rsidRPr="00000000" w14:paraId="000000C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Alojamiento en clase seleccionada </w:t>
      </w:r>
    </w:p>
    <w:p w:rsidR="00000000" w:rsidDel="00000000" w:rsidP="00000000" w:rsidRDefault="00000000" w:rsidRPr="00000000" w14:paraId="000000C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Desayuno diario, 1 almuerzo y 3 cenas </w:t>
      </w:r>
    </w:p>
    <w:p w:rsidR="00000000" w:rsidDel="00000000" w:rsidP="00000000" w:rsidRDefault="00000000" w:rsidRPr="00000000" w14:paraId="000000C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Traslado aeropuerto-hotel-aeropuerto </w:t>
      </w:r>
    </w:p>
    <w:p w:rsidR="00000000" w:rsidDel="00000000" w:rsidP="00000000" w:rsidRDefault="00000000" w:rsidRPr="00000000" w14:paraId="000000C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Tarjeta de asistencia médica. (Cobertura máxima 60.000 USD)</w:t>
      </w:r>
    </w:p>
    <w:p w:rsidR="00000000" w:rsidDel="00000000" w:rsidP="00000000" w:rsidRDefault="00000000" w:rsidRPr="00000000" w14:paraId="000000C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SIM CARD Conecty de regalo por habitación. (</w:t>
      </w:r>
      <w:r w:rsidDel="00000000" w:rsidR="00000000" w:rsidRPr="00000000">
        <w:rPr>
          <w:rFonts w:ascii="Calibri" w:cs="Calibri" w:eastAsia="Calibri" w:hAnsi="Calibri"/>
          <w:b w:val="1"/>
          <w:bCs w:val="1"/>
          <w:i w:val="1"/>
          <w:iCs w:val="1"/>
          <w:smallCaps w:val="0"/>
          <w:strike w:val="0"/>
          <w:color w:val="002060"/>
          <w:sz w:val="22"/>
          <w:szCs w:val="22"/>
          <w:u w:val="single"/>
          <w:shd w:fill="auto" w:val="clear"/>
          <w:vertAlign w:val="baseline"/>
          <w:rtl w:val="0"/>
        </w:rPr>
        <w:t xml:space="preserve">ILIMITADA</w:t>
      </w: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 por 20 Días). </w:t>
      </w:r>
      <w:r w:rsidDel="00000000" w:rsidR="00000000" w:rsidRPr="00000000">
        <w:rPr>
          <w:rFonts w:ascii="Calibri" w:cs="Calibri" w:eastAsia="Calibri" w:hAnsi="Calibri"/>
          <w:b w:val="0"/>
          <w:bCs w:val="0"/>
          <w:i w:val="1"/>
          <w:iCs w:val="1"/>
          <w:smallCaps w:val="0"/>
          <w:strike w:val="0"/>
          <w:color w:val="002060"/>
          <w:sz w:val="22"/>
          <w:szCs w:val="22"/>
          <w:u w:val="single"/>
          <w:shd w:fill="auto" w:val="clear"/>
          <w:vertAlign w:val="baseline"/>
          <w:rtl w:val="0"/>
        </w:rPr>
        <w:t xml:space="preserve">Nota importante:</w:t>
      </w: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 La Sim Card o Chip es un obsequio, si no es compatible con su teléfono, daño o pérdida, no aplica ningún reembolso.</w:t>
      </w:r>
    </w:p>
    <w:p w:rsidR="00000000" w:rsidDel="00000000" w:rsidP="00000000" w:rsidRDefault="00000000" w:rsidRPr="00000000" w14:paraId="000000D0">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D1">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D2">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w:t>
      </w:r>
      <w:r w:rsidDel="00000000" w:rsidR="00000000" w:rsidRPr="00000000">
        <w:rPr>
          <w:rFonts w:ascii="Calibri" w:cs="Calibri" w:eastAsia="Calibri" w:hAnsi="Calibri"/>
          <w:color w:val="002060"/>
          <w:rtl w:val="0"/>
        </w:rPr>
        <w:t xml:space="preserve">ni locales</w:t>
      </w:r>
      <w:r w:rsidDel="00000000" w:rsidR="00000000" w:rsidRPr="00000000">
        <w:rPr>
          <w:rFonts w:ascii="Calibri" w:cs="Calibri" w:eastAsia="Calibri" w:hAnsi="Calibri"/>
          <w:color w:val="1f3864"/>
          <w:rtl w:val="0"/>
        </w:rPr>
        <w:t xml:space="preserve">. (Consulta nuestras tarifas preferenciales)</w:t>
      </w:r>
    </w:p>
    <w:p w:rsidR="00000000" w:rsidDel="00000000" w:rsidP="00000000" w:rsidRDefault="00000000" w:rsidRPr="00000000" w14:paraId="000000D3">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Tasa Turística Local de Lisboa y Oporto no incluida, a abonar directamente en el hotel. Gastos personales, extras, Seguro viaje, </w:t>
      </w:r>
      <w:r w:rsidDel="00000000" w:rsidR="00000000" w:rsidRPr="00000000">
        <w:rPr>
          <w:rFonts w:ascii="Calibri" w:cs="Calibri" w:eastAsia="Calibri" w:hAnsi="Calibri"/>
          <w:color w:val="002060"/>
          <w:rtl w:val="0"/>
        </w:rPr>
        <w:t xml:space="preserve">Fee bancario</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D4">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especificados en el parágrafo de incluye.</w:t>
      </w:r>
    </w:p>
    <w:p w:rsidR="00000000" w:rsidDel="00000000" w:rsidP="00000000" w:rsidRDefault="00000000" w:rsidRPr="00000000" w14:paraId="000000D5">
      <w:pPr>
        <w:numPr>
          <w:ilvl w:val="0"/>
          <w:numId w:val="1"/>
        </w:numPr>
        <w:pBdr>
          <w:top w:space="0" w:sz="0" w:val="nil"/>
          <w:left w:space="0" w:sz="0" w:val="nil"/>
          <w:bottom w:space="0" w:sz="0" w:val="nil"/>
          <w:right w:space="0" w:sz="0" w:val="nil"/>
          <w:between w:space="0" w:sz="0" w:val="nil"/>
        </w:pBdr>
        <w:spacing w:before="22" w:lineRule="auto"/>
        <w:ind w:left="720" w:hanging="360"/>
        <w:rPr>
          <w:color w:val="1f3864"/>
        </w:rPr>
      </w:pPr>
      <w:r w:rsidDel="00000000" w:rsidR="00000000" w:rsidRPr="00000000">
        <w:rPr>
          <w:rFonts w:ascii="Calibri" w:cs="Calibri" w:eastAsia="Calibri" w:hAnsi="Calibri"/>
          <w:color w:val="1f3864"/>
          <w:rtl w:val="0"/>
        </w:rPr>
        <w:t xml:space="preserve">Visitas o servicios no mencionados.</w:t>
      </w: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before="22" w:lineRule="auto"/>
        <w:ind w:left="720" w:firstLine="0"/>
        <w:rPr>
          <w:color w:val="1f3864"/>
        </w:rPr>
      </w:pPr>
      <w:r w:rsidDel="00000000" w:rsidR="00000000" w:rsidRPr="00000000">
        <w:rPr>
          <w:rtl w:val="0"/>
        </w:rPr>
      </w:r>
    </w:p>
    <w:p w:rsidR="00000000" w:rsidDel="00000000" w:rsidP="00000000" w:rsidRDefault="00000000" w:rsidRPr="00000000" w14:paraId="000000D7">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HOTELES PREVISTOS O SIMILARES</w:t>
      </w:r>
    </w:p>
    <w:p w:rsidR="00000000" w:rsidDel="00000000" w:rsidP="00000000" w:rsidRDefault="00000000" w:rsidRPr="00000000" w14:paraId="000000D8">
      <w:pPr>
        <w:jc w:val="center"/>
        <w:rPr>
          <w:rFonts w:ascii="Calibri" w:cs="Calibri" w:eastAsia="Calibri" w:hAnsi="Calibri"/>
          <w:b w:val="1"/>
          <w:bCs w:val="1"/>
          <w:color w:val="1f3864"/>
        </w:rPr>
      </w:pPr>
      <w:r w:rsidDel="00000000" w:rsidR="00000000" w:rsidRPr="00000000">
        <w:rPr>
          <w:rtl w:val="0"/>
        </w:rPr>
      </w:r>
    </w:p>
    <w:tbl>
      <w:tblPr>
        <w:tblStyle w:val="Table3"/>
        <w:tblW w:w="8820.0" w:type="dxa"/>
        <w:jc w:val="left"/>
        <w:tblLayout w:type="fixed"/>
        <w:tblLook w:val="0400"/>
      </w:tblPr>
      <w:tblGrid>
        <w:gridCol w:w="1140"/>
        <w:gridCol w:w="1480"/>
        <w:gridCol w:w="760"/>
        <w:gridCol w:w="5440"/>
        <w:tblGridChange w:id="0">
          <w:tblGrid>
            <w:gridCol w:w="1140"/>
            <w:gridCol w:w="1480"/>
            <w:gridCol w:w="760"/>
            <w:gridCol w:w="5440"/>
          </w:tblGrid>
        </w:tblGridChange>
      </w:tblGrid>
      <w:tr>
        <w:trPr>
          <w:cantSplit w:val="0"/>
          <w:trHeight w:val="285"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D9">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NOCHES</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DA">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CIUDAD</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DB">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CLASE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DC">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HOTELES</w:t>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D">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2</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E">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Madrid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F">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T / A</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0">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Aloft Madrid Gran Vía / 1881 Madrid Ventas o similar</w:t>
            </w:r>
          </w:p>
        </w:tc>
      </w:tr>
      <w:tr>
        <w:trPr>
          <w:cantSplit w:val="0"/>
          <w:trHeight w:val="285"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1">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2</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2">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Oporto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3">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T</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4">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AC Porto o similar</w:t>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7">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8">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Yotel Porto / BessaHotel Boavista / Cristal o similar</w:t>
            </w:r>
          </w:p>
        </w:tc>
      </w:tr>
      <w:tr>
        <w:trPr>
          <w:cantSplit w:val="0"/>
          <w:trHeight w:val="285"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9">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1</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A">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Fátima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B">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T</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C">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São José o similar</w:t>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F">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F0">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Santa María / Aurea / Estrela / Regina o similar</w:t>
            </w:r>
          </w:p>
        </w:tc>
      </w:tr>
      <w:tr>
        <w:trPr>
          <w:cantSplit w:val="0"/>
          <w:trHeight w:val="285"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F1">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2</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F2">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Lisboa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F3">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T</w:t>
            </w:r>
          </w:p>
        </w:tc>
        <w:tc>
          <w:tcPr>
            <w:tcBorders>
              <w:top w:color="000000" w:space="0" w:sz="0" w:val="nil"/>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F4">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Roma o similar</w:t>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d9e2f3" w:val="clear"/>
            <w:vAlign w:val="center"/>
          </w:tcPr>
          <w:p w:rsidR="00000000" w:rsidDel="00000000" w:rsidP="00000000" w:rsidRDefault="00000000" w:rsidRPr="00000000" w14:paraId="000000F7">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A</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F8">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Lutécia / VIP Art’s / VIP Entrecampos o similar</w:t>
            </w:r>
          </w:p>
        </w:tc>
      </w:tr>
      <w:tr>
        <w:trPr>
          <w:cantSplit w:val="0"/>
          <w:trHeight w:val="285"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9">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1</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A">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Córdoba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FB">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T</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FC">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Sercotel Córdoba Medina Azahara o similar </w:t>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FF">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00">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NH Califa o similar</w:t>
            </w:r>
          </w:p>
        </w:tc>
      </w:tr>
      <w:tr>
        <w:trPr>
          <w:cantSplit w:val="0"/>
          <w:trHeight w:val="285"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01">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2</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02">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Sevilla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03">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T</w:t>
            </w:r>
          </w:p>
        </w:tc>
        <w:tc>
          <w:tcPr>
            <w:tcBorders>
              <w:top w:color="000000" w:space="0" w:sz="0" w:val="nil"/>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104">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Catalonia Santa Justa o similar</w:t>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d9e2f3" w:val="clear"/>
            <w:vAlign w:val="center"/>
          </w:tcPr>
          <w:p w:rsidR="00000000" w:rsidDel="00000000" w:rsidP="00000000" w:rsidRDefault="00000000" w:rsidRPr="00000000" w14:paraId="00000107">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A</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08">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Meliá Lebreros o similar</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09">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0A">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Costa del Sol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0B">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T / 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0C">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Sol Torremolinos / Sol Príncipe similar</w:t>
            </w:r>
          </w:p>
        </w:tc>
      </w:tr>
      <w:tr>
        <w:trPr>
          <w:cantSplit w:val="0"/>
          <w:trHeight w:val="285"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0D">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2</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0E">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Fez</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0F">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T</w:t>
            </w:r>
          </w:p>
        </w:tc>
        <w:tc>
          <w:tcPr>
            <w:tcBorders>
              <w:top w:color="000000" w:space="0" w:sz="0" w:val="nil"/>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110">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Menzeh Zalagh / Volubilis o similar</w:t>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d9e2f3" w:val="clear"/>
            <w:vAlign w:val="center"/>
          </w:tcPr>
          <w:p w:rsidR="00000000" w:rsidDel="00000000" w:rsidP="00000000" w:rsidRDefault="00000000" w:rsidRPr="00000000" w14:paraId="00000113">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A</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14">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Royal Mirage / Zalagh Park Palace o similar</w:t>
            </w:r>
          </w:p>
        </w:tc>
      </w:tr>
      <w:tr>
        <w:trPr>
          <w:cantSplit w:val="0"/>
          <w:trHeight w:val="285"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15">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1</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16">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Marrakech</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17">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T</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18">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Zalagh Kasbah / Meriem / El Andalous o similar</w:t>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1B">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1C">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Palm Plaza / Kenzi Rose / Mogador Agdal o similar</w:t>
            </w:r>
          </w:p>
        </w:tc>
      </w:tr>
      <w:tr>
        <w:trPr>
          <w:cantSplit w:val="0"/>
          <w:trHeight w:val="285"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1D">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1</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1E">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Casablanca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1F">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T</w:t>
            </w:r>
          </w:p>
        </w:tc>
        <w:tc>
          <w:tcPr>
            <w:tcBorders>
              <w:top w:color="000000" w:space="0" w:sz="0" w:val="nil"/>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120">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Kenzi Basma / Mogador Marina / Oum Palace o similar</w:t>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d9e2f3" w:val="clear"/>
            <w:vAlign w:val="center"/>
          </w:tcPr>
          <w:p w:rsidR="00000000" w:rsidDel="00000000" w:rsidP="00000000" w:rsidRDefault="00000000" w:rsidRPr="00000000" w14:paraId="00000123">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A</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24">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Le Grand Mogador / Farah / Le Palace D’Anfa o similar</w:t>
            </w:r>
          </w:p>
        </w:tc>
      </w:tr>
      <w:tr>
        <w:trPr>
          <w:cantSplit w:val="0"/>
          <w:trHeight w:val="285"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25">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1</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26">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Granada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27">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T</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28">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Alixares o similar</w:t>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2B">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2C">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Meliá Granada / Catalonia Granada o similar</w:t>
            </w:r>
          </w:p>
        </w:tc>
      </w:tr>
    </w:tbl>
    <w:p w:rsidR="00000000" w:rsidDel="00000000" w:rsidP="00000000" w:rsidRDefault="00000000" w:rsidRPr="00000000" w14:paraId="0000012D">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12E">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12F">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130">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w:t>
      </w:r>
    </w:p>
    <w:p w:rsidR="00000000" w:rsidDel="00000000" w:rsidP="00000000" w:rsidRDefault="00000000" w:rsidRPr="00000000" w14:paraId="00000131">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tarifa por persona en Euros, se liquida a la TRM negociada.</w:t>
      </w:r>
    </w:p>
    <w:p w:rsidR="00000000" w:rsidDel="00000000" w:rsidP="00000000" w:rsidRDefault="00000000" w:rsidRPr="00000000" w14:paraId="00000132">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30 % del valor del paquete por persona.</w:t>
      </w:r>
    </w:p>
    <w:p w:rsidR="00000000" w:rsidDel="00000000" w:rsidP="00000000" w:rsidRDefault="00000000" w:rsidRPr="00000000" w14:paraId="00000133">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134">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combinado con otros circuitos, no todos los participantes pudieran tener el mismo destino. De acuerdo al segmento del circuito se podría utilizar distinto guía acompañante.</w:t>
      </w:r>
    </w:p>
    <w:p w:rsidR="00000000" w:rsidDel="00000000" w:rsidP="00000000" w:rsidRDefault="00000000" w:rsidRPr="00000000" w14:paraId="00000135">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Durante la estancia en Madrid y Costa del Sol, no hay servicio de guía acompañante. </w:t>
      </w:r>
    </w:p>
    <w:p w:rsidR="00000000" w:rsidDel="00000000" w:rsidP="00000000" w:rsidRDefault="00000000" w:rsidRPr="00000000" w14:paraId="00000136">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Si la visita de Madrid no pudiera ser realizada por motivos técnicos, sería reemplazada por el Bus Turístico de 1 día Madrid City Tour o un walking tour por el Barrio de los Austrias (a decidir por parte del operador).</w:t>
      </w:r>
    </w:p>
    <w:p w:rsidR="00000000" w:rsidDel="00000000" w:rsidP="00000000" w:rsidRDefault="00000000" w:rsidRPr="00000000" w14:paraId="00000137">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el caso de que el Patronato de La Alhambra y el Generalife, en algunas fechas, no conceda las entradas para los participantes en la visita se ofrecerá una compensación por la pérdida de estos servicios, a discreción del operador.</w:t>
      </w:r>
    </w:p>
    <w:p w:rsidR="00000000" w:rsidDel="00000000" w:rsidP="00000000" w:rsidRDefault="00000000" w:rsidRPr="00000000" w14:paraId="00000138">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b w:val="1"/>
          <w:bCs w:val="1"/>
          <w:color w:val="1f3864"/>
          <w:u w:val="single"/>
          <w:rtl w:val="0"/>
        </w:rPr>
        <w:t xml:space="preserve">Marruecos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139">
      <w:pPr>
        <w:numPr>
          <w:ilvl w:val="0"/>
          <w:numId w:val="1"/>
        </w:numPr>
        <w:pBdr>
          <w:top w:space="0" w:sz="0" w:val="nil"/>
          <w:left w:space="0" w:sz="0" w:val="nil"/>
          <w:bottom w:space="0" w:sz="0" w:val="nil"/>
          <w:right w:space="0" w:sz="0" w:val="nil"/>
          <w:between w:space="0" w:sz="0" w:val="nil"/>
        </w:pBdr>
        <w:spacing w:before="22" w:lineRule="auto"/>
        <w:ind w:left="1134" w:hanging="283"/>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necesario disponer de los datos del pasaporte al menos 45 días antes de la salida para gestionar el paso a Marruecos.</w:t>
      </w:r>
    </w:p>
    <w:p w:rsidR="00000000" w:rsidDel="00000000" w:rsidP="00000000" w:rsidRDefault="00000000" w:rsidRPr="00000000" w14:paraId="0000013A">
      <w:pPr>
        <w:numPr>
          <w:ilvl w:val="0"/>
          <w:numId w:val="1"/>
        </w:numPr>
        <w:pBdr>
          <w:top w:space="0" w:sz="0" w:val="nil"/>
          <w:left w:space="0" w:sz="0" w:val="nil"/>
          <w:bottom w:space="0" w:sz="0" w:val="nil"/>
          <w:right w:space="0" w:sz="0" w:val="nil"/>
          <w:between w:space="0" w:sz="0" w:val="nil"/>
        </w:pBdr>
        <w:spacing w:before="22" w:lineRule="auto"/>
        <w:ind w:left="1134" w:hanging="283"/>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requisito indispensable para el gobierno de Marruecos que la vigencia de los pasaportes sea superior a 6 meses, incluyendo la estancia completa en este país</w:t>
      </w:r>
    </w:p>
    <w:p w:rsidR="00000000" w:rsidDel="00000000" w:rsidP="00000000" w:rsidRDefault="00000000" w:rsidRPr="00000000" w14:paraId="0000013B">
      <w:pPr>
        <w:numPr>
          <w:ilvl w:val="0"/>
          <w:numId w:val="1"/>
        </w:numPr>
        <w:pBdr>
          <w:top w:space="0" w:sz="0" w:val="nil"/>
          <w:left w:space="0" w:sz="0" w:val="nil"/>
          <w:bottom w:space="0" w:sz="0" w:val="nil"/>
          <w:right w:space="0" w:sz="0" w:val="nil"/>
          <w:between w:space="0" w:sz="0" w:val="nil"/>
        </w:pBdr>
        <w:spacing w:before="22" w:lineRule="auto"/>
        <w:ind w:left="1134" w:hanging="283"/>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Sólo se aceptará una pieza de equipaje por persona. Los pasajeros deberán atravesar el control de aduanas con su equipaje.</w:t>
      </w:r>
    </w:p>
    <w:p w:rsidR="00000000" w:rsidDel="00000000" w:rsidP="00000000" w:rsidRDefault="00000000" w:rsidRPr="00000000" w14:paraId="0000013C">
      <w:pPr>
        <w:numPr>
          <w:ilvl w:val="0"/>
          <w:numId w:val="1"/>
        </w:numPr>
        <w:pBdr>
          <w:top w:space="0" w:sz="0" w:val="nil"/>
          <w:left w:space="0" w:sz="0" w:val="nil"/>
          <w:bottom w:space="0" w:sz="0" w:val="nil"/>
          <w:right w:space="0" w:sz="0" w:val="nil"/>
          <w:between w:space="0" w:sz="0" w:val="nil"/>
        </w:pBdr>
        <w:spacing w:before="22" w:lineRule="auto"/>
        <w:ind w:left="1134" w:hanging="283"/>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itinerario de la parte de Marruecos puede ser modificado sin variaciones sustanciales de los servicios.</w:t>
      </w:r>
    </w:p>
    <w:p w:rsidR="00000000" w:rsidDel="00000000" w:rsidP="00000000" w:rsidRDefault="00000000" w:rsidRPr="00000000" w14:paraId="0000013D">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13E">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hotel de la noche de vuelta en Madrid puede ser diferente al de la estancia de ida</w:t>
      </w:r>
    </w:p>
    <w:p w:rsidR="00000000" w:rsidDel="00000000" w:rsidP="00000000" w:rsidRDefault="00000000" w:rsidRPr="00000000" w14:paraId="0000013F">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Si la visita de Madrid no pudiera ser realizada por motivos técnicos, sería reemplazada por el Bus Turístico de 1 día Madrid City Tour o un walking tour por el Barrio de los Austrias (a decidir por parte del operador).</w:t>
      </w:r>
    </w:p>
    <w:p w:rsidR="00000000" w:rsidDel="00000000" w:rsidP="00000000" w:rsidRDefault="00000000" w:rsidRPr="00000000" w14:paraId="0000014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El número mínimo de pasajeros para operar un circuito es de 8 personas. En caso de no llegar a esta cantidad en un plazo máximo de 30 días antes de la salida, </w:t>
      </w:r>
      <w:r w:rsidDel="00000000" w:rsidR="00000000" w:rsidRPr="00000000">
        <w:rPr>
          <w:rFonts w:ascii="Calibri" w:cs="Calibri" w:eastAsia="Calibri" w:hAnsi="Calibri"/>
          <w:b w:val="0"/>
          <w:bCs w:val="0"/>
          <w:i w:val="1"/>
          <w:iCs w:val="1"/>
          <w:smallCaps w:val="0"/>
          <w:strike w:val="0"/>
          <w:color w:val="1f3864"/>
          <w:sz w:val="22"/>
          <w:szCs w:val="22"/>
          <w:u w:val="none"/>
          <w:shd w:fill="auto" w:val="clear"/>
          <w:vertAlign w:val="baseline"/>
          <w:rtl w:val="0"/>
        </w:rPr>
        <w:t xml:space="preserve">Tropitours</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se reserva el derecho de cancelar dicho circuito, ofreciendo al cliente una alternativa.</w:t>
      </w:r>
    </w:p>
    <w:p w:rsidR="00000000" w:rsidDel="00000000" w:rsidP="00000000" w:rsidRDefault="00000000" w:rsidRPr="00000000" w14:paraId="00000141">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personas con movilidad reducida que deseen recibir información precisa sobre la idoneidad del viaje de acuerdo con sus necesidades especiales, a fin de valorar la posibilidad y viabilidad de contratar el viaje de acuerdo con las características del mismo, deberán poner en conocimiento de la agencia organizadora, tal situación para que se les pueda facilitar información a tal efecto. </w:t>
      </w:r>
    </w:p>
    <w:p w:rsidR="00000000" w:rsidDel="00000000" w:rsidP="00000000" w:rsidRDefault="00000000" w:rsidRPr="00000000" w14:paraId="00000142">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70 años.</w:t>
      </w:r>
      <w:r w:rsidDel="00000000" w:rsidR="00000000" w:rsidRPr="00000000">
        <w:rPr>
          <w:rFonts w:ascii="Calibri" w:cs="Calibri" w:eastAsia="Calibri" w:hAnsi="Calibri"/>
          <w:b w:val="1"/>
          <w:bCs w:val="1"/>
          <w:color w:val="1f3864"/>
          <w:rtl w:val="0"/>
        </w:rPr>
        <w:t xml:space="preserve"> Consulta aquí las condiciones de esta asistencia:</w:t>
      </w:r>
      <w:r w:rsidDel="00000000" w:rsidR="00000000" w:rsidRPr="00000000">
        <w:rPr>
          <w:rFonts w:ascii="Calibri" w:cs="Calibri" w:eastAsia="Calibri" w:hAnsi="Calibri"/>
          <w:color w:val="1f3864"/>
          <w:rtl w:val="0"/>
        </w:rPr>
        <w:t xml:space="preserve"> </w:t>
      </w:r>
      <w:hyperlink r:id="rId10">
        <w:r w:rsidDel="00000000" w:rsidR="00000000" w:rsidRPr="00000000">
          <w:rPr>
            <w:rFonts w:ascii="Calibri" w:cs="Calibri" w:eastAsia="Calibri" w:hAnsi="Calibri"/>
            <w:color w:val="0563c1"/>
            <w:u w:val="single"/>
            <w:rtl w:val="0"/>
          </w:rPr>
          <w:t xml:space="preserve">https://drive.google.com/drive/folders/1_9FFRd5gGfajxU-PxHxnRkxOfe6-a_Im</w:t>
        </w:r>
      </w:hyperlink>
      <w:r w:rsidDel="00000000" w:rsidR="00000000" w:rsidRPr="00000000">
        <w:rPr>
          <w:rtl w:val="0"/>
        </w:rPr>
      </w:r>
    </w:p>
    <w:p w:rsidR="00000000" w:rsidDel="00000000" w:rsidP="00000000" w:rsidRDefault="00000000" w:rsidRPr="00000000" w14:paraId="00000143">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144">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r w:rsidDel="00000000" w:rsidR="00000000" w:rsidRPr="00000000">
        <w:rPr>
          <w:rtl w:val="0"/>
        </w:rPr>
      </w:r>
    </w:p>
    <w:p w:rsidR="00000000" w:rsidDel="00000000" w:rsidP="00000000" w:rsidRDefault="00000000" w:rsidRPr="00000000" w14:paraId="00000145">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146">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147">
      <w:pPr>
        <w:ind w:right="520"/>
        <w:jc w:val="both"/>
        <w:rPr>
          <w:rFonts w:ascii="Calibri" w:cs="Calibri" w:eastAsia="Calibri" w:hAnsi="Calibri"/>
          <w:b w:val="1"/>
          <w:bCs w:val="1"/>
          <w:i w:val="1"/>
          <w:iCs w:val="1"/>
          <w:color w:val="1f3864"/>
          <w:u w:val="single"/>
        </w:rPr>
      </w:pPr>
      <w:r w:rsidDel="00000000" w:rsidR="00000000" w:rsidRPr="00000000">
        <w:rPr>
          <w:rFonts w:ascii="Calibri" w:cs="Calibri" w:eastAsia="Calibri" w:hAnsi="Calibri"/>
          <w:b w:val="1"/>
          <w:bCs w:val="1"/>
          <w:i w:val="1"/>
          <w:iCs w:val="1"/>
          <w:color w:val="1f3864"/>
          <w:u w:val="single"/>
          <w:rtl w:val="0"/>
        </w:rPr>
        <w:t xml:space="preserve">Penalizaciones según la fecha en que canceles:</w:t>
      </w:r>
    </w:p>
    <w:p w:rsidR="00000000" w:rsidDel="00000000" w:rsidP="00000000" w:rsidRDefault="00000000" w:rsidRPr="00000000" w14:paraId="0000014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Gastos de gestión y anulación, si los hay.</w:t>
      </w:r>
    </w:p>
    <w:p w:rsidR="00000000" w:rsidDel="00000000" w:rsidP="00000000" w:rsidRDefault="00000000" w:rsidRPr="00000000" w14:paraId="000001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520" w:hanging="360"/>
        <w:jc w:val="both"/>
        <w:rPr>
          <w:rFonts w:ascii="Calibri" w:cs="Calibri" w:eastAsia="Calibri" w:hAnsi="Calibri"/>
          <w:b w:val="0"/>
          <w:bCs w:val="0"/>
          <w:i w:val="0"/>
          <w:iCs w:val="0"/>
          <w:smallCaps w:val="0"/>
          <w:strike w:val="0"/>
          <w:color w:val="1f3864"/>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Cancelación con gastos al 30% a 30 días antes del inicio de viaje.</w:t>
      </w:r>
      <w:r w:rsidDel="00000000" w:rsidR="00000000" w:rsidRPr="00000000">
        <w:rPr>
          <w:rtl w:val="0"/>
        </w:rPr>
      </w:r>
    </w:p>
    <w:p w:rsidR="00000000" w:rsidDel="00000000" w:rsidP="00000000" w:rsidRDefault="00000000" w:rsidRPr="00000000" w14:paraId="000001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520" w:hanging="360"/>
        <w:jc w:val="both"/>
        <w:rPr>
          <w:rFonts w:ascii="Calibri" w:cs="Calibri" w:eastAsia="Calibri" w:hAnsi="Calibri"/>
          <w:b w:val="0"/>
          <w:bCs w:val="0"/>
          <w:i w:val="0"/>
          <w:iCs w:val="0"/>
          <w:smallCaps w:val="0"/>
          <w:strike w:val="0"/>
          <w:color w:val="1f3864"/>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Cancelación con gastos al 100% a menos de 30 días de inicio de viaje y/o no show. </w:t>
      </w:r>
      <w:r w:rsidDel="00000000" w:rsidR="00000000" w:rsidRPr="00000000">
        <w:rPr>
          <w:rtl w:val="0"/>
        </w:rPr>
      </w:r>
    </w:p>
    <w:p w:rsidR="00000000" w:rsidDel="00000000" w:rsidP="00000000" w:rsidRDefault="00000000" w:rsidRPr="00000000" w14:paraId="0000014B">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14C">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14D">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14E">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14F">
      <w:pPr>
        <w:widowControl w:val="1"/>
        <w:spacing w:after="160" w:line="259" w:lineRule="auto"/>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w:t>
      </w:r>
    </w:p>
    <w:p w:rsidR="00000000" w:rsidDel="00000000" w:rsidP="00000000" w:rsidRDefault="00000000" w:rsidRPr="00000000" w14:paraId="000001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No te olvides de incorporar un pequeño botiquín con lo indispensable para el cuidado de los pies y la protección de la piel.</w:t>
      </w:r>
    </w:p>
    <w:p w:rsidR="00000000" w:rsidDel="00000000" w:rsidP="00000000" w:rsidRDefault="00000000" w:rsidRPr="00000000" w14:paraId="00000151">
      <w:pPr>
        <w:numPr>
          <w:ilvl w:val="0"/>
          <w:numId w:val="3"/>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Te recomendamos consultar el clima y la temporada en las regiones que estará para llevar la ropa adecuada.</w:t>
      </w:r>
    </w:p>
    <w:p w:rsidR="00000000" w:rsidDel="00000000" w:rsidP="00000000" w:rsidRDefault="00000000" w:rsidRPr="00000000" w14:paraId="00000152">
      <w:pPr>
        <w:numPr>
          <w:ilvl w:val="0"/>
          <w:numId w:val="3"/>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vital planificar con anticipación, obtener la documentación necesaria (pasaporte vigente y ETIAS a partir de 2025 para colombianos), y tener un seguro de viaje. </w:t>
      </w:r>
    </w:p>
    <w:p w:rsidR="00000000" w:rsidDel="00000000" w:rsidP="00000000" w:rsidRDefault="00000000" w:rsidRPr="00000000" w14:paraId="00000153">
      <w:pPr>
        <w:numPr>
          <w:ilvl w:val="0"/>
          <w:numId w:val="3"/>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También se recomienda empacar ligero, aprender algunas frases básicas en el idioma local, reservar alojamiento y actividades con anticipación. </w:t>
      </w:r>
    </w:p>
    <w:p w:rsidR="00000000" w:rsidDel="00000000" w:rsidP="00000000" w:rsidRDefault="00000000" w:rsidRPr="00000000" w14:paraId="00000154">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155">
      <w:pPr>
        <w:widowControl w:val="1"/>
        <w:spacing w:after="160" w:line="259" w:lineRule="auto"/>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REQUISITOS:</w:t>
      </w:r>
    </w:p>
    <w:p w:rsidR="00000000" w:rsidDel="00000000" w:rsidP="00000000" w:rsidRDefault="00000000" w:rsidRPr="00000000" w14:paraId="0000015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Pasaporte con vigencia de mínimo 6 meses a partir de la fecha de viaje. </w:t>
      </w:r>
    </w:p>
    <w:p w:rsidR="00000000" w:rsidDel="00000000" w:rsidP="00000000" w:rsidRDefault="00000000" w:rsidRPr="00000000" w14:paraId="0000015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Tiquete aéreo ida y regreso. </w:t>
      </w:r>
    </w:p>
    <w:p w:rsidR="00000000" w:rsidDel="00000000" w:rsidP="00000000" w:rsidRDefault="00000000" w:rsidRPr="00000000" w14:paraId="0000015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Voucher de alojamiento y demostrar solvencia económica. </w:t>
      </w:r>
    </w:p>
    <w:p w:rsidR="00000000" w:rsidDel="00000000" w:rsidP="00000000" w:rsidRDefault="00000000" w:rsidRPr="00000000" w14:paraId="0000015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Autorización de viaje ETIAS </w:t>
      </w:r>
    </w:p>
    <w:p w:rsidR="00000000" w:rsidDel="00000000" w:rsidP="00000000" w:rsidRDefault="00000000" w:rsidRPr="00000000" w14:paraId="0000015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información debe ser confirmada permanentemente, debido a que las embajadas y consulados se reservan el derecho de modificar sin previo aviso la documentación y requisitos establecidos. </w:t>
      </w:r>
    </w:p>
    <w:p w:rsidR="00000000" w:rsidDel="00000000" w:rsidP="00000000" w:rsidRDefault="00000000" w:rsidRPr="00000000" w14:paraId="0000015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Más información:</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w:t>
      </w:r>
      <w:hyperlink r:id="rId11">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https://apply.joinsherpa.com/travel-restrictions/ITA?affiliateId=sherpa&amp;language=en-US&amp;originCountry</w:t>
        </w:r>
      </w:hyperlink>
      <w:r w:rsidDel="00000000" w:rsidR="00000000" w:rsidRPr="00000000">
        <w:rPr>
          <w:rtl w:val="0"/>
        </w:rPr>
      </w:r>
    </w:p>
    <w:p w:rsidR="00000000" w:rsidDel="00000000" w:rsidP="00000000" w:rsidRDefault="00000000" w:rsidRPr="00000000" w14:paraId="0000015C">
      <w:pPr>
        <w:ind w:right="520"/>
        <w:jc w:val="both"/>
        <w:rPr>
          <w:rFonts w:ascii="Calibri" w:cs="Calibri" w:eastAsia="Calibri" w:hAnsi="Calibri"/>
          <w:b w:val="1"/>
          <w:bCs w:val="1"/>
          <w:color w:val="1f3864"/>
          <w:sz w:val="21"/>
          <w:szCs w:val="21"/>
        </w:rPr>
      </w:pPr>
      <w:r w:rsidDel="00000000" w:rsidR="00000000" w:rsidRPr="00000000">
        <w:rPr>
          <w:rtl w:val="0"/>
        </w:rPr>
      </w:r>
    </w:p>
    <w:p w:rsidR="00000000" w:rsidDel="00000000" w:rsidP="00000000" w:rsidRDefault="00000000" w:rsidRPr="00000000" w14:paraId="0000015D">
      <w:pPr>
        <w:ind w:right="520"/>
        <w:rPr/>
      </w:pPr>
      <w:r w:rsidDel="00000000" w:rsidR="00000000" w:rsidRPr="00000000">
        <w:rPr>
          <w:rFonts w:ascii="Calibri" w:cs="Calibri" w:eastAsia="Calibri" w:hAnsi="Calibri"/>
          <w:b w:val="1"/>
          <w:bCs w:val="1"/>
          <w:color w:val="1f3864"/>
          <w:sz w:val="21"/>
          <w:szCs w:val="21"/>
          <w:rtl w:val="0"/>
        </w:rPr>
        <w:t xml:space="preserve">CLÁUSULA DE RESPONSABILIDAD: </w:t>
      </w:r>
      <w:hyperlink r:id="rId12">
        <w:r w:rsidDel="00000000" w:rsidR="00000000" w:rsidRPr="00000000">
          <w:rPr>
            <w:rFonts w:ascii="Calibri" w:cs="Calibri" w:eastAsia="Calibri" w:hAnsi="Calibri"/>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15E">
      <w:pPr>
        <w:ind w:right="520"/>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15F">
      <w:pPr>
        <w:ind w:right="49"/>
        <w:jc w:val="both"/>
        <w:rPr>
          <w:sz w:val="20"/>
          <w:szCs w:val="20"/>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-1073149</wp:posOffset>
          </wp:positionH>
          <wp:positionV relativeFrom="paragraph">
            <wp:posOffset>685800</wp:posOffset>
          </wp:positionV>
          <wp:extent cx="7806690" cy="1042035"/>
          <wp:effectExtent b="0" l="0" r="0" t="0"/>
          <wp:wrapNone/>
          <wp:docPr id="203714006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-1287836</wp:posOffset>
          </wp:positionH>
          <wp:positionV relativeFrom="paragraph">
            <wp:posOffset>-193830</wp:posOffset>
          </wp:positionV>
          <wp:extent cx="2366500" cy="1423679"/>
          <wp:effectExtent b="65225" l="38051" r="38051" t="65225"/>
          <wp:wrapNone/>
          <wp:docPr id="2037140062" name="image5.png"/>
          <a:graphic>
            <a:graphicData uri="http://schemas.openxmlformats.org/drawingml/2006/picture">
              <pic:pic>
                <pic:nvPicPr>
                  <pic:cNvPr id="0" name="image5.png"/>
                  <pic:cNvPicPr preferRelativeResize="0"/>
                </pic:nvPicPr>
                <pic:blipFill>
                  <a:blip r:embed="rId1"/>
                  <a:srcRect b="0" l="0" r="0" t="10460"/>
                  <a:stretch>
                    <a:fillRect/>
                  </a:stretch>
                </pic:blipFill>
                <pic:spPr>
                  <a:xfrm rot="21407143">
                    <a:off x="0" y="0"/>
                    <a:ext cx="2366500" cy="1423679"/>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-1155699</wp:posOffset>
          </wp:positionH>
          <wp:positionV relativeFrom="paragraph">
            <wp:posOffset>-438783</wp:posOffset>
          </wp:positionV>
          <wp:extent cx="8016875" cy="955040"/>
          <wp:effectExtent b="0" l="0" r="0" t="0"/>
          <wp:wrapNone/>
          <wp:docPr id="203714006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-591184</wp:posOffset>
          </wp:positionH>
          <wp:positionV relativeFrom="paragraph">
            <wp:posOffset>3499485</wp:posOffset>
          </wp:positionV>
          <wp:extent cx="311150" cy="2628900"/>
          <wp:effectExtent b="0" l="0" r="0" t="0"/>
          <wp:wrapNone/>
          <wp:docPr id="2037140067"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311150" cy="26289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3"/>
    <w:tblPr>
      <w:tblStyleRowBandSize w:val="1"/>
      <w:tblStyleColBandSize w:val="1"/>
      <w:tblCellMar>
        <w:left w:w="70.0" w:type="dxa"/>
        <w:right w:w="70.0" w:type="dxa"/>
      </w:tblCellMar>
    </w:tblPr>
  </w:style>
  <w:style w:type="table" w:styleId="a0" w:customStyle="1">
    <w:basedOn w:val="TableNormal3"/>
    <w:tblPr>
      <w:tblStyleRowBandSize w:val="1"/>
      <w:tblStyleColBandSize w:val="1"/>
      <w:tblCellMar>
        <w:left w:w="70.0" w:type="dxa"/>
        <w:right w:w="70.0" w:type="dxa"/>
      </w:tblCellMar>
    </w:tblPr>
  </w:style>
  <w:style w:type="table" w:styleId="a1" w:customStyle="1">
    <w:basedOn w:val="TableNormal3"/>
    <w:tblPr>
      <w:tblStyleRowBandSize w:val="1"/>
      <w:tblStyleColBandSize w:val="1"/>
      <w:tblCellMar>
        <w:left w:w="70.0" w:type="dxa"/>
        <w:right w:w="70.0" w:type="dxa"/>
      </w:tblCellMar>
    </w:tblPr>
  </w:style>
  <w:style w:type="paragraph" w:styleId="NormalWeb">
    <w:name w:val="Normal (Web)"/>
    <w:basedOn w:val="Normal"/>
    <w:uiPriority w:val="99"/>
    <w:unhideWhenUsed w:val="1"/>
    <w:rsid w:val="0053561E"/>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table" w:styleId="a2" w:customStyle="1">
    <w:basedOn w:val="TableNormal2"/>
    <w:tblPr>
      <w:tblStyleRowBandSize w:val="1"/>
      <w:tblStyleColBandSize w:val="1"/>
      <w:tblCellMar>
        <w:top w:w="100.0" w:type="dxa"/>
        <w:left w:w="100.0" w:type="dxa"/>
        <w:bottom w:w="100.0" w:type="dxa"/>
        <w:right w:w="10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table" w:styleId="a5" w:customStyle="1">
    <w:basedOn w:val="TableNormal2"/>
    <w:tblPr>
      <w:tblStyleRowBandSize w:val="1"/>
      <w:tblStyleColBandSize w:val="1"/>
      <w:tblCellMar>
        <w:left w:w="70.0" w:type="dxa"/>
        <w:right w:w="70.0" w:type="dxa"/>
      </w:tblCellMar>
    </w:tblPr>
  </w:style>
  <w:style w:type="table" w:styleId="a6" w:customStyle="1">
    <w:basedOn w:val="TableNormal0"/>
    <w:tblPr>
      <w:tblStyleRowBandSize w:val="1"/>
      <w:tblStyleColBandSize w:val="1"/>
      <w:tblCellMar>
        <w:left w:w="70.0" w:type="dxa"/>
        <w:right w:w="70.0" w:type="dxa"/>
      </w:tblCellMar>
    </w:tblPr>
  </w:style>
  <w:style w:type="table" w:styleId="a7" w:customStyle="1">
    <w:basedOn w:val="TableNormal0"/>
    <w:tblPr>
      <w:tblStyleRowBandSize w:val="1"/>
      <w:tblStyleColBandSize w:val="1"/>
      <w:tblCellMar>
        <w:top w:w="100.0" w:type="dxa"/>
        <w:left w:w="70.0" w:type="dxa"/>
        <w:bottom w:w="100.0" w:type="dxa"/>
        <w:right w:w="70.0" w:type="dxa"/>
      </w:tblCellMar>
    </w:tblPr>
  </w:style>
  <w:style w:type="character" w:styleId="Mencinsinresolver">
    <w:name w:val="Unresolved Mention"/>
    <w:basedOn w:val="Fuentedeprrafopredeter"/>
    <w:uiPriority w:val="99"/>
    <w:semiHidden w:val="1"/>
    <w:unhideWhenUsed w:val="1"/>
    <w:rsid w:val="0022091F"/>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ly.joinsherpa.com/travel-restrictions/ITA?affiliateId=sherpa&amp;language=en-US&amp;originCountry" TargetMode="External"/><Relationship Id="rId10" Type="http://schemas.openxmlformats.org/officeDocument/2006/relationships/hyperlink" Target="https://drive.google.com/drive/folders/1_9FFRd5gGfajxU-PxHxnRkxOfe6-a_Im" TargetMode="External"/><Relationship Id="rId13" Type="http://schemas.openxmlformats.org/officeDocument/2006/relationships/header" Target="header2.xml"/><Relationship Id="rId12" Type="http://schemas.openxmlformats.org/officeDocument/2006/relationships/hyperlink" Target="https://www.tropitours.co/es/clausula-de-responsa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3.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pn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sgizkPmTDxLHaxGTHrW4ljvqJg==">CgMxLjA4AHIhMWtKcWViNHBmR09ndlVnS1FnUU1QUUlFVURaV0dia09u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2024-08-26T21:27:00Z</dcterms:created>
  <dc:creator>Eliana Gomez</dc:creator>
</cp:coreProperties>
</file>