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ff0000"/>
          <w:sz w:val="48"/>
          <w:szCs w:val="48"/>
        </w:rPr>
      </w:pPr>
      <w:r w:rsidDel="00000000" w:rsidR="00000000" w:rsidRPr="00000000">
        <w:rPr>
          <w:rFonts w:ascii="Calibri" w:cs="Calibri" w:eastAsia="Calibri" w:hAnsi="Calibri"/>
          <w:b w:val="1"/>
          <w:color w:val="ff0000"/>
          <w:sz w:val="48"/>
          <w:szCs w:val="48"/>
          <w:rtl w:val="0"/>
        </w:rPr>
        <w:t xml:space="preserve">PROMO 2X1 </w:t>
      </w:r>
      <w:r w:rsidDel="00000000" w:rsidR="00000000" w:rsidRPr="00000000">
        <w:rPr>
          <w:rFonts w:ascii="Calibri" w:cs="Calibri" w:eastAsia="Calibri" w:hAnsi="Calibri"/>
          <w:b w:val="1"/>
          <w:color w:val="1f3864"/>
          <w:sz w:val="48"/>
          <w:szCs w:val="48"/>
          <w:rtl w:val="0"/>
        </w:rPr>
        <w:t xml:space="preserve">DUBAI TEM. ALTA </w: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rPr>
      </w:pPr>
      <w:bookmarkStart w:colFirst="0" w:colLast="0" w:name="_heading=h.gjdgxs" w:id="0"/>
      <w:bookmarkEnd w:id="0"/>
      <w:r w:rsidDel="00000000" w:rsidR="00000000" w:rsidRPr="00000000">
        <w:rPr>
          <w:rFonts w:ascii="Calibri" w:cs="Calibri" w:eastAsia="Calibri" w:hAnsi="Calibri"/>
          <w:b w:val="1"/>
          <w:color w:val="1f3864"/>
          <w:sz w:val="48"/>
          <w:szCs w:val="48"/>
          <w:rtl w:val="0"/>
        </w:rPr>
        <w:t xml:space="preserve">4N/5D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Del 01 al 31 de Octubre 2025.</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2"/>
          <w:szCs w:val="12"/>
        </w:rPr>
      </w:pPr>
      <w:r w:rsidDel="00000000" w:rsidR="00000000" w:rsidRPr="00000000">
        <w:rPr>
          <w:rtl w:val="0"/>
        </w:rPr>
      </w:r>
    </w:p>
    <w:p w:rsidR="00000000" w:rsidDel="00000000" w:rsidP="00000000" w:rsidRDefault="00000000" w:rsidRPr="00000000" w14:paraId="00000006">
      <w:pPr>
        <w:spacing w:line="276" w:lineRule="auto"/>
        <w:jc w:val="both"/>
        <w:rPr>
          <w:rFonts w:ascii="Quattrocento Sans" w:cs="Quattrocento Sans" w:eastAsia="Quattrocento Sans" w:hAnsi="Quattrocento Sans"/>
          <w:b w:val="1"/>
          <w:color w:val="538135"/>
          <w:sz w:val="18"/>
          <w:szCs w:val="18"/>
        </w:rPr>
      </w:pPr>
      <w:r w:rsidDel="00000000" w:rsidR="00000000" w:rsidRPr="00000000">
        <w:rPr>
          <w:rtl w:val="0"/>
        </w:rPr>
      </w:r>
    </w:p>
    <w:p w:rsidR="00000000" w:rsidDel="00000000" w:rsidP="00000000" w:rsidRDefault="00000000" w:rsidRPr="00000000" w14:paraId="00000007">
      <w:pPr>
        <w:spacing w:line="276" w:lineRule="auto"/>
        <w:jc w:val="center"/>
        <w:rPr>
          <w:rFonts w:ascii="Quattrocento Sans" w:cs="Quattrocento Sans" w:eastAsia="Quattrocento Sans" w:hAnsi="Quattrocento Sans"/>
          <w:color w:val="538135"/>
          <w:sz w:val="18"/>
          <w:szCs w:val="18"/>
        </w:rPr>
      </w:pPr>
      <w:r w:rsidDel="00000000" w:rsidR="00000000" w:rsidRPr="00000000">
        <w:rPr/>
        <w:drawing>
          <wp:inline distB="0" distT="0" distL="0" distR="0">
            <wp:extent cx="1659484" cy="1244658"/>
            <wp:effectExtent b="0" l="0" r="0" t="0"/>
            <wp:docPr descr="Estaciones del año en Dubái - Clima en primavera, otoño, verano, invierno" id="2037140055" name="image5.jpg"/>
            <a:graphic>
              <a:graphicData uri="http://schemas.openxmlformats.org/drawingml/2006/picture">
                <pic:pic>
                  <pic:nvPicPr>
                    <pic:cNvPr descr="Estaciones del año en Dubái - Clima en primavera, otoño, verano, invierno" id="0" name="image5.jpg"/>
                    <pic:cNvPicPr preferRelativeResize="0"/>
                  </pic:nvPicPr>
                  <pic:blipFill>
                    <a:blip r:embed="rId7"/>
                    <a:srcRect b="0" l="0" r="0" t="0"/>
                    <a:stretch>
                      <a:fillRect/>
                    </a:stretch>
                  </pic:blipFill>
                  <pic:spPr>
                    <a:xfrm>
                      <a:off x="0" y="0"/>
                      <a:ext cx="1659484" cy="1244658"/>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813766" cy="1243616"/>
            <wp:effectExtent b="0" l="0" r="0" t="0"/>
            <wp:docPr descr="Día de la Bandera de Emiratos Árabes Unidos - Ámbito Internacional" id="2037140057" name="image2.jpg"/>
            <a:graphic>
              <a:graphicData uri="http://schemas.openxmlformats.org/drawingml/2006/picture">
                <pic:pic>
                  <pic:nvPicPr>
                    <pic:cNvPr descr="Día de la Bandera de Emiratos Árabes Unidos - Ámbito Internacional" id="0" name="image2.jpg"/>
                    <pic:cNvPicPr preferRelativeResize="0"/>
                  </pic:nvPicPr>
                  <pic:blipFill>
                    <a:blip r:embed="rId8"/>
                    <a:srcRect b="0" l="0" r="0" t="0"/>
                    <a:stretch>
                      <a:fillRect/>
                    </a:stretch>
                  </pic:blipFill>
                  <pic:spPr>
                    <a:xfrm>
                      <a:off x="0" y="0"/>
                      <a:ext cx="1813766" cy="1243616"/>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774723" cy="1247931"/>
            <wp:effectExtent b="0" l="0" r="0" t="0"/>
            <wp:docPr descr="El increíble &quot;Museo del Futuro&quot; que todos quieren visitar" id="2037140056" name="image6.jpg"/>
            <a:graphic>
              <a:graphicData uri="http://schemas.openxmlformats.org/drawingml/2006/picture">
                <pic:pic>
                  <pic:nvPicPr>
                    <pic:cNvPr descr="El increíble &quot;Museo del Futuro&quot; que todos quieren visitar" id="0" name="image6.jpg"/>
                    <pic:cNvPicPr preferRelativeResize="0"/>
                  </pic:nvPicPr>
                  <pic:blipFill>
                    <a:blip r:embed="rId9"/>
                    <a:srcRect b="0" l="0" r="0" t="0"/>
                    <a:stretch>
                      <a:fillRect/>
                    </a:stretch>
                  </pic:blipFill>
                  <pic:spPr>
                    <a:xfrm>
                      <a:off x="0" y="0"/>
                      <a:ext cx="1774723" cy="124793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color w:val="1f3864"/>
          <w:sz w:val="8"/>
          <w:szCs w:val="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both"/>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DUBÁI TRASLADO DE LLEGADA EN PRIVADO</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 Dubai, serán recibidos por nuestro representante, que les dará la bienvenida y los llevarán al hotel en un vehículo hacia el hotel. Check-In y alojamiento.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DESERT SAFARI EN REGULAR CON CENA BBQ</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actividades opcionales. Sobre las 15.00 Hrs, seremos recogidos en el lobby del hotel para iniciar un emocionante Desert Safari. En el recorrido nos detendremos sobre las grandes dunas, para tomar fotografías del hermoso desierto, jugar en las arenas doradas y observar la espectacular puesta de Sol. A continuación, llegamos a un tradicional campamento árabe, donde tendremos la oportunidad de disfrutar de actividades, como montar a camello, pintura en henna, fumar la aromática shisha (pipa de agua), shows en vivo como la danza del vientre y degustaremos una deliciosa cena BBQ. Al finalizar la cena volveremos al hotel. Excursión con conductores de habla inglesa.</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TOUR DUBÁI (MODERNO Y ANTIGUO) DE MEDIO DÍA</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recogida en el hotel para iniciar nuestro recorrido por la Parte Antigua de Dubái, donde visitaremos el barrio Bastakiya, el fuerte Al Fahidi, y el Museo de Dubái, y así conocer la cultura e historia de la nación. Luego cruzaremos el Creek de Dubái a bordo de los Abra (pequeña embarcación de madera), para conocer los mercados del Oro y de las Especies. Posteriormente visitaremos la Parte Moderna de Dubái, para ir a Jumeirah Beach, una de las playas más visitadas de Dubái, donde podremos tener una sesión de fotos del Burj Al Arab (conocido como el hotel más lujoso del mundo). Luego conduciremos a través de Sheikh Zayed Road, desde donde podremos apreciar los grandes rascacielos de la ciudad. Finalmente pasaremos por el Downtown, para tener unas panorámicas de la torre más alta del mundo, el “Burj Khalifa” (entradas no incluidas), junto al asombroso centro comercial El Dubái Mall. Al finalizar el tour volveremos al hotel.</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DÍA LIBRE</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tomar alguna actividad opcional.</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TRASLADO DE SALIDA EN PRIVADO</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seremos recogidos y trasladados al aeropuerto, para tomar el vuelo de salida.</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B">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DÓLARES</w:t>
      </w:r>
    </w:p>
    <w:p w:rsidR="00000000" w:rsidDel="00000000" w:rsidP="00000000" w:rsidRDefault="00000000" w:rsidRPr="00000000" w14:paraId="0000001D">
      <w:pPr>
        <w:jc w:val="center"/>
        <w:rPr>
          <w:rFonts w:ascii="Calibri" w:cs="Calibri" w:eastAsia="Calibri" w:hAnsi="Calibri"/>
          <w:b w:val="1"/>
          <w:color w:val="1f3864"/>
        </w:rPr>
      </w:pPr>
      <w:r w:rsidDel="00000000" w:rsidR="00000000" w:rsidRPr="00000000">
        <w:rPr>
          <w:rtl w:val="0"/>
        </w:rPr>
      </w:r>
    </w:p>
    <w:tbl>
      <w:tblPr>
        <w:tblStyle w:val="Table1"/>
        <w:tblW w:w="8505.0" w:type="dxa"/>
        <w:jc w:val="center"/>
        <w:tblLayout w:type="fixed"/>
        <w:tblLook w:val="0400"/>
      </w:tblPr>
      <w:tblGrid>
        <w:gridCol w:w="1946"/>
        <w:gridCol w:w="1598"/>
        <w:gridCol w:w="1559"/>
        <w:gridCol w:w="1701"/>
        <w:gridCol w:w="1701"/>
        <w:tblGridChange w:id="0">
          <w:tblGrid>
            <w:gridCol w:w="1946"/>
            <w:gridCol w:w="1598"/>
            <w:gridCol w:w="1559"/>
            <w:gridCol w:w="1701"/>
            <w:gridCol w:w="1701"/>
          </w:tblGrid>
        </w:tblGridChange>
      </w:tblGrid>
      <w:tr>
        <w:trPr>
          <w:cantSplit w:val="0"/>
          <w:trHeight w:val="548" w:hRule="atLeast"/>
          <w:tblHeader w:val="0"/>
        </w:trPr>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0">
            <w:pPr>
              <w:widowControl w:val="1"/>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DOBLE 2X1</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 (0-11 AÑOS)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NOCHE ADICIONAL</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4* o similar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895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b w:val="1"/>
                <w:color w:val="002060"/>
                <w:u w:val="single"/>
              </w:rPr>
            </w:pPr>
            <w:r w:rsidDel="00000000" w:rsidR="00000000" w:rsidRPr="00000000">
              <w:rPr>
                <w:rFonts w:ascii="Calibri" w:cs="Calibri" w:eastAsia="Calibri" w:hAnsi="Calibri"/>
                <w:b w:val="1"/>
                <w:color w:val="002060"/>
                <w:u w:val="single"/>
                <w:rtl w:val="0"/>
              </w:rPr>
              <w:t xml:space="preserve">906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455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5* o similar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u w:val="single"/>
              </w:rPr>
            </w:pPr>
            <w:r w:rsidDel="00000000" w:rsidR="00000000" w:rsidRPr="00000000">
              <w:rPr>
                <w:rFonts w:ascii="Calibri" w:cs="Calibri" w:eastAsia="Calibri" w:hAnsi="Calibri"/>
                <w:color w:val="002060"/>
                <w:u w:val="single"/>
                <w:rtl w:val="0"/>
              </w:rPr>
              <w:t xml:space="preserve">1.008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169 USD</w:t>
            </w:r>
          </w:p>
        </w:tc>
      </w:tr>
    </w:tbl>
    <w:p w:rsidR="00000000" w:rsidDel="00000000" w:rsidP="00000000" w:rsidRDefault="00000000" w:rsidRPr="00000000" w14:paraId="0000002D">
      <w:pPr>
        <w:jc w:val="center"/>
        <w:rPr>
          <w:rFonts w:ascii="Calibri" w:cs="Calibri" w:eastAsia="Calibri" w:hAnsi="Calibri"/>
          <w:color w:val="1f3864"/>
        </w:rPr>
      </w:pPr>
      <w:r w:rsidDel="00000000" w:rsidR="00000000" w:rsidRPr="00000000">
        <w:rPr>
          <w:rFonts w:ascii="Calibri" w:cs="Calibri" w:eastAsia="Calibri" w:hAnsi="Calibri"/>
          <w:i w:val="1"/>
          <w:color w:val="1f3864"/>
          <w:rtl w:val="0"/>
        </w:rPr>
        <w:t xml:space="preserve">Las tarifas para habitación sencilla son por persona. En habitación </w:t>
      </w:r>
      <w:r w:rsidDel="00000000" w:rsidR="00000000" w:rsidRPr="00000000">
        <w:rPr>
          <w:rFonts w:ascii="Calibri" w:cs="Calibri" w:eastAsia="Calibri" w:hAnsi="Calibri"/>
          <w:b w:val="1"/>
          <w:i w:val="1"/>
          <w:color w:val="1f3864"/>
          <w:rtl w:val="0"/>
        </w:rPr>
        <w:t xml:space="preserve">doble</w:t>
      </w:r>
      <w:r w:rsidDel="00000000" w:rsidR="00000000" w:rsidRPr="00000000">
        <w:rPr>
          <w:rFonts w:ascii="Calibri" w:cs="Calibri" w:eastAsia="Calibri" w:hAnsi="Calibri"/>
          <w:i w:val="1"/>
          <w:color w:val="1f3864"/>
          <w:rtl w:val="0"/>
        </w:rPr>
        <w:t xml:space="preserve">, el precio es 2x1: Viajan dos personas, pero solo se cobra una.</w:t>
      </w:r>
      <w:r w:rsidDel="00000000" w:rsidR="00000000" w:rsidRPr="00000000">
        <w:rPr>
          <w:rtl w:val="0"/>
        </w:rPr>
      </w:r>
    </w:p>
    <w:p w:rsidR="00000000" w:rsidDel="00000000" w:rsidP="00000000" w:rsidRDefault="00000000" w:rsidRPr="00000000" w14:paraId="0000002E">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 </w:t>
      </w:r>
    </w:p>
    <w:p w:rsidR="00000000" w:rsidDel="00000000" w:rsidP="00000000" w:rsidRDefault="00000000" w:rsidRPr="00000000" w14:paraId="00000030">
      <w:pPr>
        <w:rPr>
          <w:rFonts w:ascii="Calibri" w:cs="Calibri" w:eastAsia="Calibri" w:hAnsi="Calibri"/>
          <w:b w:val="1"/>
          <w:color w:val="1f3864"/>
        </w:rPr>
      </w:pPr>
      <w:r w:rsidDel="00000000" w:rsidR="00000000" w:rsidRPr="00000000">
        <w:rPr>
          <w:rtl w:val="0"/>
        </w:rPr>
      </w:r>
    </w:p>
    <w:tbl>
      <w:tblPr>
        <w:tblStyle w:val="Table2"/>
        <w:tblW w:w="3080.0" w:type="dxa"/>
        <w:jc w:val="center"/>
        <w:tblLayout w:type="fixed"/>
        <w:tblLook w:val="0400"/>
      </w:tblPr>
      <w:tblGrid>
        <w:gridCol w:w="3080"/>
        <w:tblGridChange w:id="0">
          <w:tblGrid>
            <w:gridCol w:w="3080"/>
          </w:tblGrid>
        </w:tblGridChange>
      </w:tblGrid>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PREVISTO O SIMILAR</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Golden Tulip 4*o similar</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o similar</w:t>
            </w:r>
          </w:p>
        </w:tc>
      </w:tr>
    </w:tbl>
    <w:p w:rsidR="00000000" w:rsidDel="00000000" w:rsidP="00000000" w:rsidRDefault="00000000" w:rsidRPr="00000000" w14:paraId="0000003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OPCIONALES EN DÓLARES</w:t>
      </w:r>
    </w:p>
    <w:p w:rsidR="00000000" w:rsidDel="00000000" w:rsidP="00000000" w:rsidRDefault="00000000" w:rsidRPr="00000000" w14:paraId="00000036">
      <w:pPr>
        <w:jc w:val="center"/>
        <w:rPr>
          <w:rFonts w:ascii="Calibri" w:cs="Calibri" w:eastAsia="Calibri" w:hAnsi="Calibri"/>
          <w:b w:val="1"/>
          <w:color w:val="1f3864"/>
        </w:rPr>
      </w:pPr>
      <w:r w:rsidDel="00000000" w:rsidR="00000000" w:rsidRPr="00000000">
        <w:rPr>
          <w:rtl w:val="0"/>
        </w:rPr>
      </w:r>
    </w:p>
    <w:tbl>
      <w:tblPr>
        <w:tblStyle w:val="Table3"/>
        <w:tblW w:w="7295.0" w:type="dxa"/>
        <w:jc w:val="center"/>
        <w:tblLayout w:type="fixed"/>
        <w:tblLook w:val="0400"/>
      </w:tblPr>
      <w:tblGrid>
        <w:gridCol w:w="4695"/>
        <w:gridCol w:w="2600"/>
        <w:tblGridChange w:id="0">
          <w:tblGrid>
            <w:gridCol w:w="4695"/>
            <w:gridCol w:w="260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OPCIONALES (MIN 2 PAX)</w:t>
            </w:r>
          </w:p>
        </w:tc>
        <w:tc>
          <w:tcPr>
            <w:tcBorders>
              <w:top w:color="000000" w:space="0" w:sz="8" w:val="single"/>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3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VALOR POR PASAJERO</w:t>
            </w:r>
          </w:p>
        </w:tc>
      </w:tr>
      <w:tr>
        <w:trPr>
          <w:cantSplit w:val="0"/>
          <w:trHeight w:val="504"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Subida al Burj Khalifa piso 124</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69 USD</w:t>
            </w:r>
          </w:p>
        </w:tc>
      </w:tr>
      <w:tr>
        <w:trPr>
          <w:cantSplit w:val="0"/>
          <w:trHeight w:val="55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Sharjah en Regular y español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82 USD</w:t>
            </w:r>
          </w:p>
        </w:tc>
      </w:tr>
      <w:tr>
        <w:trPr>
          <w:cantSplit w:val="0"/>
          <w:trHeight w:val="55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En Helicóptero – 12 Minutos Con Traslados Incluidos</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319 USD</w:t>
            </w:r>
          </w:p>
        </w:tc>
      </w:tr>
    </w:tbl>
    <w:p w:rsidR="00000000" w:rsidDel="00000000" w:rsidP="00000000" w:rsidRDefault="00000000" w:rsidRPr="00000000" w14:paraId="0000003F">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de hotel en Dubái con desayunos diarios.</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y salida.</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Desert Safari en Regular con cena BBQ.</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Dubái medio día en regular y español.</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47">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720" w:right="708"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Vuelos internacionales (Consulta nuestras tarifas especiales)</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ind w:left="720" w:right="708"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Propinas, Visado de Emiratos Árabes, Excursiones opcionales.</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ind w:left="720" w:right="708"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Alimentos y bebidas no especificados</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ind w:left="720" w:right="708"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Tourism Dirham Fee de Usd 5.5 por noche por habitación, el cual es de pago directo por el cliente, al momento del check-in. </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ind w:left="720" w:right="708"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Ningún otro servicio especificado como incluido</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ind w:left="720" w:right="708"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0">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1">
      <w:pPr>
        <w:numPr>
          <w:ilvl w:val="0"/>
          <w:numId w:val="2"/>
        </w:numPr>
        <w:pBdr>
          <w:top w:space="0" w:sz="0" w:val="nil"/>
          <w:left w:space="0" w:sz="0" w:val="nil"/>
          <w:bottom w:space="0" w:sz="0" w:val="nil"/>
          <w:right w:space="0" w:sz="0" w:val="nil"/>
          <w:between w:space="0" w:sz="0" w:val="nil"/>
        </w:pBdr>
        <w:ind w:left="720" w:right="283" w:hanging="360"/>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ind w:left="720" w:right="28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del valor del paquete por persona.</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ind w:left="720" w:right="283" w:hanging="36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Al momento de confirmación de reserva, usted acepta el compromiso de pago mensual, garantizando el pago total 45 días previos a la fecha de viaje.</w:t>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ind w:left="720" w:right="28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las visitas puede variar según el día de llegada a Dubai.</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ind w:left="720" w:right="28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ind w:left="720" w:right="28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ind w:left="720" w:right="28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ind w:left="720" w:right="28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tarifas son cotizadas en categoría de habitación estándar</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ind w:left="720" w:right="28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ind w:left="720" w:right="283"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ind w:left="720" w:right="283" w:hanging="360"/>
        <w:jc w:val="both"/>
        <w:rPr>
          <w:rFonts w:ascii="Calibri" w:cs="Calibri" w:eastAsia="Calibri" w:hAnsi="Calibri"/>
          <w:color w:val="1f3864"/>
        </w:rPr>
      </w:pPr>
      <w:bookmarkStart w:colFirst="0" w:colLast="0" w:name="_heading=h.1fob9te" w:id="2"/>
      <w:bookmarkEnd w:id="2"/>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color w:val="1f3864"/>
          <w:rtl w:val="0"/>
        </w:rPr>
        <w:t xml:space="preserve">Consulta aquí las condiciones de esta asistencia: </w:t>
      </w:r>
      <w:hyperlink r:id="rId10">
        <w:r w:rsidDel="00000000" w:rsidR="00000000" w:rsidRPr="00000000">
          <w:rPr>
            <w:rFonts w:ascii="Calibri" w:cs="Calibri" w:eastAsia="Calibri" w:hAnsi="Calibri"/>
            <w:color w:val="0563c1"/>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5C">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D">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E">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5F">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1">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62">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3">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64">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65">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66">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67">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 </w:t>
      </w:r>
      <w:hyperlink r:id="rId11">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68">
      <w:pPr>
        <w:spacing w:before="22" w:lineRule="auto"/>
        <w:ind w:left="72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9">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6A">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6B">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6C">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6D">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6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2">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6F">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 </w:t>
      </w:r>
      <w:hyperlink r:id="rId13">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0">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1">
      <w:pPr>
        <w:ind w:right="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72">
      <w:pPr>
        <w:widowControl w:val="1"/>
        <w:spacing w:after="160" w:line="259" w:lineRule="auto"/>
        <w:jc w:val="both"/>
        <w:rPr>
          <w:sz w:val="20"/>
          <w:szCs w:val="20"/>
        </w:rPr>
      </w:pPr>
      <w:r w:rsidDel="00000000" w:rsidR="00000000" w:rsidRPr="00000000">
        <w:rPr>
          <w:sz w:val="20"/>
          <w:szCs w:val="20"/>
          <w:rtl w:val="0"/>
        </w:rPr>
        <w:t xml:space="preserve"> </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-923923</wp:posOffset>
          </wp:positionH>
          <wp:positionV relativeFrom="paragraph">
            <wp:posOffset>742950</wp:posOffset>
          </wp:positionV>
          <wp:extent cx="7810500" cy="999525"/>
          <wp:effectExtent b="0" l="0" r="0" t="0"/>
          <wp:wrapNone/>
          <wp:docPr id="203714006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10500" cy="9995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-1024254</wp:posOffset>
          </wp:positionH>
          <wp:positionV relativeFrom="paragraph">
            <wp:posOffset>-231139</wp:posOffset>
          </wp:positionV>
          <wp:extent cx="2211572" cy="1314411"/>
          <wp:effectExtent b="0" l="0" r="0" t="0"/>
          <wp:wrapNone/>
          <wp:docPr id="2037140060" name="image3.png"/>
          <a:graphic>
            <a:graphicData uri="http://schemas.openxmlformats.org/drawingml/2006/picture">
              <pic:pic>
                <pic:nvPicPr>
                  <pic:cNvPr id="0" name="image3.png"/>
                  <pic:cNvPicPr preferRelativeResize="0"/>
                </pic:nvPicPr>
                <pic:blipFill>
                  <a:blip r:embed="rId1"/>
                  <a:srcRect b="0" l="0" r="0" t="11541"/>
                  <a:stretch>
                    <a:fillRect/>
                  </a:stretch>
                </pic:blipFill>
                <pic:spPr>
                  <a:xfrm>
                    <a:off x="0" y="0"/>
                    <a:ext cx="2211572" cy="131441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-1028697</wp:posOffset>
          </wp:positionH>
          <wp:positionV relativeFrom="paragraph">
            <wp:posOffset>-450213</wp:posOffset>
          </wp:positionV>
          <wp:extent cx="8016875" cy="955040"/>
          <wp:effectExtent b="0" l="0" r="0" t="0"/>
          <wp:wrapSquare wrapText="bothSides" distB="0" distT="0" distL="114300" distR="114300"/>
          <wp:docPr id="203714005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16875" cy="955040"/>
                  </a:xfrm>
                  <a:prstGeom prst="rect"/>
                  <a:ln/>
                </pic:spPr>
              </pic:pic>
            </a:graphicData>
          </a:graphic>
        </wp:anchor>
      </w:drawing>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-601979</wp:posOffset>
          </wp:positionH>
          <wp:positionV relativeFrom="paragraph">
            <wp:posOffset>3223260</wp:posOffset>
          </wp:positionV>
          <wp:extent cx="400050" cy="2343150"/>
          <wp:effectExtent b="0" l="0" r="0" t="0"/>
          <wp:wrapNone/>
          <wp:docPr id="2037140058"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400050" cy="23431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character" w:styleId="Mencinsinresolver">
    <w:name w:val="Unresolved Mention"/>
    <w:basedOn w:val="Fuentedeprrafopredeter"/>
    <w:uiPriority w:val="99"/>
    <w:semiHidden w:val="1"/>
    <w:unhideWhenUsed w:val="1"/>
    <w:rsid w:val="00594865"/>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xteriores.gob.es/es/ServiciosAlCiudadano/Paginas/Detalle-recomendaciones-de-viaje.aspx?trc=Emiratos+%C3%81rabes+Unidos" TargetMode="External"/><Relationship Id="rId10" Type="http://schemas.openxmlformats.org/officeDocument/2006/relationships/hyperlink" Target="https://www.universal-assistance.com/files/condiciones_generales.pdf" TargetMode="External"/><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AE-DU?affiliateId=sherpa&amp;language=es-XL&amp;originCountr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 Id="rId3"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q0yLeJlPXpJ1RctNIpg9SRPZwA==">CgMxLjAyCGguZ2pkZ3hzMgloLjMwajB6bGwyCWguMWZvYjl0ZTgAciExQ19wdHNveG5nUDJLZlg0WU5FQkxJOXo0d3ZaMERTWWs=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