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MARAVILLAS DE MEDIO ORIENTE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10N/11D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(Egipto &amp; Jordania)</w:t>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Todos los Domingos.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OPERACIÓN: </w:t>
      </w:r>
      <w:r w:rsidDel="00000000" w:rsidR="00000000" w:rsidRPr="00000000">
        <w:rPr>
          <w:color w:val="1f3864"/>
          <w:rtl w:val="0"/>
        </w:rPr>
        <w:t xml:space="preserve">Mínimo 2 personas.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VIGENCIA DE VIAJE: </w:t>
      </w:r>
      <w:r w:rsidDel="00000000" w:rsidR="00000000" w:rsidRPr="00000000">
        <w:rPr>
          <w:color w:val="1f3864"/>
          <w:rtl w:val="0"/>
        </w:rPr>
        <w:t xml:space="preserve"> Hasta el 28 de Febrero 2027.</w:t>
      </w:r>
    </w:p>
    <w:p w:rsidR="00000000" w:rsidDel="00000000" w:rsidP="00000000" w:rsidRDefault="00000000" w:rsidRPr="00000000" w14:paraId="00000008">
      <w:pPr>
        <w:pBdr>
          <w:bottom w:color="000000" w:space="1" w:sz="6" w:val="single"/>
        </w:pBdr>
        <w:rPr>
          <w:color w:val="1f3864"/>
          <w:sz w:val="4"/>
          <w:szCs w:val="4"/>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spacing w:after="0" w:line="240" w:lineRule="auto"/>
        <w:rPr>
          <w:b w:val="1"/>
          <w:bCs w:val="1"/>
          <w:color w:val="002060"/>
        </w:rPr>
      </w:pPr>
      <w:r w:rsidDel="00000000" w:rsidR="00000000" w:rsidRPr="00000000">
        <w:rPr/>
        <w:drawing>
          <wp:inline distB="0" distT="0" distL="0" distR="0">
            <wp:extent cx="5613400" cy="1225550"/>
            <wp:effectExtent b="0" l="0" r="0" t="0"/>
            <wp:docPr id="186176624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b w:val="1"/>
          <w:bCs w:val="1"/>
          <w:color w:val="002060"/>
          <w:rtl w:val="0"/>
        </w:rPr>
        <w:t xml:space="preserve"> </w:t>
      </w:r>
    </w:p>
    <w:p w:rsidR="00000000" w:rsidDel="00000000" w:rsidP="00000000" w:rsidRDefault="00000000" w:rsidRPr="00000000" w14:paraId="0000000A">
      <w:pPr>
        <w:spacing w:after="0" w:line="240" w:lineRule="auto"/>
        <w:jc w:val="center"/>
        <w:rPr>
          <w:b w:val="1"/>
          <w:bCs w:val="1"/>
          <w:color w:val="002060"/>
          <w:sz w:val="14"/>
          <w:szCs w:val="14"/>
        </w:rPr>
      </w:pPr>
      <w:r w:rsidDel="00000000" w:rsidR="00000000" w:rsidRPr="00000000">
        <w:rPr>
          <w:rtl w:val="0"/>
        </w:rPr>
      </w:r>
    </w:p>
    <w:p w:rsidR="00000000" w:rsidDel="00000000" w:rsidP="00000000" w:rsidRDefault="00000000" w:rsidRPr="00000000" w14:paraId="0000000B">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1 DÍA DOMINGO – LLEGADA A EL CAIRO</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Llegada al Aeropuerto de El Cairo, asistencia de habla hispana en el aeropuerto por parte de nuestro representante antes del control de pasaportes. Traslado al hotel y alojamiento en El Cairo.</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2 DÍA LUNES EL CAIRO - LUXOR (DESAYUNO)</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Desayuno buffet. Día libre o posibilidad de volar directo a Luxor por la mañana. Posibilidad de realizar visita opcional de día completo a la ciudad de El Cairo: El Gran Museo Egipcio, la Ciudadela de Saladino con su Mezquita de Alabastro, el Barrio Copto y el Mercado de Khan el Khalili. Por la tarde, traslado al Aeropuerto de El Cairo, vuelo con destino a Luxor. Llegada y traslado al Barco. Cena y noche a bordo.</w:t>
      </w:r>
    </w:p>
    <w:p w:rsidR="00000000" w:rsidDel="00000000" w:rsidP="00000000" w:rsidRDefault="00000000" w:rsidRPr="00000000" w14:paraId="00000011">
      <w:pPr>
        <w:spacing w:after="0" w:line="240" w:lineRule="auto"/>
        <w:jc w:val="both"/>
        <w:rPr>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b w:val="1"/>
          <w:bCs w:val="1"/>
          <w:color w:val="002060"/>
          <w:rtl w:val="0"/>
        </w:rPr>
        <w:t xml:space="preserve">3 DÍA MARTES – LUXOR - ESNA - EDFU (DESAYUNO, ALMUERZO Y CENA)</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Desayuno buffet en el barco. Visita a los Templos de Luxor y Karnak. Visitaremos la necrópolis de Tebas: Valle de los Reyes, Templo funerario de la Reina Hatshepsut conocido como el Deir el Bahary, y los colosos de Memnón. A la hora prevista, zarparemos hacia Esna. Cruzaremos la esclusa de Esna y continuaremos la navegación hacia Edfu. Noche a bordo.</w:t>
      </w:r>
    </w:p>
    <w:p w:rsidR="00000000" w:rsidDel="00000000" w:rsidP="00000000" w:rsidRDefault="00000000" w:rsidRPr="00000000" w14:paraId="00000014">
      <w:pPr>
        <w:spacing w:after="0" w:line="240" w:lineRule="auto"/>
        <w:jc w:val="both"/>
        <w:rPr>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b w:val="1"/>
          <w:bCs w:val="1"/>
          <w:color w:val="002060"/>
          <w:rtl w:val="0"/>
        </w:rPr>
        <w:t xml:space="preserve">4 DÍAMIÉRCOLES – EDFUKOM - OMBOASUÁN (DESAYUNO, ALMUERZO Y CENA)</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Desayuno buffet en el barco. Llegada a Edfu, visita al Templo de Edfu dedicado al dios Horus. Navegación hacia Kom Ombo y visita al Templo de Kom Ombo, el único dedicado a dos divinidades: El dios Sobek con cabeza de cocodrilo y el dios Haroeris con cabeza de halcón. Navegación hacia Asuán. Noche a bordo.</w:t>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b w:val="1"/>
          <w:bCs w:val="1"/>
          <w:color w:val="002060"/>
          <w:rtl w:val="0"/>
        </w:rPr>
        <w:t xml:space="preserve">5 DÍA JUEVES – ASWAN (DESAYUNO, ALMUERZO Y CENA)</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Desayuno buffet en el barco. Por la mañana, excursión opcional a los famosos Templos de Abu Simbel. También, se realizará un paseo en faluca por el Nilo (típicos veleros egipcios) para admirar desde la faluca una panorámica del Mausoleo del Agha Khan, la Isla Elefantina y el Jardín Botánico. Luego visitaremos la Presa de Asuán y el Templo de Filae. Noche a bordo. La excursión opcional a los Templos de Abu Simbel puede ser realizada en este día o en el día siguiente según el horario del vuelo doméstico ASW – CAI en el día siguiente.</w:t>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b w:val="1"/>
          <w:bCs w:val="1"/>
          <w:color w:val="002060"/>
          <w:rtl w:val="0"/>
        </w:rPr>
        <w:t xml:space="preserve">6 DÍA VIERNES – ASUÁNEL - CAIRO (DESAYUNO)</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Desayuno buffet en el barco y desembarque. Excursión opcional a los famosos Templos de Abu Simbel. Al regreso, vuelo con destino a El Cairo. Llegada a El Cairo. Por la noche, visita opcional: Cena Buffet con Espectáculo en barco por el Río Nilo. Regreso al hotel y alojamiento en El Cairo. La excursión opcional a los Templos de Abu Simbel puede ser realizada en este día o en el día anterior según el horario del vuelo doméstico ASW – CAI en este día.</w:t>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b w:val="1"/>
          <w:bCs w:val="1"/>
          <w:color w:val="002060"/>
          <w:rtl w:val="0"/>
        </w:rPr>
        <w:t xml:space="preserve">7 DÍA SÁBADO – EL CAIRO (DESAYUNO)</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Desayuno buffet. Salida para realizar la visita incluida a las tres Pirámides de Giza, la eterna Esfinge y el Templo del Valle (no incluye entrada al interior de las Pirámides). Tarde libre con la opción de realizar una visita a la necrópolis de Sakkara y la ciudad de Menfis, capital del imperio antiguo. Por la noche, visita opcional al Espectáculo de Luz y Sonido de las Pirámides. Regreso al hotel y alojamiento en El Cairo.</w:t>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b w:val="1"/>
          <w:bCs w:val="1"/>
          <w:color w:val="002060"/>
          <w:rtl w:val="0"/>
        </w:rPr>
        <w:t xml:space="preserve">8 DÍA DOMINGO – EL CAIRO - LAS FUENTES DE MOISÉS - SANTA CATALINA (DESAYUNO Y CENA)</w:t>
      </w:r>
    </w:p>
    <w:p w:rsidR="00000000" w:rsidDel="00000000" w:rsidP="00000000" w:rsidRDefault="00000000" w:rsidRPr="00000000" w14:paraId="00000022">
      <w:pPr>
        <w:spacing w:after="0" w:line="240" w:lineRule="auto"/>
        <w:jc w:val="both"/>
        <w:rPr>
          <w:color w:val="002060"/>
        </w:rPr>
      </w:pPr>
      <w:r w:rsidDel="00000000" w:rsidR="00000000" w:rsidRPr="00000000">
        <w:rPr>
          <w:color w:val="002060"/>
          <w:rtl w:val="0"/>
        </w:rPr>
        <w:t xml:space="preserve">Desayuno buffet. Salida hacia la península del Sinaí vía el túnel de Ahmed Hamdy por debajo del canal de Suez, pasando de África a Asia. Visitaremos Ayun Musa o las fuentes de Moisés (Mara) para luego seguir hacia la ciudad de Santa Catalina. Llegada al hotel. Cena y alojamiento en Santa Catalina.</w:t>
      </w:r>
    </w:p>
    <w:p w:rsidR="00000000" w:rsidDel="00000000" w:rsidP="00000000" w:rsidRDefault="00000000" w:rsidRPr="00000000" w14:paraId="00000023">
      <w:pPr>
        <w:spacing w:after="0" w:line="240" w:lineRule="auto"/>
        <w:jc w:val="both"/>
        <w:rPr>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b w:val="1"/>
          <w:bCs w:val="1"/>
          <w:color w:val="002060"/>
          <w:rtl w:val="0"/>
        </w:rPr>
        <w:t xml:space="preserve">9 DÍA LUNES – SANTA CATALINA - EL MONTE DE MOISÉS - ARABA PETRA (DESAYUNO Y CENA)</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sería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Arava via Eilat, traslado a la frontera de Jordania. Entrada a Jordania “Arava” después de la finalización de los trámites de inmigración. Continuación hacia Petra. Cena y Alojamiento en Petra.</w:t>
      </w:r>
    </w:p>
    <w:p w:rsidR="00000000" w:rsidDel="00000000" w:rsidP="00000000" w:rsidRDefault="00000000" w:rsidRPr="00000000" w14:paraId="0000002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b w:val="1"/>
          <w:bCs w:val="1"/>
          <w:color w:val="002060"/>
          <w:rtl w:val="0"/>
        </w:rPr>
        <w:t xml:space="preserve">10 DÍA MARTES – PETRA AMMÁN (DESAYUNO Y CENA)</w:t>
      </w:r>
    </w:p>
    <w:p w:rsidR="00000000" w:rsidDel="00000000" w:rsidP="00000000" w:rsidRDefault="00000000" w:rsidRPr="00000000" w14:paraId="00000028">
      <w:pPr>
        <w:spacing w:after="0" w:line="240" w:lineRule="auto"/>
        <w:jc w:val="both"/>
        <w:rPr>
          <w:color w:val="002060"/>
        </w:rPr>
      </w:pPr>
      <w:r w:rsidDel="00000000" w:rsidR="00000000" w:rsidRPr="00000000">
        <w:rPr>
          <w:color w:val="002060"/>
          <w:rtl w:val="0"/>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Siq, cañón de 1 km. de longitud donde al final de su recorrido se descubre el impresionante y conocido Tesoro (Al Khazneh), la calle de las columnas, las tumbas de colores y tumbas reales. Viaje a Ammán. Alojamiento en Ammán.</w:t>
      </w:r>
    </w:p>
    <w:p w:rsidR="00000000" w:rsidDel="00000000" w:rsidP="00000000" w:rsidRDefault="00000000" w:rsidRPr="00000000" w14:paraId="0000002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b w:val="1"/>
          <w:bCs w:val="1"/>
          <w:color w:val="002060"/>
        </w:rPr>
      </w:pPr>
      <w:r w:rsidDel="00000000" w:rsidR="00000000" w:rsidRPr="00000000">
        <w:rPr>
          <w:b w:val="1"/>
          <w:bCs w:val="1"/>
          <w:color w:val="002060"/>
          <w:rtl w:val="0"/>
        </w:rPr>
        <w:t xml:space="preserve">11 DÍA MIÉRCOLES – AMMÁN - MADABA MONTE NEBO</w:t>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continuación visitaremos el Monte Nebo, lugar de suma importancia para todo cristiano, ya que fue el último lugar visitado por Moisés y desde donde el profeta pudo apreciar la Tierra Prometida que nunca llegaría a visitar. Traslado al Aeropuerto Internacional de Ammán Queen Alia para la salida final.</w:t>
      </w:r>
    </w:p>
    <w:p w:rsidR="00000000" w:rsidDel="00000000" w:rsidP="00000000" w:rsidRDefault="00000000" w:rsidRPr="00000000" w14:paraId="0000002C">
      <w:pPr>
        <w:spacing w:after="0" w:line="240" w:lineRule="auto"/>
        <w:jc w:val="both"/>
        <w:rPr>
          <w:color w:val="002060"/>
        </w:rPr>
      </w:pPr>
      <w:r w:rsidDel="00000000" w:rsidR="00000000" w:rsidRPr="00000000">
        <w:rPr>
          <w:rtl w:val="0"/>
        </w:rPr>
      </w:r>
    </w:p>
    <w:p w:rsidR="00000000" w:rsidDel="00000000" w:rsidP="00000000" w:rsidRDefault="00000000" w:rsidRPr="00000000" w14:paraId="0000002D">
      <w:pPr>
        <w:spacing w:after="0" w:line="240" w:lineRule="auto"/>
        <w:jc w:val="both"/>
        <w:rPr>
          <w:color w:val="002060"/>
        </w:rPr>
      </w:pPr>
      <w:r w:rsidDel="00000000" w:rsidR="00000000" w:rsidRPr="00000000">
        <w:rPr>
          <w:b w:val="1"/>
          <w:bCs w:val="1"/>
          <w:color w:val="002060"/>
          <w:rtl w:val="0"/>
        </w:rPr>
        <w:t xml:space="preserve">¡FIN DE NUESTROS SERVICIOS!</w:t>
      </w:r>
      <w:r w:rsidDel="00000000" w:rsidR="00000000" w:rsidRPr="00000000">
        <w:rPr>
          <w:rtl w:val="0"/>
        </w:rPr>
      </w:r>
    </w:p>
    <w:p w:rsidR="00000000" w:rsidDel="00000000" w:rsidP="00000000" w:rsidRDefault="00000000" w:rsidRPr="00000000" w14:paraId="0000002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F">
      <w:pPr>
        <w:jc w:val="center"/>
        <w:rPr>
          <w:b w:val="1"/>
          <w:bCs w:val="1"/>
          <w:color w:val="002060"/>
        </w:rPr>
      </w:pPr>
      <w:bookmarkStart w:colFirst="0" w:colLast="0" w:name="_heading=h.1fob9te" w:id="1"/>
      <w:bookmarkEnd w:id="1"/>
      <w:r w:rsidDel="00000000" w:rsidR="00000000" w:rsidRPr="00000000">
        <w:rPr>
          <w:b w:val="1"/>
          <w:bCs w:val="1"/>
          <w:color w:val="002060"/>
          <w:rtl w:val="0"/>
        </w:rPr>
        <w:t xml:space="preserve">TARIFA EN DÓLARES POR PERSONA</w:t>
      </w:r>
    </w:p>
    <w:tbl>
      <w:tblPr>
        <w:tblStyle w:val="Table1"/>
        <w:tblW w:w="6946.0" w:type="dxa"/>
        <w:jc w:val="center"/>
        <w:tblLayout w:type="fixed"/>
        <w:tblLook w:val="0400"/>
      </w:tblPr>
      <w:tblGrid>
        <w:gridCol w:w="2249"/>
        <w:gridCol w:w="1437"/>
        <w:gridCol w:w="1559"/>
        <w:gridCol w:w="1701"/>
        <w:tblGridChange w:id="0">
          <w:tblGrid>
            <w:gridCol w:w="2249"/>
            <w:gridCol w:w="1437"/>
            <w:gridCol w:w="1559"/>
            <w:gridCol w:w="1701"/>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0">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1">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b w:val="1"/>
                <w:bCs w:val="1"/>
                <w:color w:val="002060"/>
              </w:rPr>
            </w:pPr>
            <w:r w:rsidDel="00000000" w:rsidR="00000000" w:rsidRPr="00000000">
              <w:rPr>
                <w:b w:val="1"/>
                <w:bCs w:val="1"/>
                <w:color w:val="002060"/>
                <w:rtl w:val="0"/>
              </w:rPr>
              <w:t xml:space="preserve">3 Estrellas (A)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b w:val="1"/>
                <w:bCs w:val="1"/>
                <w:color w:val="002060"/>
              </w:rPr>
            </w:pPr>
            <w:r w:rsidDel="00000000" w:rsidR="00000000" w:rsidRPr="00000000">
              <w:rPr>
                <w:b w:val="1"/>
                <w:bCs w:val="1"/>
                <w:color w:val="002060"/>
                <w:rtl w:val="0"/>
              </w:rPr>
              <w:t xml:space="preserve">2.195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2.989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8">
            <w:pPr>
              <w:spacing w:after="0" w:line="240" w:lineRule="auto"/>
              <w:jc w:val="center"/>
              <w:rPr>
                <w:i w:val="1"/>
                <w:iCs w:val="1"/>
                <w:color w:val="002060"/>
              </w:rPr>
            </w:pPr>
            <w:r w:rsidDel="00000000" w:rsidR="00000000" w:rsidRPr="00000000">
              <w:rPr>
                <w:i w:val="1"/>
                <w:iCs w:val="1"/>
                <w:color w:val="002060"/>
                <w:rtl w:val="0"/>
              </w:rPr>
              <w:t xml:space="preserve">Suplemento MP</w:t>
            </w:r>
          </w:p>
        </w:tc>
        <w:tc>
          <w:tcPr>
            <w:gridSpan w:val="3"/>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235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b w:val="1"/>
                <w:bCs w:val="1"/>
                <w:color w:val="002060"/>
              </w:rPr>
            </w:pPr>
            <w:r w:rsidDel="00000000" w:rsidR="00000000" w:rsidRPr="00000000">
              <w:rPr>
                <w:b w:val="1"/>
                <w:bCs w:val="1"/>
                <w:color w:val="002060"/>
                <w:rtl w:val="0"/>
              </w:rPr>
              <w:t xml:space="preserve">4 Estrellas (B)</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2.349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2.349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3.219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i w:val="1"/>
                <w:iCs w:val="1"/>
                <w:color w:val="002060"/>
              </w:rPr>
            </w:pPr>
            <w:r w:rsidDel="00000000" w:rsidR="00000000" w:rsidRPr="00000000">
              <w:rPr>
                <w:i w:val="1"/>
                <w:iCs w:val="1"/>
                <w:color w:val="002060"/>
                <w:rtl w:val="0"/>
              </w:rPr>
              <w:t xml:space="preserve">Suplemento MP</w:t>
            </w:r>
          </w:p>
        </w:tc>
        <w:tc>
          <w:tcPr>
            <w:gridSpan w:val="3"/>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259 USD</w:t>
            </w:r>
          </w:p>
        </w:tc>
      </w:tr>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b w:val="1"/>
                <w:bCs w:val="1"/>
                <w:color w:val="002060"/>
              </w:rPr>
            </w:pPr>
            <w:r w:rsidDel="00000000" w:rsidR="00000000" w:rsidRPr="00000000">
              <w:rPr>
                <w:b w:val="1"/>
                <w:bCs w:val="1"/>
                <w:color w:val="002060"/>
                <w:rtl w:val="0"/>
              </w:rPr>
              <w:t xml:space="preserve">5 Estrellas (C)</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2.509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2.505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3.465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8">
            <w:pPr>
              <w:spacing w:after="0" w:line="240" w:lineRule="auto"/>
              <w:jc w:val="center"/>
              <w:rPr>
                <w:i w:val="1"/>
                <w:iCs w:val="1"/>
                <w:color w:val="002060"/>
              </w:rPr>
            </w:pPr>
            <w:r w:rsidDel="00000000" w:rsidR="00000000" w:rsidRPr="00000000">
              <w:rPr>
                <w:i w:val="1"/>
                <w:iCs w:val="1"/>
                <w:color w:val="002060"/>
                <w:rtl w:val="0"/>
              </w:rPr>
              <w:t xml:space="preserve">Suplemento MP</w:t>
            </w:r>
          </w:p>
        </w:tc>
        <w:tc>
          <w:tcPr>
            <w:gridSpan w:val="3"/>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360 USD</w:t>
            </w:r>
          </w:p>
        </w:tc>
      </w:tr>
    </w:tbl>
    <w:p w:rsidR="00000000" w:rsidDel="00000000" w:rsidP="00000000" w:rsidRDefault="00000000" w:rsidRPr="00000000" w14:paraId="0000004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D">
      <w:pPr>
        <w:spacing w:after="0" w:line="240" w:lineRule="auto"/>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4E">
      <w:pPr>
        <w:numPr>
          <w:ilvl w:val="0"/>
          <w:numId w:val="6"/>
        </w:numPr>
        <w:spacing w:after="0" w:line="240" w:lineRule="auto"/>
        <w:ind w:left="720" w:hanging="360"/>
        <w:jc w:val="both"/>
        <w:rPr>
          <w:color w:val="002060"/>
        </w:rPr>
      </w:pPr>
      <w:r w:rsidDel="00000000" w:rsidR="00000000" w:rsidRPr="00000000">
        <w:rPr>
          <w:color w:val="002060"/>
          <w:rtl w:val="0"/>
        </w:rPr>
        <w:t xml:space="preserve">Asistencia en Fronteras y Aeropuertos y traslados al hotel y/o Aeropuertos.</w:t>
      </w:r>
    </w:p>
    <w:p w:rsidR="00000000" w:rsidDel="00000000" w:rsidP="00000000" w:rsidRDefault="00000000" w:rsidRPr="00000000" w14:paraId="0000004F">
      <w:pPr>
        <w:numPr>
          <w:ilvl w:val="0"/>
          <w:numId w:val="6"/>
        </w:numPr>
        <w:spacing w:after="0" w:line="240" w:lineRule="auto"/>
        <w:ind w:left="720" w:hanging="360"/>
        <w:jc w:val="both"/>
        <w:rPr>
          <w:color w:val="002060"/>
        </w:rPr>
      </w:pPr>
      <w:r w:rsidDel="00000000" w:rsidR="00000000" w:rsidRPr="00000000">
        <w:rPr>
          <w:color w:val="002060"/>
          <w:rtl w:val="0"/>
        </w:rPr>
        <w:t xml:space="preserve">Alojamiento en los hoteles seleccionados con régimen según el programa indicado.</w:t>
      </w:r>
    </w:p>
    <w:p w:rsidR="00000000" w:rsidDel="00000000" w:rsidP="00000000" w:rsidRDefault="00000000" w:rsidRPr="00000000" w14:paraId="00000050">
      <w:pPr>
        <w:numPr>
          <w:ilvl w:val="0"/>
          <w:numId w:val="6"/>
        </w:numPr>
        <w:spacing w:after="0" w:line="240" w:lineRule="auto"/>
        <w:ind w:left="720" w:hanging="360"/>
        <w:jc w:val="both"/>
        <w:rPr>
          <w:color w:val="002060"/>
        </w:rPr>
      </w:pPr>
      <w:r w:rsidDel="00000000" w:rsidR="00000000" w:rsidRPr="00000000">
        <w:rPr>
          <w:color w:val="002060"/>
          <w:rtl w:val="0"/>
        </w:rPr>
        <w:t xml:space="preserve">En El Cairo sólo desayuno en el hotel. Alojamiento en media pensión en Santa Catalina, Petra y Ammán.</w:t>
      </w:r>
    </w:p>
    <w:p w:rsidR="00000000" w:rsidDel="00000000" w:rsidP="00000000" w:rsidRDefault="00000000" w:rsidRPr="00000000" w14:paraId="00000051">
      <w:pPr>
        <w:numPr>
          <w:ilvl w:val="0"/>
          <w:numId w:val="6"/>
        </w:numPr>
        <w:spacing w:after="0" w:line="240" w:lineRule="auto"/>
        <w:ind w:left="720" w:hanging="360"/>
        <w:jc w:val="both"/>
        <w:rPr>
          <w:color w:val="002060"/>
        </w:rPr>
      </w:pPr>
      <w:r w:rsidDel="00000000" w:rsidR="00000000" w:rsidRPr="00000000">
        <w:rPr>
          <w:color w:val="002060"/>
          <w:rtl w:val="0"/>
        </w:rPr>
        <w:t xml:space="preserve">Visitas y entradas a los sitios mencionados en el programa.</w:t>
      </w:r>
    </w:p>
    <w:p w:rsidR="00000000" w:rsidDel="00000000" w:rsidP="00000000" w:rsidRDefault="00000000" w:rsidRPr="00000000" w14:paraId="00000052">
      <w:pPr>
        <w:numPr>
          <w:ilvl w:val="0"/>
          <w:numId w:val="6"/>
        </w:numPr>
        <w:spacing w:after="0" w:line="240" w:lineRule="auto"/>
        <w:ind w:left="720" w:hanging="360"/>
        <w:jc w:val="both"/>
        <w:rPr>
          <w:color w:val="002060"/>
        </w:rPr>
      </w:pPr>
      <w:r w:rsidDel="00000000" w:rsidR="00000000" w:rsidRPr="00000000">
        <w:rPr>
          <w:color w:val="002060"/>
          <w:rtl w:val="0"/>
        </w:rPr>
        <w:t xml:space="preserve">Guía de habla hispana durante las visitas.</w:t>
      </w:r>
    </w:p>
    <w:p w:rsidR="00000000" w:rsidDel="00000000" w:rsidP="00000000" w:rsidRDefault="00000000" w:rsidRPr="00000000" w14:paraId="00000053">
      <w:pPr>
        <w:numPr>
          <w:ilvl w:val="0"/>
          <w:numId w:val="6"/>
        </w:numPr>
        <w:spacing w:after="0" w:line="240" w:lineRule="auto"/>
        <w:ind w:left="720" w:hanging="360"/>
        <w:jc w:val="both"/>
        <w:rPr>
          <w:color w:val="002060"/>
        </w:rPr>
      </w:pPr>
      <w:r w:rsidDel="00000000" w:rsidR="00000000" w:rsidRPr="00000000">
        <w:rPr>
          <w:color w:val="002060"/>
          <w:rtl w:val="0"/>
        </w:rPr>
        <w:t xml:space="preserve">Autobús para cruzar la frontera entre Egipto y Jordania.</w:t>
      </w:r>
    </w:p>
    <w:p w:rsidR="00000000" w:rsidDel="00000000" w:rsidP="00000000" w:rsidRDefault="00000000" w:rsidRPr="00000000" w14:paraId="00000054">
      <w:pPr>
        <w:numPr>
          <w:ilvl w:val="0"/>
          <w:numId w:val="6"/>
        </w:numPr>
        <w:spacing w:after="0" w:line="240" w:lineRule="auto"/>
        <w:ind w:left="720" w:hanging="360"/>
        <w:jc w:val="both"/>
        <w:rPr>
          <w:color w:val="002060"/>
        </w:rPr>
      </w:pPr>
      <w:r w:rsidDel="00000000" w:rsidR="00000000" w:rsidRPr="00000000">
        <w:rPr>
          <w:color w:val="002060"/>
          <w:rtl w:val="0"/>
        </w:rPr>
        <w:t xml:space="preserve">Los vuelos domésticos en El Cairo: CAI/LXR – ASW/CAI. </w:t>
      </w:r>
      <w:r w:rsidDel="00000000" w:rsidR="00000000" w:rsidRPr="00000000">
        <w:rPr>
          <w:color w:val="002060"/>
          <w:u w:val="single"/>
          <w:rtl w:val="0"/>
        </w:rPr>
        <w:t xml:space="preserve">Nota:</w:t>
      </w:r>
      <w:r w:rsidDel="00000000" w:rsidR="00000000" w:rsidRPr="00000000">
        <w:rPr>
          <w:color w:val="002060"/>
          <w:rtl w:val="0"/>
        </w:rPr>
        <w:t xml:space="preserve"> Los horarios de los vuelos domésticos dependen de las visitas confirmadas y la disponibilidad.</w:t>
      </w:r>
    </w:p>
    <w:p w:rsidR="00000000" w:rsidDel="00000000" w:rsidP="00000000" w:rsidRDefault="00000000" w:rsidRPr="00000000" w14:paraId="00000055">
      <w:pPr>
        <w:numPr>
          <w:ilvl w:val="0"/>
          <w:numId w:val="3"/>
        </w:numPr>
        <w:spacing w:after="0" w:line="240" w:lineRule="auto"/>
        <w:ind w:left="720" w:hanging="360"/>
        <w:jc w:val="both"/>
        <w:rPr>
          <w:color w:val="002060"/>
        </w:rPr>
      </w:pPr>
      <w:r w:rsidDel="00000000" w:rsidR="00000000" w:rsidRPr="00000000">
        <w:rPr>
          <w:color w:val="002060"/>
          <w:rtl w:val="0"/>
        </w:rPr>
        <w:t xml:space="preserve">Tarjeta de asistencia médica Universal. (Cobertura máxima USD 60.000).</w:t>
        <w:br w:type="textWrapping"/>
      </w:r>
    </w:p>
    <w:p w:rsidR="00000000" w:rsidDel="00000000" w:rsidP="00000000" w:rsidRDefault="00000000" w:rsidRPr="00000000" w14:paraId="00000056">
      <w:pPr>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7">
      <w:pPr>
        <w:numPr>
          <w:ilvl w:val="0"/>
          <w:numId w:val="3"/>
        </w:numPr>
        <w:spacing w:after="0" w:line="240" w:lineRule="auto"/>
        <w:ind w:left="720" w:hanging="360"/>
        <w:jc w:val="both"/>
        <w:rPr>
          <w:color w:val="002060"/>
        </w:rPr>
      </w:pPr>
      <w:r w:rsidDel="00000000" w:rsidR="00000000" w:rsidRPr="00000000">
        <w:rPr>
          <w:color w:val="002060"/>
          <w:rtl w:val="0"/>
        </w:rPr>
        <w:t xml:space="preserve">Tiquetes aéreos intercontinentales (consulta por nuestras tarifas especiales).</w:t>
      </w:r>
    </w:p>
    <w:p w:rsidR="00000000" w:rsidDel="00000000" w:rsidP="00000000" w:rsidRDefault="00000000" w:rsidRPr="00000000" w14:paraId="00000058">
      <w:pPr>
        <w:numPr>
          <w:ilvl w:val="0"/>
          <w:numId w:val="3"/>
        </w:numPr>
        <w:spacing w:after="0" w:line="240" w:lineRule="auto"/>
        <w:ind w:left="720" w:hanging="360"/>
        <w:jc w:val="both"/>
        <w:rPr>
          <w:b w:val="1"/>
          <w:bCs w:val="1"/>
          <w:color w:val="002060"/>
        </w:rPr>
      </w:pPr>
      <w:r w:rsidDel="00000000" w:rsidR="00000000" w:rsidRPr="00000000">
        <w:rPr>
          <w:color w:val="002060"/>
          <w:rtl w:val="0"/>
        </w:rPr>
        <w:t xml:space="preserve">Visitas opcionales (preguntas por nuestras tarifas especiales).</w:t>
      </w:r>
      <w:r w:rsidDel="00000000" w:rsidR="00000000" w:rsidRPr="00000000">
        <w:rPr>
          <w:rtl w:val="0"/>
        </w:rPr>
      </w:r>
    </w:p>
    <w:p w:rsidR="00000000" w:rsidDel="00000000" w:rsidP="00000000" w:rsidRDefault="00000000" w:rsidRPr="00000000" w14:paraId="00000059">
      <w:pPr>
        <w:numPr>
          <w:ilvl w:val="0"/>
          <w:numId w:val="3"/>
        </w:numPr>
        <w:spacing w:after="0" w:line="240" w:lineRule="auto"/>
        <w:ind w:left="720" w:hanging="360"/>
        <w:jc w:val="both"/>
        <w:rPr>
          <w:color w:val="002060"/>
        </w:rPr>
      </w:pPr>
      <w:r w:rsidDel="00000000" w:rsidR="00000000" w:rsidRPr="00000000">
        <w:rPr>
          <w:color w:val="002060"/>
          <w:rtl w:val="0"/>
        </w:rPr>
        <w:t xml:space="preserve">Asistencia de salida (por favor asegúrese de que los clientes van a presentar los documentos de visado (que tendrán a su llegada) en inmigración a la salida, de lo contrario se les pedirá que pagarán por la visa a la salida (JD 40.- alrededor de USD 60.- por persona)</w:t>
      </w:r>
    </w:p>
    <w:p w:rsidR="00000000" w:rsidDel="00000000" w:rsidP="00000000" w:rsidRDefault="00000000" w:rsidRPr="00000000" w14:paraId="0000005A">
      <w:pPr>
        <w:numPr>
          <w:ilvl w:val="0"/>
          <w:numId w:val="3"/>
        </w:numPr>
        <w:spacing w:after="0" w:line="240" w:lineRule="auto"/>
        <w:ind w:left="720" w:hanging="360"/>
        <w:jc w:val="both"/>
        <w:rPr>
          <w:color w:val="002060"/>
        </w:rPr>
      </w:pPr>
      <w:r w:rsidDel="00000000" w:rsidR="00000000" w:rsidRPr="00000000">
        <w:rPr>
          <w:color w:val="002060"/>
          <w:rtl w:val="0"/>
        </w:rPr>
        <w:t xml:space="preserve">Propinas para el guía, el conductor, servicio de hotel y restaurantes, gastos personales. Propinas a guías 5-6$ y choferes 4$ por día por persona en destino (excluyendo el crucero).</w:t>
      </w:r>
    </w:p>
    <w:p w:rsidR="00000000" w:rsidDel="00000000" w:rsidP="00000000" w:rsidRDefault="00000000" w:rsidRPr="00000000" w14:paraId="0000005B">
      <w:pPr>
        <w:numPr>
          <w:ilvl w:val="0"/>
          <w:numId w:val="3"/>
        </w:numPr>
        <w:spacing w:after="0" w:line="240" w:lineRule="auto"/>
        <w:ind w:left="720" w:hanging="360"/>
        <w:jc w:val="both"/>
        <w:rPr>
          <w:color w:val="002060"/>
        </w:rPr>
      </w:pPr>
      <w:r w:rsidDel="00000000" w:rsidR="00000000" w:rsidRPr="00000000">
        <w:rPr>
          <w:color w:val="002060"/>
          <w:rtl w:val="0"/>
        </w:rPr>
        <w:t xml:space="preserve">Comidas no mencionadas y/o bebidas en las cenas </w:t>
      </w:r>
    </w:p>
    <w:p w:rsidR="00000000" w:rsidDel="00000000" w:rsidP="00000000" w:rsidRDefault="00000000" w:rsidRPr="00000000" w14:paraId="0000005C">
      <w:pPr>
        <w:numPr>
          <w:ilvl w:val="0"/>
          <w:numId w:val="3"/>
        </w:numPr>
        <w:spacing w:after="0" w:line="240" w:lineRule="auto"/>
        <w:ind w:left="720" w:hanging="360"/>
        <w:jc w:val="both"/>
        <w:rPr>
          <w:color w:val="002060"/>
        </w:rPr>
      </w:pPr>
      <w:r w:rsidDel="00000000" w:rsidR="00000000" w:rsidRPr="00000000">
        <w:rPr>
          <w:color w:val="002060"/>
          <w:rtl w:val="0"/>
        </w:rPr>
        <w:t xml:space="preserve">Tasas de transacciones y fee bancario.</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92"/>
          <w:tab w:val="left" w:leader="none" w:pos="993"/>
        </w:tabs>
        <w:spacing w:after="0" w:before="0" w:line="268"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Tasas de salida Taba, Israel a Jordania, Visas a Egipto aprox. </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30$</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por persona (Pago en destino). En el </w:t>
      </w:r>
      <w:r w:rsidDel="00000000" w:rsidR="00000000" w:rsidRPr="00000000">
        <w:rPr>
          <w:color w:val="002060"/>
          <w:rtl w:val="0"/>
        </w:rPr>
        <w:t xml:space="preserve">crucero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45$ por persona.</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92"/>
          <w:tab w:val="left" w:leader="none" w:pos="993"/>
        </w:tabs>
        <w:spacing w:after="0" w:before="0" w:line="268"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5F">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60">
      <w:pPr>
        <w:spacing w:after="0" w:line="240" w:lineRule="auto"/>
        <w:jc w:val="center"/>
        <w:rPr>
          <w:b w:val="1"/>
          <w:bCs w:val="1"/>
          <w:color w:val="002060"/>
        </w:rPr>
      </w:pPr>
      <w:r w:rsidDel="00000000" w:rsidR="00000000" w:rsidRPr="00000000">
        <w:rPr>
          <w:rtl w:val="0"/>
        </w:rPr>
      </w:r>
    </w:p>
    <w:tbl>
      <w:tblPr>
        <w:tblStyle w:val="Table2"/>
        <w:tblW w:w="6936.0" w:type="dxa"/>
        <w:jc w:val="center"/>
        <w:tblLayout w:type="fixed"/>
        <w:tblLook w:val="0400"/>
      </w:tblPr>
      <w:tblGrid>
        <w:gridCol w:w="1800"/>
        <w:gridCol w:w="5136"/>
        <w:tblGridChange w:id="0">
          <w:tblGrid>
            <w:gridCol w:w="1800"/>
            <w:gridCol w:w="5136"/>
          </w:tblGrid>
        </w:tblGridChange>
      </w:tblGrid>
      <w:tr>
        <w:trPr>
          <w:cantSplit w:val="0"/>
          <w:trHeight w:val="28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61">
            <w:pPr>
              <w:spacing w:after="0" w:line="240" w:lineRule="auto"/>
              <w:jc w:val="center"/>
              <w:rPr>
                <w:b w:val="1"/>
                <w:bCs w:val="1"/>
                <w:color w:val="ffffff"/>
              </w:rPr>
            </w:pPr>
            <w:r w:rsidDel="00000000" w:rsidR="00000000" w:rsidRPr="00000000">
              <w:rPr>
                <w:b w:val="1"/>
                <w:bCs w:val="1"/>
                <w:color w:val="ffffff"/>
                <w:rtl w:val="0"/>
              </w:rPr>
              <w:t xml:space="preserve">CATEGORÍA A</w:t>
            </w:r>
          </w:p>
        </w:tc>
      </w:tr>
      <w:tr>
        <w:trPr>
          <w:cantSplit w:val="0"/>
          <w:trHeight w:val="285" w:hRule="atLeast"/>
          <w:tblHeader w:val="0"/>
        </w:trPr>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63">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CAIRO</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Barceló o Jaz o Azal Pyramids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65">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BARCO</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Princess Sarah o Solaris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67">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STA. CATALINA</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Catherine Plaza o Morgenland Village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69">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PETRA</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Petra Castle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6B">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AMMAN</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Mena Tyche o similar</w:t>
            </w:r>
          </w:p>
        </w:tc>
      </w:tr>
      <w:tr>
        <w:trPr>
          <w:cantSplit w:val="0"/>
          <w:trHeight w:val="28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6D">
            <w:pPr>
              <w:spacing w:after="0" w:line="240" w:lineRule="auto"/>
              <w:jc w:val="center"/>
              <w:rPr>
                <w:b w:val="1"/>
                <w:bCs w:val="1"/>
                <w:color w:val="ffffff"/>
              </w:rPr>
            </w:pPr>
            <w:r w:rsidDel="00000000" w:rsidR="00000000" w:rsidRPr="00000000">
              <w:rPr>
                <w:b w:val="1"/>
                <w:bCs w:val="1"/>
                <w:color w:val="ffffff"/>
                <w:rtl w:val="0"/>
              </w:rPr>
              <w:t xml:space="preserve">CATEGORÍA B</w:t>
            </w:r>
          </w:p>
        </w:tc>
      </w:tr>
      <w:tr>
        <w:trPr>
          <w:cantSplit w:val="0"/>
          <w:trHeight w:val="285" w:hRule="atLeast"/>
          <w:tblHeader w:val="0"/>
        </w:trPr>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6F">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CAIRO</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Mövenpick Media City o Hilton Dream Land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71">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BARCO</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Princess Sarah o Solaris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3">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STA. CATALINA</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Catherine Plaza o Morgenland Village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75">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PETRA</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Hyatt Zaman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7">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AMMAN</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Bristol o similar</w:t>
            </w:r>
          </w:p>
        </w:tc>
      </w:tr>
      <w:tr>
        <w:trPr>
          <w:cantSplit w:val="0"/>
          <w:trHeight w:val="28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79">
            <w:pPr>
              <w:spacing w:after="0" w:line="240" w:lineRule="auto"/>
              <w:jc w:val="center"/>
              <w:rPr>
                <w:b w:val="1"/>
                <w:bCs w:val="1"/>
                <w:color w:val="ffffff"/>
              </w:rPr>
            </w:pPr>
            <w:r w:rsidDel="00000000" w:rsidR="00000000" w:rsidRPr="00000000">
              <w:rPr>
                <w:b w:val="1"/>
                <w:bCs w:val="1"/>
                <w:color w:val="ffffff"/>
                <w:rtl w:val="0"/>
              </w:rPr>
              <w:t xml:space="preserve">CATEGORÍA C</w:t>
            </w:r>
          </w:p>
        </w:tc>
      </w:tr>
      <w:tr>
        <w:trPr>
          <w:cantSplit w:val="0"/>
          <w:trHeight w:val="285" w:hRule="atLeast"/>
          <w:tblHeader w:val="0"/>
        </w:trPr>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B">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CAIRO</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Conrad o Intercontinental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7D">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BARCO</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Princess Sarah o Solaris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STA. CATALINA</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Catherine Plaza o Morgenland Village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81">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PETRA</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Hyatt Zaman o similar</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AMMAN</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Rotana Tower o similar</w:t>
            </w:r>
          </w:p>
        </w:tc>
      </w:tr>
    </w:tbl>
    <w:p w:rsidR="00000000" w:rsidDel="00000000" w:rsidP="00000000" w:rsidRDefault="00000000" w:rsidRPr="00000000" w14:paraId="00000085">
      <w:pPr>
        <w:rPr>
          <w:b w:val="1"/>
          <w:bCs w:val="1"/>
          <w:color w:val="1f3864"/>
        </w:rPr>
      </w:pPr>
      <w:bookmarkStart w:colFirst="0" w:colLast="0" w:name="_heading=h.v5zeqha4j8oo" w:id="2"/>
      <w:bookmarkEnd w:id="2"/>
      <w:r w:rsidDel="00000000" w:rsidR="00000000" w:rsidRPr="00000000">
        <w:rPr>
          <w:rtl w:val="0"/>
        </w:rPr>
      </w:r>
    </w:p>
    <w:p w:rsidR="00000000" w:rsidDel="00000000" w:rsidP="00000000" w:rsidRDefault="00000000" w:rsidRPr="00000000" w14:paraId="00000086">
      <w:pPr>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bookmarkStart w:colFirst="0" w:colLast="0" w:name="_heading=h.3dy6vkm" w:id="3"/>
      <w:bookmarkEnd w:id="3"/>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50 % del valor del paquete por persona</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w:t>
      </w:r>
      <w:r w:rsidDel="00000000" w:rsidR="00000000" w:rsidRPr="00000000">
        <w:rPr>
          <w:b w:val="1"/>
          <w:bCs w:val="1"/>
          <w:color w:val="1f3864"/>
          <w:rtl w:val="0"/>
        </w:rPr>
        <w:t xml:space="preserve">previos</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 a la fecha de viaje.</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hora de check in es a las 03:00 pm y check out a las 12:00 pm.</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w:t>
      </w:r>
    </w:p>
    <w:p w:rsidR="00000000" w:rsidDel="00000000" w:rsidP="00000000" w:rsidRDefault="00000000" w:rsidRPr="00000000" w14:paraId="0000008C">
      <w:pPr>
        <w:numPr>
          <w:ilvl w:val="0"/>
          <w:numId w:val="5"/>
        </w:numPr>
        <w:spacing w:after="0" w:line="240" w:lineRule="auto"/>
        <w:ind w:left="736" w:hanging="360"/>
        <w:jc w:val="both"/>
        <w:rPr>
          <w:color w:val="002060"/>
        </w:rPr>
      </w:pPr>
      <w:r w:rsidDel="00000000" w:rsidR="00000000" w:rsidRPr="00000000">
        <w:rPr>
          <w:color w:val="002060"/>
          <w:rtl w:val="0"/>
        </w:rPr>
        <w:t xml:space="preserve">Los precios de descuento a niños, sólo en la habitación de los padres (solo un niño por habitación).</w:t>
      </w:r>
    </w:p>
    <w:p w:rsidR="00000000" w:rsidDel="00000000" w:rsidP="00000000" w:rsidRDefault="00000000" w:rsidRPr="00000000" w14:paraId="0000008D">
      <w:pPr>
        <w:numPr>
          <w:ilvl w:val="0"/>
          <w:numId w:val="5"/>
        </w:numPr>
        <w:spacing w:after="0" w:line="240" w:lineRule="auto"/>
        <w:ind w:left="736" w:hanging="360"/>
        <w:jc w:val="both"/>
        <w:rPr>
          <w:color w:val="002060"/>
        </w:rPr>
      </w:pPr>
      <w:r w:rsidDel="00000000" w:rsidR="00000000" w:rsidRPr="00000000">
        <w:rPr>
          <w:color w:val="002060"/>
          <w:rtl w:val="0"/>
        </w:rPr>
        <w:t xml:space="preserve">En habitaciones triples la tercera cama es plegable. En categoría Turista no hay habitación triple. De momento no hay según qué medias no podemos ofrecer triples.</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 caso de que el hotel seleccionado no esté disponible, le ofreceremos una alternativa apropiada al mismo estándar cuando </w:t>
      </w:r>
      <w:r w:rsidDel="00000000" w:rsidR="00000000" w:rsidRPr="00000000">
        <w:rPr>
          <w:color w:val="1f3864"/>
          <w:rtl w:val="0"/>
        </w:rPr>
        <w:t xml:space="preserve">confirmamos</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su reserva.</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Los precios no incluyen las fechas del </w:t>
      </w:r>
      <w:r w:rsidDel="00000000" w:rsidR="00000000" w:rsidRPr="00000000">
        <w:rPr>
          <w:rFonts w:ascii="Calibri" w:cs="Calibri" w:eastAsia="Calibri" w:hAnsi="Calibri"/>
          <w:b w:val="1"/>
          <w:bCs w:val="1"/>
          <w:i w:val="1"/>
          <w:iCs w:val="1"/>
          <w:smallCaps w:val="0"/>
          <w:strike w:val="0"/>
          <w:color w:val="1f3864"/>
          <w:sz w:val="22"/>
          <w:szCs w:val="22"/>
          <w:u w:val="none"/>
          <w:shd w:fill="auto" w:val="clear"/>
          <w:vertAlign w:val="baseline"/>
          <w:rtl w:val="0"/>
        </w:rPr>
        <w:t xml:space="preserve">12/04 - 28/04 y 21/12 - 07/01</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en el mes del Ramadán </w:t>
      </w:r>
      <w:r w:rsidDel="00000000" w:rsidR="00000000" w:rsidRPr="00000000">
        <w:rPr>
          <w:rFonts w:ascii="Calibri" w:cs="Calibri" w:eastAsia="Calibri" w:hAnsi="Calibri"/>
          <w:b w:val="1"/>
          <w:bCs w:val="1"/>
          <w:i w:val="1"/>
          <w:iCs w:val="1"/>
          <w:smallCaps w:val="0"/>
          <w:strike w:val="0"/>
          <w:color w:val="1f3864"/>
          <w:sz w:val="22"/>
          <w:szCs w:val="22"/>
          <w:u w:val="none"/>
          <w:shd w:fill="auto" w:val="clear"/>
          <w:vertAlign w:val="baseline"/>
          <w:rtl w:val="0"/>
        </w:rPr>
        <w:t xml:space="preserve">(28.02.202</w:t>
      </w:r>
      <w:r w:rsidDel="00000000" w:rsidR="00000000" w:rsidRPr="00000000">
        <w:rPr>
          <w:b w:val="1"/>
          <w:bCs w:val="1"/>
          <w:i w:val="1"/>
          <w:iCs w:val="1"/>
          <w:color w:val="1f3864"/>
          <w:rtl w:val="0"/>
        </w:rPr>
        <w:t xml:space="preserve">6</w:t>
      </w:r>
      <w:r w:rsidDel="00000000" w:rsidR="00000000" w:rsidRPr="00000000">
        <w:rPr>
          <w:rFonts w:ascii="Calibri" w:cs="Calibri" w:eastAsia="Calibri" w:hAnsi="Calibri"/>
          <w:b w:val="1"/>
          <w:bCs w:val="1"/>
          <w:i w:val="1"/>
          <w:iCs w:val="1"/>
          <w:smallCaps w:val="0"/>
          <w:strike w:val="0"/>
          <w:color w:val="1f3864"/>
          <w:sz w:val="22"/>
          <w:szCs w:val="22"/>
          <w:u w:val="none"/>
          <w:shd w:fill="auto" w:val="clear"/>
          <w:vertAlign w:val="baseline"/>
          <w:rtl w:val="0"/>
        </w:rPr>
        <w:t xml:space="preserve">-02.04.202</w:t>
      </w:r>
      <w:r w:rsidDel="00000000" w:rsidR="00000000" w:rsidRPr="00000000">
        <w:rPr>
          <w:b w:val="1"/>
          <w:bCs w:val="1"/>
          <w:i w:val="1"/>
          <w:iCs w:val="1"/>
          <w:color w:val="1f3864"/>
          <w:rtl w:val="0"/>
        </w:rPr>
        <w:t xml:space="preserve">7</w:t>
      </w:r>
      <w:r w:rsidDel="00000000" w:rsidR="00000000" w:rsidRPr="00000000">
        <w:rPr>
          <w:rFonts w:ascii="Calibri" w:cs="Calibri" w:eastAsia="Calibri" w:hAnsi="Calibri"/>
          <w:b w:val="1"/>
          <w:bCs w:val="1"/>
          <w:i w:val="1"/>
          <w:iCs w:val="1"/>
          <w:smallCaps w:val="0"/>
          <w:strike w:val="0"/>
          <w:color w:val="1f3864"/>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los cruces de fronteras llevan más tiempo de lo habitual. Posibilidad de </w:t>
      </w:r>
      <w:r w:rsidDel="00000000" w:rsidR="00000000" w:rsidRPr="00000000">
        <w:rPr>
          <w:color w:val="1f3864"/>
          <w:rtl w:val="0"/>
        </w:rPr>
        <w:t xml:space="preserve">hacer tours</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para grupos o privados. </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Trámites para las visas mínimo dos semanas antes de la llegada.</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36"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Tenemos el derecho a cambiar el orden de las visitas según los horarios. </w:t>
      </w:r>
      <w:r w:rsidDel="00000000" w:rsidR="00000000" w:rsidRPr="00000000">
        <w:rPr>
          <w:rFonts w:ascii="Calibri" w:cs="Calibri" w:eastAsia="Calibri" w:hAnsi="Calibri"/>
          <w:b w:val="0"/>
          <w:bCs w:val="0"/>
          <w:i w:val="0"/>
          <w:iCs w:val="0"/>
          <w:smallCaps w:val="0"/>
          <w:strike w:val="0"/>
          <w:color w:val="002060"/>
          <w:sz w:val="22"/>
          <w:szCs w:val="22"/>
          <w:u w:val="single"/>
          <w:shd w:fill="auto" w:val="clear"/>
          <w:vertAlign w:val="baseline"/>
          <w:rtl w:val="0"/>
        </w:rPr>
        <w:t xml:space="preserve">Nota:</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Puede realizarse la visita </w:t>
      </w:r>
      <w:r w:rsidDel="00000000" w:rsidR="00000000" w:rsidRPr="00000000">
        <w:rPr>
          <w:rFonts w:ascii="Calibri" w:cs="Calibri" w:eastAsia="Calibri" w:hAnsi="Calibri"/>
          <w:b w:val="1"/>
          <w:bCs w:val="1"/>
          <w:i w:val="1"/>
          <w:iCs w:val="1"/>
          <w:smallCaps w:val="0"/>
          <w:strike w:val="0"/>
          <w:color w:val="ee0000"/>
          <w:sz w:val="22"/>
          <w:szCs w:val="22"/>
          <w:u w:val="none"/>
          <w:shd w:fill="auto" w:val="clear"/>
          <w:vertAlign w:val="baseline"/>
          <w:rtl w:val="0"/>
        </w:rPr>
        <w:t xml:space="preserve">opcional</w:t>
      </w:r>
      <w:r w:rsidDel="00000000" w:rsidR="00000000" w:rsidRPr="00000000">
        <w:rPr>
          <w:rFonts w:ascii="Calibri" w:cs="Calibri" w:eastAsia="Calibri" w:hAnsi="Calibri"/>
          <w:b w:val="0"/>
          <w:bCs w:val="0"/>
          <w:i w:val="0"/>
          <w:iCs w:val="0"/>
          <w:smallCaps w:val="0"/>
          <w:strike w:val="0"/>
          <w:color w:val="ee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de un día completo a El Cairo antes de viajar a Luxor donde comienza el crucero o después de volver de Asuán donde termina el crucero.</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36"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70 años. Para conocer los detalles de los beneficios de tu asistencia, contáctanos o revisa la información en tu voucher.</w:t>
      </w:r>
      <w:r w:rsidDel="00000000" w:rsidR="00000000" w:rsidRPr="00000000">
        <w:rPr>
          <w:rtl w:val="0"/>
        </w:rPr>
      </w:r>
    </w:p>
    <w:p w:rsidR="00000000" w:rsidDel="00000000" w:rsidP="00000000" w:rsidRDefault="00000000" w:rsidRPr="00000000" w14:paraId="00000093">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94">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5">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rtl w:val="0"/>
        </w:rPr>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bCs w:val="1"/>
          <w:color w:val="1f3864"/>
          <w:rtl w:val="0"/>
        </w:rPr>
        <w:t xml:space="preserve">NO SHOW</w:t>
      </w:r>
      <w:r w:rsidDel="00000000" w:rsidR="00000000" w:rsidRPr="00000000">
        <w:rPr>
          <w:color w:val="1f3864"/>
          <w:rtl w:val="0"/>
        </w:rPr>
        <w:t xml:space="preserve"> (100 % del paquete).</w:t>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1f3864"/>
        </w:rPr>
      </w:pPr>
      <w:r w:rsidDel="00000000" w:rsidR="00000000" w:rsidRPr="00000000">
        <w:rPr>
          <w:color w:val="1f3864"/>
          <w:rtl w:val="0"/>
        </w:rPr>
        <w:t xml:space="preserve">Hasta 30 días antes de la fecha de llegada - sin cargos.</w:t>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1f3864"/>
        </w:rPr>
      </w:pPr>
      <w:r w:rsidDel="00000000" w:rsidR="00000000" w:rsidRPr="00000000">
        <w:rPr>
          <w:color w:val="1f3864"/>
          <w:rtl w:val="0"/>
        </w:rPr>
        <w:t xml:space="preserve">Cancelación de 29 días antes de la llegada o </w:t>
      </w:r>
      <w:r w:rsidDel="00000000" w:rsidR="00000000" w:rsidRPr="00000000">
        <w:rPr>
          <w:b w:val="1"/>
          <w:bCs w:val="1"/>
          <w:color w:val="1f3864"/>
          <w:rtl w:val="0"/>
        </w:rPr>
        <w:t xml:space="preserve">NO SHOW</w:t>
      </w:r>
      <w:r w:rsidDel="00000000" w:rsidR="00000000" w:rsidRPr="00000000">
        <w:rPr>
          <w:color w:val="1f3864"/>
          <w:rtl w:val="0"/>
        </w:rPr>
        <w:t xml:space="preserve"> 100% del valor del paquete.</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C">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9D">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 junio a agosto, el calor es intenso, especialmente en el sur.</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Entre noviembre y marzo, las temperaturas bajan, y en algunas zonas montañosas incluso puede nevar.</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Sé tolerante y respeta la diversidad; observa las tradiciones y las prácticas sociales y culturales del lugar. Evita los comportamientos que puedan ofender a la población local.</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Las actividades turísticas deben practicarse con respeto para conservar el patrimonio artístico, arqueológico y cultural de cada destino.</w:t>
      </w:r>
    </w:p>
    <w:p w:rsidR="00000000" w:rsidDel="00000000" w:rsidP="00000000" w:rsidRDefault="00000000" w:rsidRPr="00000000" w14:paraId="000000A2">
      <w:pPr>
        <w:rPr>
          <w:color w:val="1f3864"/>
        </w:rPr>
      </w:pPr>
      <w:r w:rsidDel="00000000" w:rsidR="00000000" w:rsidRPr="00000000">
        <w:rPr>
          <w:b w:val="1"/>
          <w:bCs w:val="1"/>
          <w:color w:val="1f3864"/>
          <w:rtl w:val="0"/>
        </w:rPr>
        <w:t xml:space="preserve">REQUISITOS:</w:t>
      </w:r>
      <w:r w:rsidDel="00000000" w:rsidR="00000000" w:rsidRPr="00000000">
        <w:rPr>
          <w:rtl w:val="0"/>
        </w:rPr>
      </w:r>
    </w:p>
    <w:p w:rsidR="00000000" w:rsidDel="00000000" w:rsidP="00000000" w:rsidRDefault="00000000" w:rsidRPr="00000000" w14:paraId="000000A3">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Pasaporte colombiano vigente por al menos 6 meses</w:t>
      </w:r>
    </w:p>
    <w:p w:rsidR="00000000" w:rsidDel="00000000" w:rsidP="00000000" w:rsidRDefault="00000000" w:rsidRPr="00000000" w14:paraId="000000A4">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Certificado de vacunación contra la fiebre amarilla en inglés</w:t>
      </w:r>
    </w:p>
    <w:p w:rsidR="00000000" w:rsidDel="00000000" w:rsidP="00000000" w:rsidRDefault="00000000" w:rsidRPr="00000000" w14:paraId="000000A5">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Certificado de vacunación contra el COVID-19 con al menos dos dosis</w:t>
      </w:r>
    </w:p>
    <w:p w:rsidR="00000000" w:rsidDel="00000000" w:rsidP="00000000" w:rsidRDefault="00000000" w:rsidRPr="00000000" w14:paraId="000000A6">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Seguro médico internacional</w:t>
      </w:r>
    </w:p>
    <w:p w:rsidR="00000000" w:rsidDel="00000000" w:rsidP="00000000" w:rsidRDefault="00000000" w:rsidRPr="00000000" w14:paraId="000000A7">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Se puede tramitar la visa electrónica (eVisa) en línea. También se puede obtener un visado al llegar al aeropuerto, en los cruces terrestres o marítimos, o en los cruces fronterizos.  Otra opción es el </w:t>
      </w:r>
      <w:r w:rsidDel="00000000" w:rsidR="00000000" w:rsidRPr="00000000">
        <w:rPr>
          <w:color w:val="1f3864"/>
          <w:rtl w:val="0"/>
        </w:rPr>
        <w:t xml:space="preserve">Jordan</w:t>
      </w:r>
      <w:r w:rsidDel="00000000" w:rsidR="00000000" w:rsidRPr="00000000">
        <w:rPr>
          <w:color w:val="1f3864"/>
          <w:rtl w:val="0"/>
        </w:rPr>
        <w:t xml:space="preserve"> Pass, un pase que permite el ingreso a más de 35 atracciones turísticas sin pagar entrada. Para obtenerlo, se debe permanecer al menos tres noches en Jordania. </w:t>
      </w:r>
    </w:p>
    <w:p w:rsidR="00000000" w:rsidDel="00000000" w:rsidP="00000000" w:rsidRDefault="00000000" w:rsidRPr="00000000" w14:paraId="000000A8">
      <w:pPr>
        <w:widowControl w:val="0"/>
        <w:numPr>
          <w:ilvl w:val="0"/>
          <w:numId w:val="1"/>
        </w:numPr>
        <w:spacing w:after="0" w:before="22" w:line="240" w:lineRule="auto"/>
        <w:ind w:left="720" w:right="520" w:hanging="360"/>
        <w:jc w:val="both"/>
        <w:rPr>
          <w:b w:val="1"/>
          <w:bCs w:val="1"/>
          <w:color w:val="1f3864"/>
          <w:sz w:val="21"/>
          <w:szCs w:val="21"/>
        </w:rPr>
      </w:pPr>
      <w:r w:rsidDel="00000000" w:rsidR="00000000" w:rsidRPr="00000000">
        <w:rPr>
          <w:b w:val="1"/>
          <w:bCs w:val="1"/>
          <w:color w:val="1f3864"/>
          <w:rtl w:val="0"/>
        </w:rPr>
        <w:t xml:space="preserve">Mas información:</w:t>
      </w:r>
      <w:r w:rsidDel="00000000" w:rsidR="00000000" w:rsidRPr="00000000">
        <w:rPr>
          <w:b w:val="1"/>
          <w:bCs w:val="1"/>
          <w:color w:val="1f3864"/>
          <w:sz w:val="21"/>
          <w:szCs w:val="21"/>
          <w:rtl w:val="0"/>
        </w:rPr>
        <w:t xml:space="preserve"> </w:t>
      </w:r>
      <w:r w:rsidDel="00000000" w:rsidR="00000000" w:rsidRPr="00000000">
        <w:rPr>
          <w:color w:val="1f3864"/>
          <w:rtl w:val="0"/>
        </w:rPr>
        <w:t xml:space="preserve">https://apply.joinsherpa.com/travelrestrictions/JOR?affiliateId=sherpa&amp;language=esXL&amp;originCountry=COL&amp;nationality=COL&amp;travelPurposes=TOURISM&amp;departure</w:t>
      </w:r>
      <w:r w:rsidDel="00000000" w:rsidR="00000000" w:rsidRPr="00000000">
        <w:rPr>
          <w:rtl w:val="0"/>
        </w:rPr>
      </w:r>
    </w:p>
    <w:p w:rsidR="00000000" w:rsidDel="00000000" w:rsidP="00000000" w:rsidRDefault="00000000" w:rsidRPr="00000000" w14:paraId="000000A9">
      <w:pPr>
        <w:widowControl w:val="0"/>
        <w:spacing w:after="0" w:line="240" w:lineRule="auto"/>
        <w:ind w:right="520"/>
        <w:rPr>
          <w:b w:val="1"/>
          <w:bCs w:val="1"/>
          <w:color w:val="1f3864"/>
          <w:sz w:val="21"/>
          <w:szCs w:val="21"/>
        </w:rPr>
      </w:pPr>
      <w:r w:rsidDel="00000000" w:rsidR="00000000" w:rsidRPr="00000000">
        <w:rPr>
          <w:rtl w:val="0"/>
        </w:rPr>
      </w:r>
    </w:p>
    <w:p w:rsidR="00000000" w:rsidDel="00000000" w:rsidP="00000000" w:rsidRDefault="00000000" w:rsidRPr="00000000" w14:paraId="000000AA">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8">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AC">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AD">
      <w:pPr>
        <w:spacing w:after="0" w:line="240" w:lineRule="auto"/>
        <w:jc w:val="both"/>
        <w:rPr>
          <w:b w:val="1"/>
          <w:bCs w:val="1"/>
          <w:color w:val="002060"/>
        </w:rPr>
      </w:pPr>
      <w:r w:rsidDel="00000000" w:rsidR="00000000" w:rsidRPr="00000000">
        <w:rPr>
          <w:rtl w:val="0"/>
        </w:rPr>
      </w:r>
    </w:p>
    <w:sectPr>
      <w:headerReference r:id="rId9" w:type="default"/>
      <w:footerReference r:id="rId10" w:type="default"/>
      <w:pgSz w:h="15840" w:w="12240" w:orient="portrait"/>
      <w:pgMar w:bottom="1417" w:top="1417" w:left="1701" w:right="1701" w:header="850"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-1142999</wp:posOffset>
          </wp:positionH>
          <wp:positionV relativeFrom="paragraph">
            <wp:posOffset>303595</wp:posOffset>
          </wp:positionV>
          <wp:extent cx="7791450" cy="1077530"/>
          <wp:effectExtent b="0" l="0" r="0" t="0"/>
          <wp:wrapNone/>
          <wp:docPr id="186176624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1450" cy="10775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-8889</wp:posOffset>
          </wp:positionH>
          <wp:positionV relativeFrom="page">
            <wp:posOffset>-33019</wp:posOffset>
          </wp:positionV>
          <wp:extent cx="7791450" cy="885825"/>
          <wp:effectExtent b="0" l="0" r="0" t="0"/>
          <wp:wrapNone/>
          <wp:docPr id="186176624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1450" cy="885825"/>
                  </a:xfrm>
                  <a:prstGeom prst="rect"/>
                  <a:ln/>
                </pic:spPr>
              </pic:pic>
            </a:graphicData>
          </a:graphic>
        </wp:anchor>
      </w:drawing>
    </w:r>
    <w:r w:rsidDel="00000000" w:rsidR="00000000" w:rsidRPr="00000000">
      <w:rPr>
        <w:color w:val="000000"/>
        <w:rtl w:val="0"/>
      </w:rPr>
      <w:t xml:space="preserve"> </w:t>
    </w: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-1257934</wp:posOffset>
          </wp:positionH>
          <wp:positionV relativeFrom="paragraph">
            <wp:posOffset>-457200</wp:posOffset>
          </wp:positionV>
          <wp:extent cx="2309813" cy="1462120"/>
          <wp:effectExtent b="0" l="0" r="0" t="0"/>
          <wp:wrapNone/>
          <wp:docPr id="1861766245" name="image5.png"/>
          <a:graphic>
            <a:graphicData uri="http://schemas.openxmlformats.org/drawingml/2006/picture">
              <pic:pic>
                <pic:nvPicPr>
                  <pic:cNvPr id="0" name="image5.png"/>
                  <pic:cNvPicPr preferRelativeResize="0"/>
                </pic:nvPicPr>
                <pic:blipFill>
                  <a:blip r:embed="rId2"/>
                  <a:srcRect b="0" l="0" r="0" t="5660"/>
                  <a:stretch>
                    <a:fillRect/>
                  </a:stretch>
                </pic:blipFill>
                <pic:spPr>
                  <a:xfrm>
                    <a:off x="0" y="0"/>
                    <a:ext cx="2309813" cy="14621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-546734</wp:posOffset>
          </wp:positionH>
          <wp:positionV relativeFrom="paragraph">
            <wp:posOffset>3108325</wp:posOffset>
          </wp:positionV>
          <wp:extent cx="355600" cy="2628900"/>
          <wp:effectExtent b="0" l="0" r="0" t="0"/>
          <wp:wrapNone/>
          <wp:docPr id="1861766246"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3556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36" w:hanging="360.00000000000006"/>
      </w:pPr>
      <w:rPr>
        <w:rFonts w:ascii="Noto Sans Symbols" w:cs="Noto Sans Symbols" w:eastAsia="Noto Sans Symbols" w:hAnsi="Noto Sans Symbols"/>
      </w:rPr>
    </w:lvl>
    <w:lvl w:ilvl="1">
      <w:start w:val="1"/>
      <w:numFmt w:val="bullet"/>
      <w:lvlText w:val="o"/>
      <w:lvlJc w:val="left"/>
      <w:pPr>
        <w:ind w:left="1456" w:hanging="360"/>
      </w:pPr>
      <w:rPr>
        <w:rFonts w:ascii="Courier New" w:cs="Courier New" w:eastAsia="Courier New" w:hAnsi="Courier New"/>
      </w:rPr>
    </w:lvl>
    <w:lvl w:ilvl="2">
      <w:start w:val="1"/>
      <w:numFmt w:val="bullet"/>
      <w:lvlText w:val="▪"/>
      <w:lvlJc w:val="left"/>
      <w:pPr>
        <w:ind w:left="2176" w:hanging="360"/>
      </w:pPr>
      <w:rPr>
        <w:rFonts w:ascii="Noto Sans Symbols" w:cs="Noto Sans Symbols" w:eastAsia="Noto Sans Symbols" w:hAnsi="Noto Sans Symbols"/>
      </w:rPr>
    </w:lvl>
    <w:lvl w:ilvl="3">
      <w:start w:val="1"/>
      <w:numFmt w:val="bullet"/>
      <w:lvlText w:val="●"/>
      <w:lvlJc w:val="left"/>
      <w:pPr>
        <w:ind w:left="2896" w:hanging="360"/>
      </w:pPr>
      <w:rPr>
        <w:rFonts w:ascii="Noto Sans Symbols" w:cs="Noto Sans Symbols" w:eastAsia="Noto Sans Symbols" w:hAnsi="Noto Sans Symbols"/>
      </w:rPr>
    </w:lvl>
    <w:lvl w:ilvl="4">
      <w:start w:val="1"/>
      <w:numFmt w:val="bullet"/>
      <w:lvlText w:val="o"/>
      <w:lvlJc w:val="left"/>
      <w:pPr>
        <w:ind w:left="3616" w:hanging="360"/>
      </w:pPr>
      <w:rPr>
        <w:rFonts w:ascii="Courier New" w:cs="Courier New" w:eastAsia="Courier New" w:hAnsi="Courier New"/>
      </w:rPr>
    </w:lvl>
    <w:lvl w:ilvl="5">
      <w:start w:val="1"/>
      <w:numFmt w:val="bullet"/>
      <w:lvlText w:val="▪"/>
      <w:lvlJc w:val="left"/>
      <w:pPr>
        <w:ind w:left="4336" w:hanging="360"/>
      </w:pPr>
      <w:rPr>
        <w:rFonts w:ascii="Noto Sans Symbols" w:cs="Noto Sans Symbols" w:eastAsia="Noto Sans Symbols" w:hAnsi="Noto Sans Symbols"/>
      </w:rPr>
    </w:lvl>
    <w:lvl w:ilvl="6">
      <w:start w:val="1"/>
      <w:numFmt w:val="bullet"/>
      <w:lvlText w:val="●"/>
      <w:lvlJc w:val="left"/>
      <w:pPr>
        <w:ind w:left="5056" w:hanging="360"/>
      </w:pPr>
      <w:rPr>
        <w:rFonts w:ascii="Noto Sans Symbols" w:cs="Noto Sans Symbols" w:eastAsia="Noto Sans Symbols" w:hAnsi="Noto Sans Symbols"/>
      </w:rPr>
    </w:lvl>
    <w:lvl w:ilvl="7">
      <w:start w:val="1"/>
      <w:numFmt w:val="bullet"/>
      <w:lvlText w:val="o"/>
      <w:lvlJc w:val="left"/>
      <w:pPr>
        <w:ind w:left="5776" w:hanging="360"/>
      </w:pPr>
      <w:rPr>
        <w:rFonts w:ascii="Courier New" w:cs="Courier New" w:eastAsia="Courier New" w:hAnsi="Courier New"/>
      </w:rPr>
    </w:lvl>
    <w:lvl w:ilvl="8">
      <w:start w:val="1"/>
      <w:numFmt w:val="bullet"/>
      <w:lvlText w:val="▪"/>
      <w:lvlJc w:val="left"/>
      <w:pPr>
        <w:ind w:left="6496"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8">
    <w:name w:val="heading 8"/>
    <w:basedOn w:val="Normal"/>
    <w:next w:val="Normal"/>
    <w:link w:val="Ttulo8Car"/>
    <w:uiPriority w:val="9"/>
    <w:semiHidden w:val="1"/>
    <w:unhideWhenUsed w:val="1"/>
    <w:qFormat w:val="1"/>
    <w:rsid w:val="00BA5E4A"/>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34"/>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4"/>
    <w:tblPr>
      <w:tblStyleRowBandSize w:val="1"/>
      <w:tblStyleColBandSize w:val="1"/>
      <w:tblCellMar>
        <w:left w:w="70.0" w:type="dxa"/>
        <w:right w:w="70.0" w:type="dxa"/>
      </w:tblCellMar>
    </w:tblPr>
  </w:style>
  <w:style w:type="table" w:styleId="a2" w:customStyle="1">
    <w:basedOn w:val="TableNormal4"/>
    <w:tblPr>
      <w:tblStyleRowBandSize w:val="1"/>
      <w:tblStyleColBandSize w:val="1"/>
      <w:tblCellMar>
        <w:left w:w="70.0" w:type="dxa"/>
        <w:right w:w="70.0" w:type="dxa"/>
      </w:tblCellMar>
    </w:tblPr>
  </w:style>
  <w:style w:type="table" w:styleId="a3" w:customStyle="1">
    <w:basedOn w:val="TableNormal4"/>
    <w:tblPr>
      <w:tblStyleRowBandSize w:val="1"/>
      <w:tblStyleColBandSize w:val="1"/>
      <w:tblCellMar>
        <w:left w:w="70.0" w:type="dxa"/>
        <w:right w:w="70.0" w:type="dxa"/>
      </w:tblCellMar>
    </w:tblPr>
  </w:style>
  <w:style w:type="table" w:styleId="a4" w:customStyle="1">
    <w:basedOn w:val="TableNormal4"/>
    <w:tblPr>
      <w:tblStyleRowBandSize w:val="1"/>
      <w:tblStyleColBandSize w:val="1"/>
      <w:tblCellMar>
        <w:left w:w="70.0" w:type="dxa"/>
        <w:right w:w="70.0" w:type="dxa"/>
      </w:tblCellMar>
    </w:tblPr>
  </w:style>
  <w:style w:type="table" w:styleId="a5" w:customStyle="1">
    <w:basedOn w:val="TableNormal4"/>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table" w:styleId="a6" w:customStyle="1">
    <w:basedOn w:val="TableNormal3"/>
    <w:tblPr>
      <w:tblStyleRowBandSize w:val="1"/>
      <w:tblStyleColBandSize w:val="1"/>
      <w:tblCellMar>
        <w:left w:w="70.0" w:type="dxa"/>
        <w:right w:w="70.0" w:type="dxa"/>
      </w:tblCellMar>
    </w:tblPr>
  </w:style>
  <w:style w:type="table" w:styleId="a7" w:customStyle="1">
    <w:basedOn w:val="TableNormal3"/>
    <w:tblPr>
      <w:tblStyleRowBandSize w:val="1"/>
      <w:tblStyleColBandSize w:val="1"/>
      <w:tblCellMar>
        <w:left w:w="70.0" w:type="dxa"/>
        <w:right w:w="70.0" w:type="dxa"/>
      </w:tblCellMar>
    </w:tblPr>
  </w:style>
  <w:style w:type="table" w:styleId="a8" w:customStyle="1">
    <w:basedOn w:val="TableNormal3"/>
    <w:tblPr>
      <w:tblStyleRowBandSize w:val="1"/>
      <w:tblStyleColBandSize w:val="1"/>
      <w:tblCellMar>
        <w:left w:w="70.0" w:type="dxa"/>
        <w:right w:w="70.0" w:type="dxa"/>
      </w:tblCellMar>
    </w:tblPr>
  </w:style>
  <w:style w:type="table" w:styleId="a9" w:customStyle="1">
    <w:basedOn w:val="TableNormal3"/>
    <w:tblPr>
      <w:tblStyleRowBandSize w:val="1"/>
      <w:tblStyleColBandSize w:val="1"/>
      <w:tblCellMar>
        <w:top w:w="15.0" w:type="dxa"/>
        <w:left w:w="70.0" w:type="dxa"/>
        <w:right w:w="70.0" w:type="dxa"/>
      </w:tblCellMar>
    </w:tblPr>
  </w:style>
  <w:style w:type="table" w:styleId="aa" w:customStyle="1">
    <w:basedOn w:val="TableNormal3"/>
    <w:tblPr>
      <w:tblStyleRowBandSize w:val="1"/>
      <w:tblStyleColBandSize w:val="1"/>
      <w:tblCellMar>
        <w:top w:w="15.0" w:type="dxa"/>
        <w:left w:w="70.0" w:type="dxa"/>
        <w:right w:w="70.0" w:type="dxa"/>
      </w:tblCellMar>
    </w:tblPr>
  </w:style>
  <w:style w:type="table" w:styleId="ab" w:customStyle="1">
    <w:basedOn w:val="TableNormal3"/>
    <w:tblPr>
      <w:tblStyleRowBandSize w:val="1"/>
      <w:tblStyleColBandSize w:val="1"/>
      <w:tblCellMar>
        <w:top w:w="15.0" w:type="dxa"/>
        <w:left w:w="70.0" w:type="dxa"/>
        <w:right w:w="70.0" w:type="dxa"/>
      </w:tblCellMar>
    </w:tblPr>
  </w:style>
  <w:style w:type="table" w:styleId="ac" w:customStyle="1">
    <w:basedOn w:val="TableNormal3"/>
    <w:tblPr>
      <w:tblStyleRowBandSize w:val="1"/>
      <w:tblStyleColBandSize w:val="1"/>
      <w:tblCellMar>
        <w:top w:w="15.0" w:type="dxa"/>
        <w:left w:w="70.0" w:type="dxa"/>
        <w:right w:w="70.0" w:type="dxa"/>
      </w:tblCellMar>
    </w:tblPr>
  </w:style>
  <w:style w:type="table" w:styleId="ad" w:customStyle="1">
    <w:basedOn w:val="TableNormal3"/>
    <w:tblPr>
      <w:tblStyleRowBandSize w:val="1"/>
      <w:tblStyleColBandSize w:val="1"/>
      <w:tblCellMar>
        <w:top w:w="15.0" w:type="dxa"/>
        <w:left w:w="70.0" w:type="dxa"/>
        <w:right w:w="70.0" w:type="dxa"/>
      </w:tblCellMar>
    </w:tblPr>
  </w:style>
  <w:style w:type="table" w:styleId="ae" w:customStyle="1">
    <w:basedOn w:val="TableNormal3"/>
    <w:tblPr>
      <w:tblStyleRowBandSize w:val="1"/>
      <w:tblStyleColBandSize w:val="1"/>
      <w:tblCellMar>
        <w:top w:w="15.0" w:type="dxa"/>
        <w:left w:w="70.0" w:type="dxa"/>
        <w:right w:w="70.0" w:type="dxa"/>
      </w:tblCellMar>
    </w:tblPr>
  </w:style>
  <w:style w:type="table" w:styleId="af" w:customStyle="1">
    <w:basedOn w:val="TableNormal3"/>
    <w:tblPr>
      <w:tblStyleRowBandSize w:val="1"/>
      <w:tblStyleColBandSize w:val="1"/>
      <w:tblCellMar>
        <w:top w:w="15.0" w:type="dxa"/>
        <w:left w:w="70.0" w:type="dxa"/>
        <w:right w:w="70.0" w:type="dxa"/>
      </w:tblCellMar>
    </w:tblPr>
  </w:style>
  <w:style w:type="table" w:styleId="af0" w:customStyle="1">
    <w:basedOn w:val="TableNormal3"/>
    <w:tblPr>
      <w:tblStyleRowBandSize w:val="1"/>
      <w:tblStyleColBandSize w:val="1"/>
      <w:tblCellMar>
        <w:top w:w="15.0" w:type="dxa"/>
        <w:left w:w="70.0" w:type="dxa"/>
        <w:right w:w="70.0" w:type="dxa"/>
      </w:tblCellMar>
    </w:tblPr>
  </w:style>
  <w:style w:type="table" w:styleId="af1" w:customStyle="1">
    <w:basedOn w:val="TableNormal3"/>
    <w:tblPr>
      <w:tblStyleRowBandSize w:val="1"/>
      <w:tblStyleColBandSize w:val="1"/>
      <w:tblCellMar>
        <w:top w:w="15.0" w:type="dxa"/>
        <w:left w:w="70.0" w:type="dxa"/>
        <w:right w:w="70.0" w:type="dxa"/>
      </w:tblCellMar>
    </w:tblPr>
  </w:style>
  <w:style w:type="table" w:styleId="af2" w:customStyle="1">
    <w:basedOn w:val="TableNormal3"/>
    <w:tblPr>
      <w:tblStyleRowBandSize w:val="1"/>
      <w:tblStyleColBandSize w:val="1"/>
      <w:tblCellMar>
        <w:top w:w="15.0" w:type="dxa"/>
        <w:left w:w="70.0" w:type="dxa"/>
        <w:right w:w="70.0" w:type="dxa"/>
      </w:tblCellMar>
    </w:tblPr>
  </w:style>
  <w:style w:type="table" w:styleId="af3" w:customStyle="1">
    <w:basedOn w:val="TableNormal3"/>
    <w:tblPr>
      <w:tblStyleRowBandSize w:val="1"/>
      <w:tblStyleColBandSize w:val="1"/>
      <w:tblCellMar>
        <w:top w:w="15.0" w:type="dxa"/>
        <w:left w:w="70.0" w:type="dxa"/>
        <w:right w:w="70.0" w:type="dxa"/>
      </w:tblCellMar>
    </w:tblPr>
  </w:style>
  <w:style w:type="table" w:styleId="af4" w:customStyle="1">
    <w:basedOn w:val="TableNormal3"/>
    <w:tblPr>
      <w:tblStyleRowBandSize w:val="1"/>
      <w:tblStyleColBandSize w:val="1"/>
      <w:tblCellMar>
        <w:top w:w="15.0" w:type="dxa"/>
        <w:left w:w="70.0" w:type="dxa"/>
        <w:right w:w="70.0" w:type="dxa"/>
      </w:tblCellMar>
    </w:tblPr>
  </w:style>
  <w:style w:type="table" w:styleId="af5" w:customStyle="1">
    <w:basedOn w:val="TableNormal3"/>
    <w:tblPr>
      <w:tblStyleRowBandSize w:val="1"/>
      <w:tblStyleColBandSize w:val="1"/>
      <w:tblCellMar>
        <w:top w:w="15.0" w:type="dxa"/>
        <w:left w:w="70.0" w:type="dxa"/>
        <w:right w:w="70.0" w:type="dxa"/>
      </w:tblCellMar>
    </w:tblPr>
  </w:style>
  <w:style w:type="character" w:styleId="Mencinsinresolver">
    <w:name w:val="Unresolved Mention"/>
    <w:basedOn w:val="Fuentedeprrafopredeter"/>
    <w:uiPriority w:val="99"/>
    <w:semiHidden w:val="1"/>
    <w:unhideWhenUsed w:val="1"/>
    <w:rsid w:val="00D658A7"/>
    <w:rPr>
      <w:color w:val="605e5c"/>
      <w:shd w:color="auto" w:fill="e1dfdd" w:val="clear"/>
    </w:rPr>
  </w:style>
  <w:style w:type="character" w:styleId="Ttulo8Car" w:customStyle="1">
    <w:name w:val="Título 8 Car"/>
    <w:basedOn w:val="Fuentedeprrafopredeter"/>
    <w:link w:val="Ttulo8"/>
    <w:uiPriority w:val="9"/>
    <w:semiHidden w:val="1"/>
    <w:rsid w:val="00BA5E4A"/>
    <w:rPr>
      <w:rFonts w:asciiTheme="majorHAnsi" w:cstheme="majorBidi" w:eastAsiaTheme="majorEastAsia" w:hAnsiTheme="majorHAnsi"/>
      <w:color w:val="272727" w:themeColor="text1" w:themeTint="0000D8"/>
      <w:sz w:val="21"/>
      <w:szCs w:val="21"/>
      <w:lang w:eastAsia="es-ES"/>
    </w:rPr>
  </w:style>
  <w:style w:type="paragraph" w:styleId="NormalWeb">
    <w:name w:val="Normal (Web)"/>
    <w:basedOn w:val="Normal"/>
    <w:uiPriority w:val="99"/>
    <w:unhideWhenUsed w:val="1"/>
    <w:rsid w:val="00E93F96"/>
    <w:pPr>
      <w:spacing w:after="100" w:afterAutospacing="1" w:before="100" w:beforeAutospacing="1" w:line="240" w:lineRule="auto"/>
    </w:pPr>
    <w:rPr>
      <w:rFonts w:ascii="Times New Roman" w:eastAsia="Times New Roman" w:hAnsi="Times New Roman"/>
      <w:sz w:val="24"/>
      <w:szCs w:val="24"/>
      <w:lang w:eastAsia="es-CO"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9Vyj3s6AtoMzz1zdbZfp4CM1g==">CgMxLjAyCWguMzBqMHpsbDIJaC4xZm9iOXRlMg5oLnY1emVxaGE0ajhvbzIJaC4zZHk2dmttOAByITFlVEIzdUp6ZEg0SmF6RG1fUVZjSEk5VkZSbkV1cmdpdA==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2024-04-19T16:49:00Z</dcterms:created>
  <dc:creator>Bea Nuñez Sabido</dc:creator>
</cp:coreProperties>
</file>