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JAPÓN, IMPERIO DEL SOL NACIENTE</w:t>
      </w: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10N/11D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(Tokyo / Osaka / Kyoto / </w:t>
      </w:r>
      <w:r w:rsidDel="00000000" w:rsidR="00000000" w:rsidRPr="00000000">
        <w:rPr>
          <w:color w:val="002060"/>
          <w:rtl w:val="0"/>
        </w:rPr>
        <w:t xml:space="preserve">Nara</w:t>
      </w:r>
      <w:r w:rsidDel="00000000" w:rsidR="00000000" w:rsidRPr="00000000">
        <w:rPr>
          <w:b w:val="1"/>
          <w:color w:val="002060"/>
          <w:rtl w:val="0"/>
        </w:rPr>
        <w:t xml:space="preserve"> </w:t>
      </w:r>
      <w:r w:rsidDel="00000000" w:rsidR="00000000" w:rsidRPr="00000000">
        <w:rPr>
          <w:color w:val="1f3864"/>
          <w:rtl w:val="0"/>
        </w:rPr>
        <w:t xml:space="preserve">/ </w:t>
      </w:r>
      <w:r w:rsidDel="00000000" w:rsidR="00000000" w:rsidRPr="00000000">
        <w:rPr>
          <w:color w:val="002060"/>
          <w:rtl w:val="0"/>
        </w:rPr>
        <w:t xml:space="preserve">Hiroshima</w:t>
      </w:r>
      <w:r w:rsidDel="00000000" w:rsidR="00000000" w:rsidRPr="00000000">
        <w:rPr>
          <w:color w:val="1f3864"/>
          <w:rtl w:val="0"/>
        </w:rPr>
        <w:t xml:space="preserve">)</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w:t>
      </w:r>
      <w:r w:rsidDel="00000000" w:rsidR="00000000" w:rsidRPr="00000000">
        <w:rPr>
          <w:color w:val="1f3864"/>
          <w:rtl w:val="0"/>
        </w:rPr>
        <w:t xml:space="preserve"> Domingos. (operación mínimo 2 pasajeros)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w:t>
      </w:r>
      <w:r w:rsidDel="00000000" w:rsidR="00000000" w:rsidRPr="00000000">
        <w:rPr>
          <w:color w:val="1f3864"/>
          <w:rtl w:val="0"/>
        </w:rPr>
        <w:t xml:space="preserve"> Hasta el 01 de Marzo del 2026.</w:t>
      </w:r>
    </w:p>
    <w:p w:rsidR="00000000" w:rsidDel="00000000" w:rsidP="00000000" w:rsidRDefault="00000000" w:rsidRPr="00000000" w14:paraId="00000007">
      <w:pPr>
        <w:pBdr>
          <w:bottom w:color="000000" w:space="1" w:sz="6" w:val="single"/>
        </w:pBdr>
        <w:rPr>
          <w:color w:val="1f3864"/>
          <w:sz w:val="10"/>
          <w:szCs w:val="10"/>
        </w:rPr>
      </w:pPr>
      <w:bookmarkStart w:colFirst="0" w:colLast="0" w:name="_heading=h.30j0zll" w:id="0"/>
      <w:bookmarkEnd w:id="0"/>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2060"/>
          <w:sz w:val="24"/>
          <w:szCs w:val="24"/>
        </w:rPr>
      </w:pPr>
      <w:r w:rsidDel="00000000" w:rsidR="00000000" w:rsidRPr="00000000">
        <w:rPr/>
        <w:drawing>
          <wp:inline distB="0" distT="0" distL="0" distR="0">
            <wp:extent cx="1786939" cy="1191696"/>
            <wp:effectExtent b="0" l="0" r="0" t="0"/>
            <wp:docPr descr="15 Best Things To Do in Osaka | Japan Cheapo" id="1935995932" name="image4.jpg"/>
            <a:graphic>
              <a:graphicData uri="http://schemas.openxmlformats.org/drawingml/2006/picture">
                <pic:pic>
                  <pic:nvPicPr>
                    <pic:cNvPr descr="15 Best Things To Do in Osaka | Japan Cheapo" id="0" name="image4.jpg"/>
                    <pic:cNvPicPr preferRelativeResize="0"/>
                  </pic:nvPicPr>
                  <pic:blipFill>
                    <a:blip r:embed="rId7"/>
                    <a:srcRect b="0" l="0" r="0" t="0"/>
                    <a:stretch>
                      <a:fillRect/>
                    </a:stretch>
                  </pic:blipFill>
                  <pic:spPr>
                    <a:xfrm>
                      <a:off x="0" y="0"/>
                      <a:ext cx="1786939" cy="1191696"/>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drawing>
          <wp:inline distB="0" distT="0" distL="0" distR="0">
            <wp:extent cx="1796185" cy="1198880"/>
            <wp:effectExtent b="0" l="0" r="0" t="0"/>
            <wp:docPr descr="Kyoto, la antigua capital de Japón — Marco Beteta" id="1935995934" name="image7.jpg"/>
            <a:graphic>
              <a:graphicData uri="http://schemas.openxmlformats.org/drawingml/2006/picture">
                <pic:pic>
                  <pic:nvPicPr>
                    <pic:cNvPr descr="Kyoto, la antigua capital de Japón — Marco Beteta" id="0" name="image7.jpg"/>
                    <pic:cNvPicPr preferRelativeResize="0"/>
                  </pic:nvPicPr>
                  <pic:blipFill>
                    <a:blip r:embed="rId8"/>
                    <a:srcRect b="0" l="0" r="0" t="0"/>
                    <a:stretch>
                      <a:fillRect/>
                    </a:stretch>
                  </pic:blipFill>
                  <pic:spPr>
                    <a:xfrm>
                      <a:off x="0" y="0"/>
                      <a:ext cx="1796185" cy="1198880"/>
                    </a:xfrm>
                    <a:prstGeom prst="rect"/>
                    <a:ln/>
                  </pic:spPr>
                </pic:pic>
              </a:graphicData>
            </a:graphic>
          </wp:inline>
        </w:drawing>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drawing>
          <wp:inline distB="0" distT="0" distL="0" distR="0">
            <wp:extent cx="1786304" cy="1185817"/>
            <wp:effectExtent b="0" l="0" r="0" t="0"/>
            <wp:docPr descr="▷ Qué Hacer y Ver en Hiroshima ⇒ 【¡Guía de Viaje!】 ⛩️" id="1935995933" name="image3.jpg"/>
            <a:graphic>
              <a:graphicData uri="http://schemas.openxmlformats.org/drawingml/2006/picture">
                <pic:pic>
                  <pic:nvPicPr>
                    <pic:cNvPr descr="▷ Qué Hacer y Ver en Hiroshima ⇒ 【¡Guía de Viaje!】 ⛩️" id="0" name="image3.jpg"/>
                    <pic:cNvPicPr preferRelativeResize="0"/>
                  </pic:nvPicPr>
                  <pic:blipFill>
                    <a:blip r:embed="rId9"/>
                    <a:srcRect b="0" l="0" r="0" t="0"/>
                    <a:stretch>
                      <a:fillRect/>
                    </a:stretch>
                  </pic:blipFill>
                  <pic:spPr>
                    <a:xfrm>
                      <a:off x="0" y="0"/>
                      <a:ext cx="1786304" cy="118581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b w:val="1"/>
          <w:color w:val="002060"/>
          <w:rtl w:val="0"/>
        </w:rPr>
        <w:t xml:space="preserve">DÍA 1 TOKIO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Llegada al aeropuerto de Tokio. Alojamiento en Tokio. Cena no incluida.</w:t>
      </w:r>
    </w:p>
    <w:p w:rsidR="00000000" w:rsidDel="00000000" w:rsidP="00000000" w:rsidRDefault="00000000" w:rsidRPr="00000000" w14:paraId="0000000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DÍA 2 TOKIO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salida hacia el barrio de Shibuya, uno de los principales centros comerciales y financieros del mundo, hogar de las dos estaciones de tren más transitadas del mundo. Nos dirigimos a Takeshita Street, una calle peatonal repleta de boutiques de moda, cafeterías y restaurantes. Seguimos al Templo Meji, un templo sintoísta dedicado a los espíritus </w:t>
      </w:r>
      <w:r w:rsidDel="00000000" w:rsidR="00000000" w:rsidRPr="00000000">
        <w:rPr>
          <w:color w:val="002060"/>
          <w:rtl w:val="0"/>
        </w:rPr>
        <w:t xml:space="preserve">deificados</w:t>
      </w:r>
      <w:r w:rsidDel="00000000" w:rsidR="00000000" w:rsidRPr="00000000">
        <w:rPr>
          <w:color w:val="002060"/>
          <w:rtl w:val="0"/>
        </w:rPr>
        <w:t xml:space="preserve"> del emperador Meiji y su esposa, la emperatriz Shōken. Visitaremos la famosa intersección de Shibuya, que detiene los vehículos en todas direcciones para permitir que los peatones inunden toda la intersección. Continuaremos hacia la Torre Kabushiko, que se centra en instalaciones recreativas y de entretenimiento, con salas de cine, hoteles e instalaciones artísticas. Seguimos al barrio Omotesando, un importante destino de compras de lujo y algunos de los ejemplos más sorprendentes de arquitectura moderna a escala humana que encontrarás en cualquier parte del mundo. Terminamos el día en Shimokitazawa. Este tranquilo distrito bohemio alberga tiendas de ropa vintage, librerías selectas, tiendas de música, cafés y bares originales. Retorno al hotel. Alojamiento en Tokio. Cena no incluida.</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DÍA 3 TOKIO</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desayuno, salida para visitar el Templo Sensōji, también conocido como Templo de Asakusa. Es el templo budista más antiguo de Tokio y data del 645 d.C. Continuaremos hacia Odaiba, también conocida como Rainbow Town, es un centro de entretenimiento altamente tecnológico. Cómo se construyó una isla artificial sobre escombros, de un gran proyecto arquitectónico de 1986, construida sobre 110 millones de metros cúbicos de tierra y residuos de incineración. Nos dirigimos al Tokyo Sky Tree, una torre de transmisión en Sumida. Con 634 metros de altura, es la estructura más alta de Japón y la segunda más grande del mundo. Finalmente llegamos a Akihabara, como se llama una zona famosa del barrio de Sotokanda. Akihabara es considerado un centro cultural Otaku y un distrito comercial de videojuegos, anime, manga y computadoras. En las tiendas de la zona se exhiben íconos populares del anime y el manga, y hay numerosos Maid Cafés en todo el distrito. Retorno al hotel. Alojamiento en Tokio. Cena no incluida.</w:t>
      </w:r>
    </w:p>
    <w:p w:rsidR="00000000" w:rsidDel="00000000" w:rsidP="00000000" w:rsidRDefault="00000000" w:rsidRPr="00000000" w14:paraId="0000001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DÍA 4 TOKIO</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Después del desayuno, día libre. Alojamiento en Tokio. Cena no incluida. (Definir Opcionales)</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5 TOKIO – OSAKA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Después del desayuno, salida para tomar el tren bala para la ciudad de Osaka. A su llegada, visite el Castillo de Osaka, que se encuentra en un área de aproximadamente un kilómetro cuadrado, es uno de los castillos más famosos del país y jugó un papel importante en las luchas de unificación. Visitaremos también: el Templo Hozenji, de 1.637. Shinsekai es un barrio creado en 1912, teniendo como modelo Nueva York al sur y París al norte del barrio. Tsutenkaku, una torre originalmente inspirada en la Torre Eiffel. Dotonbori, el distrito más electrizante de Osaka, con una enorme superficie de carteles luminosos. Templo Shitennoji, el más antiguo templo budista japonés, construido por el príncipe Shotoku en el año 593. Sumiyoshi Taisha, el santuario sintoísta más importante del mundo. Jardín Flotante Shin-umeda, un observatorio en lo alto del edificio, de 173 metros de altura y con una vista de 360 ​​grados. Alojamiento en Osaka. Cena no incluida.</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6 OSAKA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Después del desayuno, día libre. Alojamiento en Osaka. Cena no incluida.</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7 OSAKA – KIOTO – OSAKA </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Después del desayuno, día libre o la posibilidad de realizar un Tour Opcional a Kioto. Alojamiento en Osaka. Cena no incluida.</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DÍA 8 OSAKA – NARA – OSAKA </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Después del desayuno, salida para Nara. Comenzamos con una visita al Templo Kofukuji, fundado en el año 669, fue el templo principal del poderoso clan Fujiwara y jugó un papel fundamental en la formación del patrimonio cultural y religioso de Japón, se alza la icónica pagoda de cinco pisos, símbolo de Kofukuji. Con una impresionante altura de 50 metros, es la segunda pagoda más alta de Japón y ofrece increíbles vistas panorámicas. Continuamos hacia el Parque Nara. Repartida en más de 1.300 acres, ocupa un lugar importante en la historia japonesa y alberga varios monumentos históricos y tesoros culturales. Seremos recibidos por una manada de simpáticos ciervos, considerados mensajeros sagrados en la tradición sintoísta. También visitaremos el Templo Todaiji, ubicado en el Parque Nara, fue construido originalmente en el siglo VIII y sirvió como templo principal de la influyente secta budista Kegon. Terminamos en el Gran Santuario Kasuga, fundado en el siglo VIII, tiene un profundo significado en la historia japonesa y es famoso por sus vibrantes edificios rojos y miles de linternas de piedra que adornan los pasillos. Retorno a Osaka. Alojamiento en Osaka. Cena no incluida.</w:t>
      </w:r>
    </w:p>
    <w:p w:rsidR="00000000" w:rsidDel="00000000" w:rsidP="00000000" w:rsidRDefault="00000000" w:rsidRPr="00000000" w14:paraId="0000002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2060"/>
        </w:rPr>
      </w:pPr>
      <w:r w:rsidDel="00000000" w:rsidR="00000000" w:rsidRPr="00000000">
        <w:rPr>
          <w:b w:val="1"/>
          <w:color w:val="002060"/>
          <w:rtl w:val="0"/>
        </w:rPr>
        <w:t xml:space="preserve">DÍA 9 OSAKA – KIOTO – OSAKA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Después del desayuno, salida para Kioto, para un día más de visitas increíbles. Comenzamos en el Bosque de Bambú de Arashiyama, con el fascinante y aparentemente interminable Bosque de Bambú, que aparece en la película "Memorias de una Geisha". El recorrido comienza en el Templo Tenryuji (Patrimonio de la Humanidad por la UNESCO) y termina en el sublime pueblo de Okochi-Sanso. Seguimos hasta el Mercado de Nishiki, que tiene más de 400 años y cuenta con 126 puestos, un paraíso para los amantes de la buena comida. Todo tipo de aromas y sabores, desde el sabor dulce del tamagoyaki (tortilla enrollada japonesa) hasta las delicias fritas y el toque amargo del tsukemono (encurtidos), llenan esta estrecha y animada calle comercial. Dato curioso: casi toda la comida que se vende aquí se sirve en palitos. Continuamos hacia el templo Otagi Nenbutsuji, donde a lo largo del camino que conduce a la estructura, pasaremos por 1.200 estatuas de piedra que representan a los discípulos de Buda, las cuales fueron talladas por un sacerdote y lugareños que aprendieron el oficio de él. Continuamos nuestra visita a Ginkakuji, el Templo del Pabellón de Plata, terminado en 1490 por el Shogun Ashikaga Yoshimasa. Finalmente visitamos el Templo KinkakuJi, que literalmente significa el Templo del Pabellón Dorado, el monumento más emblemático de Kioto, construido en 1397, fue la residencia de descanso del Shogun Ashikaga Yoshimitsu. Retorno a Osaka. Alojamiento en Osaka. Cena no incluida.</w:t>
      </w:r>
    </w:p>
    <w:p w:rsidR="00000000" w:rsidDel="00000000" w:rsidP="00000000" w:rsidRDefault="00000000" w:rsidRPr="00000000" w14:paraId="0000002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color w:val="002060"/>
        </w:rPr>
      </w:pPr>
      <w:r w:rsidDel="00000000" w:rsidR="00000000" w:rsidRPr="00000000">
        <w:rPr>
          <w:b w:val="1"/>
          <w:color w:val="002060"/>
          <w:rtl w:val="0"/>
        </w:rPr>
        <w:t xml:space="preserve">Día 10 OSAKA – HIROSHIMA – OSAKA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Después del desayuno, día libre o la posibilidad de realizar un Tour Opcional a Hiroshima. Alojamiento en Osaka. Cena no incluida.</w:t>
      </w:r>
    </w:p>
    <w:p w:rsidR="00000000" w:rsidDel="00000000" w:rsidP="00000000" w:rsidRDefault="00000000" w:rsidRPr="00000000" w14:paraId="0000002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DÍA 11 OSAKA – AEROPUERTO OSAKA</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Después del desayuno, a la hora indicada traslado de partida hacia el Aeropuerto de Osaka.</w:t>
      </w:r>
    </w:p>
    <w:p w:rsidR="00000000" w:rsidDel="00000000" w:rsidP="00000000" w:rsidRDefault="00000000" w:rsidRPr="00000000" w14:paraId="0000002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i w:val="1"/>
          <w:color w:val="002060"/>
          <w:rtl w:val="0"/>
        </w:rPr>
        <w:t xml:space="preserve">Nota: </w:t>
      </w:r>
      <w:r w:rsidDel="00000000" w:rsidR="00000000" w:rsidRPr="00000000">
        <w:rPr>
          <w:i w:val="1"/>
          <w:color w:val="002060"/>
          <w:rtl w:val="0"/>
        </w:rPr>
        <w:t xml:space="preserve">Si tu vuelo de salida a Japón es a través de Tokio, por favor consulta precios de transporte (Tren o Avión) entre Osaka y Tokio y hoteles para una noche extra.</w:t>
      </w: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E">
      <w:pPr>
        <w:spacing w:after="0" w:line="240" w:lineRule="auto"/>
        <w:rPr>
          <w:b w:val="1"/>
          <w:color w:val="002060"/>
        </w:rPr>
      </w:pPr>
      <w:r w:rsidDel="00000000" w:rsidR="00000000" w:rsidRPr="00000000">
        <w:rPr>
          <w:rtl w:val="0"/>
        </w:rPr>
      </w:r>
    </w:p>
    <w:p w:rsidR="00000000" w:rsidDel="00000000" w:rsidP="00000000" w:rsidRDefault="00000000" w:rsidRPr="00000000" w14:paraId="0000002F">
      <w:pPr>
        <w:spacing w:after="0" w:line="240" w:lineRule="auto"/>
        <w:jc w:val="center"/>
        <w:rPr>
          <w:b w:val="1"/>
          <w:color w:val="002060"/>
        </w:rPr>
      </w:pPr>
      <w:r w:rsidDel="00000000" w:rsidR="00000000" w:rsidRPr="00000000">
        <w:rPr>
          <w:b w:val="1"/>
          <w:color w:val="002060"/>
          <w:rtl w:val="0"/>
        </w:rPr>
        <w:t xml:space="preserve">TARIFA EN DÓLARES POR PERSONA</w:t>
      </w:r>
    </w:p>
    <w:p w:rsidR="00000000" w:rsidDel="00000000" w:rsidP="00000000" w:rsidRDefault="00000000" w:rsidRPr="00000000" w14:paraId="00000030">
      <w:pPr>
        <w:spacing w:after="0" w:line="240" w:lineRule="auto"/>
        <w:rPr>
          <w:b w:val="1"/>
          <w:color w:val="ffffff"/>
        </w:rPr>
      </w:pPr>
      <w:r w:rsidDel="00000000" w:rsidR="00000000" w:rsidRPr="00000000">
        <w:rPr>
          <w:rtl w:val="0"/>
        </w:rPr>
      </w:r>
    </w:p>
    <w:tbl>
      <w:tblPr>
        <w:tblStyle w:val="Table1"/>
        <w:tblW w:w="4526.0" w:type="dxa"/>
        <w:jc w:val="center"/>
        <w:tblLayout w:type="fixed"/>
        <w:tblLook w:val="0400"/>
      </w:tblPr>
      <w:tblGrid>
        <w:gridCol w:w="1400"/>
        <w:gridCol w:w="1400"/>
        <w:gridCol w:w="1726"/>
        <w:tblGridChange w:id="0">
          <w:tblGrid>
            <w:gridCol w:w="1400"/>
            <w:gridCol w:w="1400"/>
            <w:gridCol w:w="1726"/>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NIÑO 0-11 AÑOS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4.497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b w:val="1"/>
                <w:color w:val="002060"/>
              </w:rPr>
            </w:pPr>
            <w:r w:rsidDel="00000000" w:rsidR="00000000" w:rsidRPr="00000000">
              <w:rPr>
                <w:b w:val="1"/>
                <w:color w:val="002060"/>
                <w:rtl w:val="0"/>
              </w:rPr>
              <w:t xml:space="preserve">2.827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2.547 USD</w:t>
            </w:r>
          </w:p>
        </w:tc>
      </w:tr>
    </w:tbl>
    <w:p w:rsidR="00000000" w:rsidDel="00000000" w:rsidP="00000000" w:rsidRDefault="00000000" w:rsidRPr="00000000" w14:paraId="0000003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hoteles de acuerdo a la categoría seleccionada.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4 noches de alojamiento con desayuno en Tokio.</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6 noches de alojamiento con desayuno en Osaka.</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5 días de excursión en bus o minibús con guía de habla hispana, a partir de 04 pasajeros. Hasta 3 pasajeros, el transporte es realizado en tren urbano.</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entre hoteles y aeropuertos con conductor de habla inglesa. No hay guía o acompañante en español. </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los lugares de visita según el programa.</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4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1">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 a lugares, monumentos o museos no indicados en el itinerario.</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Maleteros, bebidas, propinas o cualquier otro gasto personal y servicios no indicados en programa.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Visa de turista para Japón tramitada en el consulado con anticipación.</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48">
      <w:pPr>
        <w:rPr>
          <w:b w:val="1"/>
          <w:color w:val="002060"/>
        </w:rPr>
      </w:pPr>
      <w:r w:rsidDel="00000000" w:rsidR="00000000" w:rsidRPr="00000000">
        <w:rPr>
          <w:rtl w:val="0"/>
        </w:rPr>
      </w:r>
    </w:p>
    <w:p w:rsidR="00000000" w:rsidDel="00000000" w:rsidP="00000000" w:rsidRDefault="00000000" w:rsidRPr="00000000" w14:paraId="00000049">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1080" w:firstLine="0"/>
        <w:jc w:val="center"/>
        <w:rPr>
          <w:color w:val="002060"/>
        </w:rPr>
      </w:pPr>
      <w:r w:rsidDel="00000000" w:rsidR="00000000" w:rsidRPr="00000000">
        <w:rPr>
          <w:rtl w:val="0"/>
        </w:rPr>
      </w:r>
    </w:p>
    <w:tbl>
      <w:tblPr>
        <w:tblStyle w:val="Table2"/>
        <w:tblW w:w="5385.999999999999" w:type="dxa"/>
        <w:jc w:val="center"/>
        <w:tblLayout w:type="fixed"/>
        <w:tblLook w:val="0400"/>
      </w:tblPr>
      <w:tblGrid>
        <w:gridCol w:w="1632"/>
        <w:gridCol w:w="2196"/>
        <w:gridCol w:w="1558"/>
        <w:tblGridChange w:id="0">
          <w:tblGrid>
            <w:gridCol w:w="1632"/>
            <w:gridCol w:w="2196"/>
            <w:gridCol w:w="1558"/>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B">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C">
            <w:pPr>
              <w:spacing w:after="0" w:line="240" w:lineRule="auto"/>
              <w:jc w:val="center"/>
              <w:rPr>
                <w:b w:val="1"/>
                <w:color w:val="ffffff"/>
              </w:rPr>
            </w:pPr>
            <w:r w:rsidDel="00000000" w:rsidR="00000000" w:rsidRPr="00000000">
              <w:rPr>
                <w:b w:val="1"/>
                <w:color w:val="ffffff"/>
                <w:rtl w:val="0"/>
              </w:rPr>
              <w:t xml:space="preserve">HOTEL PREVISTO O SIMILAR</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D">
            <w:pPr>
              <w:spacing w:after="0" w:line="240" w:lineRule="auto"/>
              <w:jc w:val="center"/>
              <w:rPr>
                <w:b w:val="1"/>
                <w:color w:val="ffffff"/>
              </w:rPr>
            </w:pPr>
            <w:r w:rsidDel="00000000" w:rsidR="00000000" w:rsidRPr="00000000">
              <w:rPr>
                <w:b w:val="1"/>
                <w:color w:val="ffffff"/>
                <w:rtl w:val="0"/>
              </w:rPr>
              <w:t xml:space="preserve">CATEGORÍA</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b w:val="1"/>
                <w:color w:val="002060"/>
              </w:rPr>
            </w:pPr>
            <w:r w:rsidDel="00000000" w:rsidR="00000000" w:rsidRPr="00000000">
              <w:rPr>
                <w:b w:val="1"/>
                <w:color w:val="002060"/>
                <w:rtl w:val="0"/>
              </w:rPr>
              <w:t xml:space="preserve">Tokio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Monterrey, Fresa</w:t>
              <w:br w:type="textWrapping"/>
              <w:t xml:space="preserve">Inn, Via Inn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4*</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b w:val="1"/>
                <w:color w:val="002060"/>
              </w:rPr>
            </w:pPr>
            <w:r w:rsidDel="00000000" w:rsidR="00000000" w:rsidRPr="00000000">
              <w:rPr>
                <w:b w:val="1"/>
                <w:color w:val="002060"/>
                <w:rtl w:val="0"/>
              </w:rPr>
              <w:t xml:space="preserve">Osaka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Monterrey, Fresa</w:t>
              <w:br w:type="textWrapping"/>
              <w:t xml:space="preserve">Inn, Via Inn o similar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55">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6">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7">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8">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9">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5A">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05B">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C">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5D">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E">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F">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En estos destinos no existe la habitación triple, la tercera cama será un plegatín, el cual no se recomienda y estará sujeto a disponibilidad. </w:t>
      </w:r>
    </w:p>
    <w:p w:rsidR="00000000" w:rsidDel="00000000" w:rsidP="00000000" w:rsidRDefault="00000000" w:rsidRPr="00000000" w14:paraId="00000060">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Habitación doble con 2 (dos) adultos pagantes (sólo un niño por habitación)</w:t>
      </w:r>
    </w:p>
    <w:p w:rsidR="00000000" w:rsidDel="00000000" w:rsidP="00000000" w:rsidRDefault="00000000" w:rsidRPr="00000000" w14:paraId="00000061">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002060"/>
          <w:rtl w:val="0"/>
        </w:rPr>
        <w:t xml:space="preserve">La asistencia médica está sujeta a un suplemento adicional para personas mayores de 75 años. Para conocer los detalles de los beneficios de tu asistencia, contáctanos o revisa la información en tu voucher.</w:t>
      </w:r>
      <w:r w:rsidDel="00000000" w:rsidR="00000000" w:rsidRPr="00000000">
        <w:rPr>
          <w:b w:val="1"/>
          <w:color w:val="002060"/>
          <w:rtl w:val="0"/>
        </w:rPr>
        <w:t xml:space="preserve"> Consulta aquí las condiciones de esta asistencia</w:t>
      </w:r>
      <w:r w:rsidDel="00000000" w:rsidR="00000000" w:rsidRPr="00000000">
        <w:rPr>
          <w:color w:val="002060"/>
          <w:rtl w:val="0"/>
        </w:rPr>
        <w:t xml:space="preserve">: </w:t>
      </w:r>
      <w:hyperlink r:id="rId10">
        <w:r w:rsidDel="00000000" w:rsidR="00000000" w:rsidRPr="00000000">
          <w:rPr>
            <w:color w:val="467886"/>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64">
      <w:pPr>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occidente, cuando caminas lento por la calle, generalmente te pones del lado derecho para permitir que aquellos que tienen prisa pasen por la izquierda.</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las calles japonesas es curioso notar que no hay botes de basura a la vista, aun así, las calles se mantienen limpias porque la gente suele llevar consigo una bolsa para sus envolturas y otros desechos.</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Es importante tener en cuenta que mostrar dinero en público podría considerarse allá como una falta de educación, así que es recomendable portar sobres o algo similar para guardar el dinero antes de pagar. </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Si deseas expresar tu gratitud por un buen servicio, en lugar de dar una propina, es preferible dar un pequeño obsequio de tu país. </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hanging="360"/>
        <w:rPr>
          <w:color w:val="1f3864"/>
        </w:rPr>
      </w:pPr>
      <w:r w:rsidDel="00000000" w:rsidR="00000000" w:rsidRPr="00000000">
        <w:rPr>
          <w:b w:val="1"/>
          <w:color w:val="1f3864"/>
          <w:rtl w:val="0"/>
        </w:rPr>
        <w:t xml:space="preserve">Mas información:</w:t>
      </w:r>
      <w:r w:rsidDel="00000000" w:rsidR="00000000" w:rsidRPr="00000000">
        <w:rPr>
          <w:color w:val="1f3864"/>
          <w:rtl w:val="0"/>
        </w:rPr>
        <w:t xml:space="preserve"> </w:t>
      </w:r>
      <w:hyperlink r:id="rId11">
        <w:r w:rsidDel="00000000" w:rsidR="00000000" w:rsidRPr="00000000">
          <w:rPr>
            <w:color w:val="467886"/>
            <w:u w:val="single"/>
            <w:rtl w:val="0"/>
          </w:rPr>
          <w:t xml:space="preserve">https://www.aeromexico.com/es-mx/blog-de-viajes-inspirate/tu-guia-de-supervivencia-para-japon-p2?gad_source</w:t>
        </w:r>
      </w:hyperlink>
      <w:r w:rsidDel="00000000" w:rsidR="00000000" w:rsidRPr="00000000">
        <w:rPr>
          <w:rtl w:val="0"/>
        </w:rPr>
      </w:r>
    </w:p>
    <w:p w:rsidR="00000000" w:rsidDel="00000000" w:rsidP="00000000" w:rsidRDefault="00000000" w:rsidRPr="00000000" w14:paraId="0000006A">
      <w:pPr>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6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6C">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6D">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6F">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70">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hyperlink r:id="rId12">
        <w:r w:rsidDel="00000000" w:rsidR="00000000" w:rsidRPr="00000000">
          <w:rPr>
            <w:color w:val="467886"/>
            <w:u w:val="single"/>
            <w:rtl w:val="0"/>
          </w:rPr>
          <w:t xml:space="preserve">https://www.colombia.emb-japan.go.jp/ESP/consular/visas.htm#:~:text=O</w:t>
        </w:r>
      </w:hyperlink>
      <w:r w:rsidDel="00000000" w:rsidR="00000000" w:rsidRPr="00000000">
        <w:rPr>
          <w:color w:val="1f3864"/>
          <w:rtl w:val="0"/>
        </w:rPr>
        <w:t xml:space="preserve">.</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b w:val="1"/>
          <w:color w:val="1f3864"/>
          <w:rtl w:val="0"/>
        </w:rPr>
        <w:t xml:space="preserve">CLÁUSULA DE RESPONSABILIDAD:</w:t>
      </w:r>
      <w:r w:rsidDel="00000000" w:rsidR="00000000" w:rsidRPr="00000000">
        <w:rPr>
          <w:b w:val="1"/>
          <w:color w:val="1f3864"/>
          <w:sz w:val="20"/>
          <w:szCs w:val="20"/>
          <w:rtl w:val="0"/>
        </w:rPr>
        <w:t xml:space="preserve"> </w:t>
      </w:r>
      <w:hyperlink r:id="rId13">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74">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75">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76">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77">
      <w:pPr>
        <w:numPr>
          <w:ilvl w:val="0"/>
          <w:numId w:val="6"/>
        </w:numPr>
        <w:spacing w:after="0" w:lineRule="auto"/>
        <w:ind w:left="720" w:right="520" w:hanging="360"/>
        <w:jc w:val="both"/>
        <w:rPr>
          <w:color w:val="1f3864"/>
        </w:rPr>
      </w:pPr>
      <w:r w:rsidDel="00000000" w:rsidR="00000000" w:rsidRPr="00000000">
        <w:rPr>
          <w:color w:val="1f3864"/>
          <w:rtl w:val="0"/>
        </w:rPr>
        <w:t xml:space="preserve">Cancelación 30 días o más antes de la llegada de pasajeros al primer destino del programa, no tendrá gastos de cancelación. </w:t>
      </w:r>
    </w:p>
    <w:p w:rsidR="00000000" w:rsidDel="00000000" w:rsidP="00000000" w:rsidRDefault="00000000" w:rsidRPr="00000000" w14:paraId="00000078">
      <w:pPr>
        <w:numPr>
          <w:ilvl w:val="0"/>
          <w:numId w:val="6"/>
        </w:numPr>
        <w:spacing w:after="0" w:lineRule="auto"/>
        <w:ind w:left="720" w:right="520" w:hanging="360"/>
        <w:jc w:val="both"/>
        <w:rPr>
          <w:color w:val="1f3864"/>
        </w:rPr>
      </w:pPr>
      <w:r w:rsidDel="00000000" w:rsidR="00000000" w:rsidRPr="00000000">
        <w:rPr>
          <w:color w:val="1f3864"/>
          <w:rtl w:val="0"/>
        </w:rPr>
        <w:t xml:space="preserve">Cancelación entre 29 y 10 días antes de la llegada de pasajeros al primer destino del programa, tendrá un cargo de 50%.</w:t>
      </w:r>
    </w:p>
    <w:p w:rsidR="00000000" w:rsidDel="00000000" w:rsidP="00000000" w:rsidRDefault="00000000" w:rsidRPr="00000000" w14:paraId="00000079">
      <w:pPr>
        <w:numPr>
          <w:ilvl w:val="0"/>
          <w:numId w:val="7"/>
        </w:numPr>
        <w:spacing w:after="0" w:lineRule="auto"/>
        <w:ind w:left="720" w:right="520" w:hanging="360"/>
        <w:jc w:val="both"/>
        <w:rPr>
          <w:color w:val="1f3864"/>
        </w:rPr>
      </w:pPr>
      <w:r w:rsidDel="00000000" w:rsidR="00000000" w:rsidRPr="00000000">
        <w:rPr>
          <w:color w:val="1f3864"/>
          <w:rtl w:val="0"/>
        </w:rPr>
        <w:t xml:space="preserve">Cancelación 9 días o menos y/o NO SHOW antes de la llegada de pasajeros al primer destino del programa, tendrá un cargo de 100%.</w:t>
      </w:r>
    </w:p>
    <w:p w:rsidR="00000000" w:rsidDel="00000000" w:rsidP="00000000" w:rsidRDefault="00000000" w:rsidRPr="00000000" w14:paraId="0000007A">
      <w:pPr>
        <w:numPr>
          <w:ilvl w:val="0"/>
          <w:numId w:val="2"/>
        </w:numPr>
        <w:spacing w:after="0" w:lineRule="auto"/>
        <w:ind w:left="720" w:right="520" w:hanging="360"/>
        <w:jc w:val="both"/>
        <w:rPr>
          <w:color w:val="1f3864"/>
        </w:rPr>
      </w:pPr>
      <w:r w:rsidDel="00000000" w:rsidR="00000000" w:rsidRPr="00000000">
        <w:rPr>
          <w:color w:val="1f3864"/>
          <w:rtl w:val="0"/>
        </w:rPr>
        <w:t xml:space="preserve">En caso de cualquier tipo de reembolso, se podrá cobrar un cargo por transferencia, que oscila entre USD 50 y USD 250.</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C">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  </w:t>
      </w:r>
    </w:p>
    <w:p w:rsidR="00000000" w:rsidDel="00000000" w:rsidP="00000000" w:rsidRDefault="00000000" w:rsidRPr="00000000" w14:paraId="0000007D">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7E">
      <w:pPr>
        <w:spacing w:after="0" w:line="240" w:lineRule="auto"/>
        <w:jc w:val="both"/>
        <w:rPr>
          <w:b w:val="1"/>
          <w:color w:val="00206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-193672</wp:posOffset>
          </wp:positionV>
          <wp:extent cx="7793393" cy="943206"/>
          <wp:effectExtent b="0" l="0" r="0" t="0"/>
          <wp:wrapNone/>
          <wp:docPr id="193599593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793393" cy="943206"/>
                  </a:xfrm>
                  <a:prstGeom prst="rect"/>
                  <a:ln/>
                </pic:spPr>
              </pic:pic>
            </a:graphicData>
          </a:graphic>
        </wp:anchor>
      </w:drawing>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-1270292</wp:posOffset>
          </wp:positionH>
          <wp:positionV relativeFrom="paragraph">
            <wp:posOffset>-365173</wp:posOffset>
          </wp:positionV>
          <wp:extent cx="2093188" cy="1406769"/>
          <wp:effectExtent b="0" l="0" r="0" t="0"/>
          <wp:wrapNone/>
          <wp:docPr id="19359959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93188" cy="140676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-447672</wp:posOffset>
          </wp:positionV>
          <wp:extent cx="7937159" cy="942975"/>
          <wp:effectExtent b="0" l="0" r="0" t="0"/>
          <wp:wrapNone/>
          <wp:docPr id="193599593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-553084</wp:posOffset>
          </wp:positionH>
          <wp:positionV relativeFrom="paragraph">
            <wp:posOffset>3138267</wp:posOffset>
          </wp:positionV>
          <wp:extent cx="381000" cy="2667000"/>
          <wp:effectExtent b="0" l="0" r="0" t="0"/>
          <wp:wrapNone/>
          <wp:docPr id="1935995935"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381000" cy="26670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C7C6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eromexico.com/es-mx/blog-de-viajes-inspirate/tu-guia-de-supervivencia-para-japon-p2?gad_source"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yperlink" Target="https://www.tropitours.co/es/clausula-de-responsabilidad" TargetMode="External"/><Relationship Id="rId12" Type="http://schemas.openxmlformats.org/officeDocument/2006/relationships/hyperlink" Target="https://www.colombia.emb-japan.go.jp/ESP/consular/visas.htm#:~:tex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4.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PbXL6qVL3n/x7zFoM6XijA3Bw==">CgMxLjAyCWguMzBqMHpsbDgAaicKFHN1Z2dlc3QuN21vMmU3aTQ5bDFxEg9PbWFyIENvbG1lbmFyZXNyITFaWFN0QXVJc3BSX1J1MkpqR2J4X0tEc2FKbzFvSXlaSg==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