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bCs w:val="1"/>
          <w:color w:val="1f3864"/>
          <w:sz w:val="48"/>
          <w:szCs w:val="48"/>
        </w:rPr>
      </w:pPr>
      <w:r w:rsidDel="00000000" w:rsidR="00000000" w:rsidRPr="00000000">
        <w:rPr>
          <w:rFonts w:ascii="Calibri" w:cs="Calibri" w:eastAsia="Calibri" w:hAnsi="Calibri"/>
          <w:b w:val="1"/>
          <w:bCs w:val="1"/>
          <w:color w:val="1f3864"/>
          <w:sz w:val="48"/>
          <w:szCs w:val="48"/>
          <w:rtl w:val="0"/>
        </w:rPr>
        <w:t xml:space="preserve">ISRAEL CATOLICO</w:t>
      </w:r>
    </w:p>
    <w:p w:rsidR="00000000" w:rsidDel="00000000" w:rsidP="00000000" w:rsidRDefault="00000000" w:rsidRPr="00000000" w14:paraId="00000002">
      <w:pPr>
        <w:jc w:val="center"/>
        <w:rPr>
          <w:rFonts w:ascii="Calibri" w:cs="Calibri" w:eastAsia="Calibri" w:hAnsi="Calibri"/>
          <w:b w:val="1"/>
          <w:bCs w:val="1"/>
          <w:color w:val="1f3864"/>
          <w:sz w:val="20"/>
          <w:szCs w:val="20"/>
        </w:rPr>
      </w:pPr>
      <w:r w:rsidDel="00000000" w:rsidR="00000000" w:rsidRPr="00000000">
        <w:rPr>
          <w:rFonts w:ascii="Calibri" w:cs="Calibri" w:eastAsia="Calibri" w:hAnsi="Calibri"/>
          <w:b w:val="1"/>
          <w:bCs w:val="1"/>
          <w:color w:val="1f3864"/>
          <w:sz w:val="48"/>
          <w:szCs w:val="48"/>
          <w:rtl w:val="0"/>
        </w:rPr>
        <w:t xml:space="preserve">7N/8D</w:t>
        <w:br w:type="textWrapping"/>
      </w:r>
      <w:r w:rsidDel="00000000" w:rsidR="00000000" w:rsidRPr="00000000">
        <w:rPr>
          <w:rtl w:val="0"/>
        </w:rPr>
      </w:r>
    </w:p>
    <w:p w:rsidR="00000000" w:rsidDel="00000000" w:rsidP="00000000" w:rsidRDefault="00000000" w:rsidRPr="00000000" w14:paraId="00000003">
      <w:pPr>
        <w:pBdr>
          <w:bottom w:color="000000" w:space="1" w:sz="12" w:val="single"/>
        </w:pBd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OPERACIÓN: </w:t>
      </w:r>
      <w:r w:rsidDel="00000000" w:rsidR="00000000" w:rsidRPr="00000000">
        <w:rPr>
          <w:rFonts w:ascii="Calibri" w:cs="Calibri" w:eastAsia="Calibri" w:hAnsi="Calibri"/>
          <w:color w:val="1f3864"/>
          <w:rtl w:val="0"/>
        </w:rPr>
        <w:t xml:space="preserve">Mínimo 2 pasajeros.</w:t>
      </w:r>
      <w:r w:rsidDel="00000000" w:rsidR="00000000" w:rsidRPr="00000000">
        <w:rPr>
          <w:rtl w:val="0"/>
        </w:rPr>
      </w:r>
    </w:p>
    <w:p w:rsidR="00000000" w:rsidDel="00000000" w:rsidP="00000000" w:rsidRDefault="00000000" w:rsidRPr="00000000" w14:paraId="00000004">
      <w:pPr>
        <w:pBdr>
          <w:bottom w:color="000000" w:space="1" w:sz="12" w:val="single"/>
        </w:pBdr>
        <w:rPr>
          <w:rFonts w:ascii="Calibri" w:cs="Calibri" w:eastAsia="Calibri" w:hAnsi="Calibri"/>
          <w:color w:val="1f3864"/>
          <w:sz w:val="8"/>
          <w:szCs w:val="8"/>
        </w:rPr>
      </w:pPr>
      <w:r w:rsidDel="00000000" w:rsidR="00000000" w:rsidRPr="00000000">
        <w:rPr>
          <w:rFonts w:ascii="Calibri" w:cs="Calibri" w:eastAsia="Calibri" w:hAnsi="Calibri"/>
          <w:b w:val="1"/>
          <w:bCs w:val="1"/>
          <w:color w:val="1f3864"/>
          <w:rtl w:val="0"/>
        </w:rPr>
        <w:t xml:space="preserve">VIGENCIA DE VIAJE:</w:t>
      </w:r>
      <w:r w:rsidDel="00000000" w:rsidR="00000000" w:rsidRPr="00000000">
        <w:rPr>
          <w:rtl w:val="0"/>
        </w:rPr>
        <w:t xml:space="preserve"> </w:t>
      </w:r>
      <w:r w:rsidDel="00000000" w:rsidR="00000000" w:rsidRPr="00000000">
        <w:rPr>
          <w:rFonts w:ascii="Calibri" w:cs="Calibri" w:eastAsia="Calibri" w:hAnsi="Calibri"/>
          <w:color w:val="1f3864"/>
          <w:rtl w:val="0"/>
        </w:rPr>
        <w:t xml:space="preserve">Hasta el 10 de Enero de 2027. (Ver cuadro de salidas).</w:t>
        <w:br w:type="textWrapping"/>
      </w:r>
      <w:r w:rsidDel="00000000" w:rsidR="00000000" w:rsidRPr="00000000">
        <w:rPr>
          <w:rtl w:val="0"/>
        </w:rPr>
      </w:r>
    </w:p>
    <w:p w:rsidR="00000000" w:rsidDel="00000000" w:rsidP="00000000" w:rsidRDefault="00000000" w:rsidRPr="00000000" w14:paraId="00000005">
      <w:pPr>
        <w:rPr>
          <w:rFonts w:ascii="Calibri" w:cs="Calibri" w:eastAsia="Calibri" w:hAnsi="Calibri"/>
          <w:b w:val="1"/>
          <w:bCs w:val="1"/>
          <w:color w:val="1f3864"/>
          <w:sz w:val="16"/>
          <w:szCs w:val="16"/>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Pr>
        <w:drawing>
          <wp:inline distB="0" distT="0" distL="0" distR="0">
            <wp:extent cx="6027159" cy="1315016"/>
            <wp:effectExtent b="0" l="0" r="0" t="0"/>
            <wp:docPr id="1932444043"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6027159" cy="1315016"/>
                    </a:xfrm>
                    <a:prstGeom prst="rect"/>
                    <a:ln/>
                  </pic:spPr>
                </pic:pic>
              </a:graphicData>
            </a:graphic>
          </wp:inline>
        </w:drawing>
      </w:r>
      <w:r w:rsidDel="00000000" w:rsidR="00000000" w:rsidRPr="00000000">
        <w:rPr>
          <w:rFonts w:ascii="Calibri" w:cs="Calibri" w:eastAsia="Calibri" w:hAnsi="Calibri"/>
          <w:b w:val="1"/>
          <w:bCs w:val="1"/>
          <w:color w:val="1f3864"/>
          <w:rtl w:val="0"/>
        </w:rPr>
        <w:t xml:space="preserve">    </w:t>
      </w:r>
    </w:p>
    <w:p w:rsidR="00000000" w:rsidDel="00000000" w:rsidP="00000000" w:rsidRDefault="00000000" w:rsidRPr="00000000" w14:paraId="00000007">
      <w:pPr>
        <w:jc w:val="center"/>
        <w:rPr>
          <w:rFonts w:ascii="Calibri" w:cs="Calibri" w:eastAsia="Calibri" w:hAnsi="Calibri"/>
          <w:b w:val="1"/>
          <w:bCs w:val="1"/>
          <w:color w:val="1f3864"/>
          <w:sz w:val="12"/>
          <w:szCs w:val="12"/>
        </w:rPr>
      </w:pP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ITINERARIO</w:t>
      </w:r>
    </w:p>
    <w:p w:rsidR="00000000" w:rsidDel="00000000" w:rsidP="00000000" w:rsidRDefault="00000000" w:rsidRPr="00000000" w14:paraId="00000009">
      <w:pPr>
        <w:rPr>
          <w:rFonts w:ascii="Calibri" w:cs="Calibri" w:eastAsia="Calibri" w:hAnsi="Calibri"/>
          <w:b w:val="1"/>
          <w:bCs w:val="1"/>
          <w:color w:val="1f3864"/>
          <w:sz w:val="14"/>
          <w:szCs w:val="14"/>
        </w:rPr>
      </w:pPr>
      <w:r w:rsidDel="00000000" w:rsidR="00000000" w:rsidRPr="00000000">
        <w:rPr>
          <w:rtl w:val="0"/>
        </w:rPr>
      </w:r>
    </w:p>
    <w:p w:rsidR="00000000" w:rsidDel="00000000" w:rsidP="00000000" w:rsidRDefault="00000000" w:rsidRPr="00000000" w14:paraId="0000000A">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1 | DOMINGO | AEROPUERTO TEL AVIV – JERUSALÉN </w:t>
      </w:r>
    </w:p>
    <w:p w:rsidR="00000000" w:rsidDel="00000000" w:rsidP="00000000" w:rsidRDefault="00000000" w:rsidRPr="00000000" w14:paraId="0000000B">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al Aeropuerto Ben Gurion en Tel Aviv. Traslado a Jerusalén. Alojamiento en Jerusalén. Cena incluida.</w:t>
      </w:r>
    </w:p>
    <w:p w:rsidR="00000000" w:rsidDel="00000000" w:rsidP="00000000" w:rsidRDefault="00000000" w:rsidRPr="00000000" w14:paraId="0000000C">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D">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2 | LUNES | JERUSALÉN – BELÉN – JERUSALÉN </w:t>
      </w:r>
    </w:p>
    <w:p w:rsidR="00000000" w:rsidDel="00000000" w:rsidP="00000000" w:rsidRDefault="00000000" w:rsidRPr="00000000" w14:paraId="0000000E">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Después del desayuno, salida hacia el Campo de los Pastores, donde celebraremos la Eucaristía. Continuación hacia Belén, para visitar la Basílica y Gruta de la Natividad. Regreso a Jerusalén pasando por la parte moderna de Jerusalén: parada delante del Parlamento (Knesset) donde se encuentra el Gran Candelabro. Explicación de la ciudad nueva. Visita al Santuario del Libro y la maqueta de Jerusalén de los días del Segundo Templo ambos en el Museo de Israel. Continuación hacia el Monte Sion para visitar la Iglesia de San Pedro en Gallicantu, la Tumba del Rey David, el Cenáculo, lugar de la última cena, y la Abadía de la Dormición de la Virgen. Proseguiremos la visita yendo al Barrio Judío, el Cardo y la visitar el Muro de los Lamentos. Alojamiento en Jerusalén. Cena incluida.</w:t>
      </w:r>
    </w:p>
    <w:p w:rsidR="00000000" w:rsidDel="00000000" w:rsidP="00000000" w:rsidRDefault="00000000" w:rsidRPr="00000000" w14:paraId="0000000F">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0">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Nota: </w:t>
      </w:r>
      <w:r w:rsidDel="00000000" w:rsidR="00000000" w:rsidRPr="00000000">
        <w:rPr>
          <w:rFonts w:ascii="Calibri" w:cs="Calibri" w:eastAsia="Calibri" w:hAnsi="Calibri"/>
          <w:color w:val="1f3864"/>
          <w:rtl w:val="0"/>
        </w:rPr>
        <w:t xml:space="preserve">Celebración de la Eucaristía en uno de los altares de la Basílica de la Natividad o en el Campo de los Pastores o en la Iglesia de San Pedro o en la Abadía de la Dormición de la Virgen.</w:t>
      </w:r>
      <w:r w:rsidDel="00000000" w:rsidR="00000000" w:rsidRPr="00000000">
        <w:rPr>
          <w:rtl w:val="0"/>
        </w:rPr>
      </w:r>
    </w:p>
    <w:p w:rsidR="00000000" w:rsidDel="00000000" w:rsidP="00000000" w:rsidRDefault="00000000" w:rsidRPr="00000000" w14:paraId="00000011">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2">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3 | MARTES | JERUSALÉN</w:t>
      </w:r>
    </w:p>
    <w:p w:rsidR="00000000" w:rsidDel="00000000" w:rsidP="00000000" w:rsidRDefault="00000000" w:rsidRPr="00000000" w14:paraId="00000013">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Después del desayuno, salida hacia Betfage para comenzar el itinerario por el Monte de los Olivos. Continuación hacia la Gruta del Pater Noster, la Capilla de Dominus Flevit. Bajando por el Monte, llegada al Huerto de Getsemaní donde se encuentra la Basílica de la Agonía y la Gruta de la Traición. Visita de la Tumba de la Virgen, junto a la Gruta del Prendimiento. Continuación hacia la Puerta de los Leones. Para visitar la Iglesia Cruzada de Santa Ana, la Iglesia de la Flagelación, e iniciar el Vía Crucis, terminando después en el Santo Sepulcro. Regreso al hotel. Alojamiento en Jerusalén. Cena incluida.</w:t>
      </w:r>
    </w:p>
    <w:p w:rsidR="00000000" w:rsidDel="00000000" w:rsidP="00000000" w:rsidRDefault="00000000" w:rsidRPr="00000000" w14:paraId="00000014">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5">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Nota: </w:t>
      </w:r>
      <w:r w:rsidDel="00000000" w:rsidR="00000000" w:rsidRPr="00000000">
        <w:rPr>
          <w:rFonts w:ascii="Calibri" w:cs="Calibri" w:eastAsia="Calibri" w:hAnsi="Calibri"/>
          <w:color w:val="1f3864"/>
          <w:rtl w:val="0"/>
        </w:rPr>
        <w:t xml:space="preserve">Celebración</w:t>
      </w:r>
      <w:r w:rsidDel="00000000" w:rsidR="00000000" w:rsidRPr="00000000">
        <w:rPr>
          <w:rFonts w:ascii="Calibri" w:cs="Calibri" w:eastAsia="Calibri" w:hAnsi="Calibri"/>
          <w:color w:val="1f3864"/>
          <w:rtl w:val="0"/>
        </w:rPr>
        <w:t xml:space="preserve"> de la Eucaristía en la Capilla de Dominus Flevit, o en la Basílica de la Agonía, o en la Gruta de la Traición, o en la Abadía de la Dormición o en la Iglesia de Santa Ana.</w:t>
      </w:r>
      <w:r w:rsidDel="00000000" w:rsidR="00000000" w:rsidRPr="00000000">
        <w:rPr>
          <w:rtl w:val="0"/>
        </w:rPr>
      </w:r>
    </w:p>
    <w:p w:rsidR="00000000" w:rsidDel="00000000" w:rsidP="00000000" w:rsidRDefault="00000000" w:rsidRPr="00000000" w14:paraId="00000016">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7">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4 | MIÉRCOLES | JERUSALÉN – JERICÓ – MONTE TABOR – CANÁ – NAZARET </w:t>
      </w:r>
    </w:p>
    <w:p w:rsidR="00000000" w:rsidDel="00000000" w:rsidP="00000000" w:rsidRDefault="00000000" w:rsidRPr="00000000" w14:paraId="00000018">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Después del desayuno, salida de Jerusalén hacia Jericó, la ciudad más antigua del mundo y la primera ciudad que fue conquistada por los Hijos de Israel cuando regresaron del cautiverio egipcio y desde donde se puede apreciar el Monte de las Tentaciones y el árbol de Zaqueo. Continuación hacia Galilea con parada en Qaser el Yahud, lugar del Bautismo sobre el río Jordán. Continuación al Monte Tabor donde Jesús se transfiguró delante de tres de sus discípulos. Visita a la Iglesia de Caná de Galilea donde tuvo lugar el Primer Milagro de Jesús, la conversión del agua en vino, en las bodas de Cana. Renovación de las promesas del matrimonio y Eucaristía. Continuación a Nazaret. Alojamiento en Nazaret. Cena incluida.</w:t>
      </w:r>
    </w:p>
    <w:p w:rsidR="00000000" w:rsidDel="00000000" w:rsidP="00000000" w:rsidRDefault="00000000" w:rsidRPr="00000000" w14:paraId="00000019">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A">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Nota: </w:t>
      </w:r>
      <w:r w:rsidDel="00000000" w:rsidR="00000000" w:rsidRPr="00000000">
        <w:rPr>
          <w:rFonts w:ascii="Calibri" w:cs="Calibri" w:eastAsia="Calibri" w:hAnsi="Calibri"/>
          <w:color w:val="1f3864"/>
          <w:rtl w:val="0"/>
        </w:rPr>
        <w:t xml:space="preserve">Celebración de la Eucaristía en la Basílica de la Transfiguración en el Monte Tabor o en la Iglesia de Cana.</w:t>
      </w:r>
      <w:r w:rsidDel="00000000" w:rsidR="00000000" w:rsidRPr="00000000">
        <w:rPr>
          <w:rtl w:val="0"/>
        </w:rPr>
      </w:r>
    </w:p>
    <w:p w:rsidR="00000000" w:rsidDel="00000000" w:rsidP="00000000" w:rsidRDefault="00000000" w:rsidRPr="00000000" w14:paraId="0000001B">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C">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5 | JUEVES | </w:t>
      </w:r>
      <w:r w:rsidDel="00000000" w:rsidR="00000000" w:rsidRPr="00000000">
        <w:rPr>
          <w:rFonts w:ascii="Calibri" w:cs="Calibri" w:eastAsia="Calibri" w:hAnsi="Calibri"/>
          <w:b w:val="1"/>
          <w:bCs w:val="1"/>
          <w:color w:val="1f3864"/>
          <w:rtl w:val="0"/>
        </w:rPr>
        <w:t xml:space="preserve">NAZARET</w:t>
      </w:r>
      <w:r w:rsidDel="00000000" w:rsidR="00000000" w:rsidRPr="00000000">
        <w:rPr>
          <w:rFonts w:ascii="Calibri" w:cs="Calibri" w:eastAsia="Calibri" w:hAnsi="Calibri"/>
          <w:b w:val="1"/>
          <w:bCs w:val="1"/>
          <w:color w:val="1f3864"/>
          <w:rtl w:val="0"/>
        </w:rPr>
        <w:t xml:space="preserve"> – MAR DE GALILEA – NAZARET </w:t>
      </w:r>
    </w:p>
    <w:p w:rsidR="00000000" w:rsidDel="00000000" w:rsidP="00000000" w:rsidRDefault="00000000" w:rsidRPr="00000000" w14:paraId="0000001D">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Después del desayuno, salida para un paseo en barco por el Mar de Galilea. Continuación hacia el Monte de las Bienaventuranzas. Después, bordeando el lago, visita Cafarnaúm llamada “la Ciudad de Jesús” donde Jesús predicó. Visitaran las ruinas de la Casa de San Pedro y las ruinas de la antigua sinagoga del siglo IV A.D. Continuación hacia Tabgha, lugar del Milagro de la Multiplicación de los Panes y Peces y Primado de San Pedro. Concluimos la jornada en Magdala, la ciudad de María Magdalena, a quien Jesús le expulsó siete demonios. Regreso al hotel en Nazaret. Alojamiento. Cena incluida.</w:t>
      </w:r>
    </w:p>
    <w:p w:rsidR="00000000" w:rsidDel="00000000" w:rsidP="00000000" w:rsidRDefault="00000000" w:rsidRPr="00000000" w14:paraId="0000001E">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F">
      <w:pPr>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Nota: </w:t>
      </w:r>
      <w:r w:rsidDel="00000000" w:rsidR="00000000" w:rsidRPr="00000000">
        <w:rPr>
          <w:rFonts w:ascii="Calibri" w:cs="Calibri" w:eastAsia="Calibri" w:hAnsi="Calibri"/>
          <w:color w:val="1f3864"/>
          <w:rtl w:val="0"/>
        </w:rPr>
        <w:t xml:space="preserve">Celebración de la Eucaristía en la Iglesia de San Pedro en Cafarnaúm, o en la Capilla del Primado o en el Monte de las Bienaventuranzas.</w:t>
      </w:r>
    </w:p>
    <w:p w:rsidR="00000000" w:rsidDel="00000000" w:rsidP="00000000" w:rsidRDefault="00000000" w:rsidRPr="00000000" w14:paraId="00000020">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1">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6 | VIERNES | NAZARET – HAIFA – TEL AVIV</w:t>
      </w:r>
    </w:p>
    <w:p w:rsidR="00000000" w:rsidDel="00000000" w:rsidP="00000000" w:rsidRDefault="00000000" w:rsidRPr="00000000" w14:paraId="00000022">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Después del desayuno, visita de Nazaret, lugar de la infancia de Jesús. Visita de la Basílica de la Anunciación y de la Iglesia de San José.  Continuación hacia la ciudad de Haifa ubicada en el Monte Carmelo donde tuvo lugar el desafío del profeta Elías que se escondió del Rey Ahab. Visita al Monasterio Carmelita de Stella Maris. Vista panorámica del Templo Bahaí y sus magníficos Jardines Persas. Luego de la visita de Haifa, continuación del viaje por la costa del Mediterráneo hacia Tel Aviv, donde visitaremos la bíblica ubicación de Jaffa, antiguo puerto de Israel convertido en interesante barrio de artistas que fue la ciudad de Joppe descrita en los “Hechos de los Apóstoles”, visita a la Iglesia de San Pedro. Llegada al Hotel de Tel Aviv. Alojamiento en Tel Aviv. Cena incluida.</w:t>
      </w:r>
    </w:p>
    <w:p w:rsidR="00000000" w:rsidDel="00000000" w:rsidP="00000000" w:rsidRDefault="00000000" w:rsidRPr="00000000" w14:paraId="00000023">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24">
      <w:pP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Nota</w:t>
      </w:r>
      <w:r w:rsidDel="00000000" w:rsidR="00000000" w:rsidRPr="00000000">
        <w:rPr>
          <w:rFonts w:ascii="Calibri" w:cs="Calibri" w:eastAsia="Calibri" w:hAnsi="Calibri"/>
          <w:color w:val="1f3864"/>
          <w:rtl w:val="0"/>
        </w:rPr>
        <w:t xml:space="preserve">: Celebración de la Eucaristía en la Iglesia de San José o en la Basílica de la Anunciación o en el Monasterio Carmelita o en la Iglesia de San Pedro.</w:t>
      </w:r>
    </w:p>
    <w:p w:rsidR="00000000" w:rsidDel="00000000" w:rsidP="00000000" w:rsidRDefault="00000000" w:rsidRPr="00000000" w14:paraId="00000025">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6">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7 | SÁBADO | TEL AVIV (</w:t>
      </w:r>
      <w:r w:rsidDel="00000000" w:rsidR="00000000" w:rsidRPr="00000000">
        <w:rPr>
          <w:rFonts w:ascii="Calibri" w:cs="Calibri" w:eastAsia="Calibri" w:hAnsi="Calibri"/>
          <w:b w:val="1"/>
          <w:bCs w:val="1"/>
          <w:color w:val="b45f06"/>
          <w:u w:val="single"/>
          <w:rtl w:val="0"/>
        </w:rPr>
        <w:t xml:space="preserve">OPCIONAL</w:t>
      </w:r>
      <w:r w:rsidDel="00000000" w:rsidR="00000000" w:rsidRPr="00000000">
        <w:rPr>
          <w:rFonts w:ascii="Calibri" w:cs="Calibri" w:eastAsia="Calibri" w:hAnsi="Calibri"/>
          <w:b w:val="1"/>
          <w:bCs w:val="1"/>
          <w:color w:val="1f3864"/>
          <w:rtl w:val="0"/>
        </w:rPr>
        <w:t xml:space="preserve"> MASADA Y MAR MUERTO)</w:t>
      </w:r>
    </w:p>
    <w:p w:rsidR="00000000" w:rsidDel="00000000" w:rsidP="00000000" w:rsidRDefault="00000000" w:rsidRPr="00000000" w14:paraId="00000027">
      <w:pPr>
        <w:jc w:val="both"/>
        <w:rPr>
          <w:rFonts w:ascii="Calibri" w:cs="Calibri" w:eastAsia="Calibri" w:hAnsi="Calibri"/>
          <w:b w:val="1"/>
          <w:bCs w:val="1"/>
          <w:color w:val="1f3864"/>
        </w:rPr>
      </w:pPr>
      <w:r w:rsidDel="00000000" w:rsidR="00000000" w:rsidRPr="00000000">
        <w:rPr>
          <w:rFonts w:ascii="Calibri" w:cs="Calibri" w:eastAsia="Calibri" w:hAnsi="Calibri"/>
          <w:color w:val="1f3864"/>
          <w:rtl w:val="0"/>
        </w:rPr>
        <w:t xml:space="preserve">Después del desayuno, día libre. Posibilidad de hacer opcional Masada y Mar Muerto. Salida hacia la Región del Mar Muerto, llegando al lugar más bajo del mundo, a 400 metros bajo el nivel del mar. Bordeando la costa del Mar Muerto llegaremos a Masada, última fortificación de los zelotes. Ascensión en teleférico y visita a las excavaciones del palacio de Herodes, baños romanos, etc. Descenso en teleférico. Continuaremos en un balneario en el Mar Muerto y tendremos tiempo libre para bañarse (si el clima lo permite). Regreso a Tel Aviv. Alojamiento en Tel Aviv. Cena incluida.</w:t>
      </w:r>
      <w:r w:rsidDel="00000000" w:rsidR="00000000" w:rsidRPr="00000000">
        <w:rPr>
          <w:rtl w:val="0"/>
        </w:rPr>
      </w:r>
    </w:p>
    <w:p w:rsidR="00000000" w:rsidDel="00000000" w:rsidP="00000000" w:rsidRDefault="00000000" w:rsidRPr="00000000" w14:paraId="00000028">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8 | DOMINGO | TEL AVIV – AEROPUERTO TEL AVIV</w:t>
      </w:r>
    </w:p>
    <w:p w:rsidR="00000000" w:rsidDel="00000000" w:rsidP="00000000" w:rsidRDefault="00000000" w:rsidRPr="00000000" w14:paraId="00000029">
      <w:pPr>
        <w:rPr>
          <w:rFonts w:ascii="Calibri" w:cs="Calibri" w:eastAsia="Calibri" w:hAnsi="Calibri"/>
          <w:color w:val="1f3864"/>
        </w:rPr>
      </w:pPr>
      <w:r w:rsidDel="00000000" w:rsidR="00000000" w:rsidRPr="00000000">
        <w:rPr>
          <w:rFonts w:ascii="Calibri" w:cs="Calibri" w:eastAsia="Calibri" w:hAnsi="Calibri"/>
          <w:color w:val="1f3864"/>
          <w:rtl w:val="0"/>
        </w:rPr>
        <w:t xml:space="preserve">Después del desayuno, a la hora indicada traslado de partida hacia el Aeropuerto Ben Gurion.</w:t>
      </w:r>
    </w:p>
    <w:p w:rsidR="00000000" w:rsidDel="00000000" w:rsidP="00000000" w:rsidRDefault="00000000" w:rsidRPr="00000000" w14:paraId="0000002A">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B">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¡FIN DE NUESTROS SERVICIOS!</w:t>
      </w:r>
    </w:p>
    <w:p w:rsidR="00000000" w:rsidDel="00000000" w:rsidP="00000000" w:rsidRDefault="00000000" w:rsidRPr="00000000" w14:paraId="0000002C">
      <w:pPr>
        <w:rPr>
          <w:rFonts w:ascii="Calibri" w:cs="Calibri" w:eastAsia="Calibri" w:hAnsi="Calibri"/>
          <w:b w:val="1"/>
          <w:bCs w:val="1"/>
          <w:color w:val="1f3864"/>
          <w:sz w:val="16"/>
          <w:szCs w:val="16"/>
        </w:rPr>
      </w:pPr>
      <w:r w:rsidDel="00000000" w:rsidR="00000000" w:rsidRPr="00000000">
        <w:rPr>
          <w:rtl w:val="0"/>
        </w:rPr>
      </w:r>
    </w:p>
    <w:p w:rsidR="00000000" w:rsidDel="00000000" w:rsidP="00000000" w:rsidRDefault="00000000" w:rsidRPr="00000000" w14:paraId="0000002D">
      <w:pPr>
        <w:jc w:val="center"/>
        <w:rPr>
          <w:rFonts w:ascii="Calibri" w:cs="Calibri" w:eastAsia="Calibri" w:hAnsi="Calibri"/>
          <w:i w:val="1"/>
          <w:iCs w:val="1"/>
          <w:color w:val="1f3864"/>
          <w:u w:val="single"/>
        </w:rPr>
      </w:pPr>
      <w:r w:rsidDel="00000000" w:rsidR="00000000" w:rsidRPr="00000000">
        <w:rPr>
          <w:rFonts w:ascii="Calibri" w:cs="Calibri" w:eastAsia="Calibri" w:hAnsi="Calibri"/>
          <w:i w:val="1"/>
          <w:iCs w:val="1"/>
          <w:color w:val="1f3864"/>
          <w:u w:val="single"/>
          <w:rtl w:val="0"/>
        </w:rPr>
        <w:t xml:space="preserve">*Visitas sujetas a condiciones de seguridad.</w:t>
      </w:r>
    </w:p>
    <w:p w:rsidR="00000000" w:rsidDel="00000000" w:rsidP="00000000" w:rsidRDefault="00000000" w:rsidRPr="00000000" w14:paraId="0000002E">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F">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TARIFA POR PERSONA EN DÓLARES</w:t>
      </w:r>
    </w:p>
    <w:p w:rsidR="00000000" w:rsidDel="00000000" w:rsidP="00000000" w:rsidRDefault="00000000" w:rsidRPr="00000000" w14:paraId="00000030">
      <w:pPr>
        <w:jc w:val="center"/>
        <w:rPr>
          <w:rFonts w:ascii="Calibri" w:cs="Calibri" w:eastAsia="Calibri" w:hAnsi="Calibri"/>
          <w:b w:val="1"/>
          <w:bCs w:val="1"/>
          <w:color w:val="1f3864"/>
          <w:sz w:val="10"/>
          <w:szCs w:val="10"/>
        </w:rPr>
      </w:pPr>
      <w:r w:rsidDel="00000000" w:rsidR="00000000" w:rsidRPr="00000000">
        <w:rPr>
          <w:rtl w:val="0"/>
        </w:rPr>
      </w:r>
    </w:p>
    <w:tbl>
      <w:tblPr>
        <w:tblStyle w:val="Table1"/>
        <w:tblW w:w="5944.000000000001" w:type="dxa"/>
        <w:jc w:val="center"/>
        <w:tblLayout w:type="fixed"/>
        <w:tblLook w:val="0400"/>
      </w:tblPr>
      <w:tblGrid>
        <w:gridCol w:w="2365"/>
        <w:gridCol w:w="1736"/>
        <w:gridCol w:w="1843"/>
        <w:tblGridChange w:id="0">
          <w:tblGrid>
            <w:gridCol w:w="2365"/>
            <w:gridCol w:w="1736"/>
            <w:gridCol w:w="1843"/>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4" w:val="single"/>
            </w:tcBorders>
            <w:shd w:fill="203764" w:val="clear"/>
            <w:vAlign w:val="center"/>
          </w:tcPr>
          <w:p w:rsidR="00000000" w:rsidDel="00000000" w:rsidP="00000000" w:rsidRDefault="00000000" w:rsidRPr="00000000" w14:paraId="00000031">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FECHAS</w:t>
            </w:r>
          </w:p>
        </w:tc>
        <w:tc>
          <w:tcPr>
            <w:tcBorders>
              <w:top w:color="000000" w:space="0" w:sz="8" w:val="single"/>
              <w:left w:color="000000" w:space="0" w:sz="0" w:val="nil"/>
              <w:bottom w:color="000000" w:space="0" w:sz="8" w:val="single"/>
              <w:right w:color="000000" w:space="0" w:sz="4" w:val="single"/>
            </w:tcBorders>
            <w:shd w:fill="203764" w:val="clear"/>
            <w:vAlign w:val="center"/>
          </w:tcPr>
          <w:p w:rsidR="00000000" w:rsidDel="00000000" w:rsidP="00000000" w:rsidRDefault="00000000" w:rsidRPr="00000000" w14:paraId="00000032">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DOBLE</w:t>
            </w:r>
          </w:p>
        </w:tc>
        <w:tc>
          <w:tcPr>
            <w:tcBorders>
              <w:top w:color="000000" w:space="0" w:sz="8" w:val="single"/>
              <w:left w:color="000000" w:space="0" w:sz="0" w:val="nil"/>
              <w:bottom w:color="000000" w:space="0" w:sz="8" w:val="single"/>
              <w:right w:color="000000" w:space="0" w:sz="4" w:val="single"/>
            </w:tcBorders>
            <w:shd w:fill="203764" w:val="clear"/>
            <w:vAlign w:val="center"/>
          </w:tcPr>
          <w:p w:rsidR="00000000" w:rsidDel="00000000" w:rsidP="00000000" w:rsidRDefault="00000000" w:rsidRPr="00000000" w14:paraId="00000033">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SINGLE</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c1f0c8" w:val="clear"/>
            <w:vAlign w:val="center"/>
          </w:tcPr>
          <w:p w:rsidR="00000000" w:rsidDel="00000000" w:rsidP="00000000" w:rsidRDefault="00000000" w:rsidRPr="00000000" w14:paraId="0000003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ENERO 2027</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35">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2.169 USD</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3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3.189 USD</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c0e6f5" w:val="clear"/>
            <w:vAlign w:val="center"/>
          </w:tcPr>
          <w:p w:rsidR="00000000" w:rsidDel="00000000" w:rsidP="00000000" w:rsidRDefault="00000000" w:rsidRPr="00000000" w14:paraId="0000003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MAY-JUL-OCT-DIC</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2.179 USD</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3.209 USD</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2ceef" w:val="clear"/>
            <w:vAlign w:val="center"/>
          </w:tcPr>
          <w:p w:rsidR="00000000" w:rsidDel="00000000" w:rsidP="00000000" w:rsidRDefault="00000000" w:rsidRPr="00000000" w14:paraId="0000003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AGOSTO</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2.209 USD</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3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3.239 USD</w:t>
            </w:r>
          </w:p>
        </w:tc>
      </w:tr>
    </w:tbl>
    <w:p w:rsidR="00000000" w:rsidDel="00000000" w:rsidP="00000000" w:rsidRDefault="00000000" w:rsidRPr="00000000" w14:paraId="0000003D">
      <w:pPr>
        <w:jc w:val="center"/>
        <w:rPr>
          <w:rFonts w:ascii="Calibri" w:cs="Calibri" w:eastAsia="Calibri" w:hAnsi="Calibri"/>
          <w:color w:val="1f3864"/>
          <w:sz w:val="10"/>
          <w:szCs w:val="10"/>
        </w:rPr>
      </w:pPr>
      <w:r w:rsidDel="00000000" w:rsidR="00000000" w:rsidRPr="00000000">
        <w:rPr>
          <w:rtl w:val="0"/>
        </w:rPr>
      </w:r>
    </w:p>
    <w:p w:rsidR="00000000" w:rsidDel="00000000" w:rsidP="00000000" w:rsidRDefault="00000000" w:rsidRPr="00000000" w14:paraId="0000003E">
      <w:pPr>
        <w:jc w:val="center"/>
        <w:rPr>
          <w:rFonts w:ascii="Calibri" w:cs="Calibri" w:eastAsia="Calibri" w:hAnsi="Calibri"/>
          <w:b w:val="1"/>
          <w:bCs w:val="1"/>
          <w:color w:val="1f3864"/>
        </w:rPr>
      </w:pPr>
      <w:r w:rsidDel="00000000" w:rsidR="00000000" w:rsidRPr="00000000">
        <w:rPr>
          <w:rFonts w:ascii="Calibri" w:cs="Calibri" w:eastAsia="Calibri" w:hAnsi="Calibri"/>
          <w:color w:val="1f3864"/>
          <w:rtl w:val="0"/>
        </w:rPr>
        <w:t xml:space="preserve">Para vuelos que lleguen a Israel entre las 23:00 y las 06:00 habrá un suplemento obligatorio por el traslado de </w:t>
      </w:r>
      <w:r w:rsidDel="00000000" w:rsidR="00000000" w:rsidRPr="00000000">
        <w:rPr>
          <w:rFonts w:ascii="Calibri" w:cs="Calibri" w:eastAsia="Calibri" w:hAnsi="Calibri"/>
          <w:i w:val="1"/>
          <w:iCs w:val="1"/>
          <w:color w:val="1f3864"/>
          <w:u w:val="single"/>
          <w:rtl w:val="0"/>
        </w:rPr>
        <w:t xml:space="preserve">USD 145</w:t>
      </w:r>
      <w:r w:rsidDel="00000000" w:rsidR="00000000" w:rsidRPr="00000000">
        <w:rPr>
          <w:rFonts w:ascii="Calibri" w:cs="Calibri" w:eastAsia="Calibri" w:hAnsi="Calibri"/>
          <w:color w:val="1f3864"/>
          <w:rtl w:val="0"/>
        </w:rPr>
        <w:t xml:space="preserve"> por pasajero. En el caso de pasajero “individual”, suplemento obligatorio de</w:t>
      </w:r>
      <w:r w:rsidDel="00000000" w:rsidR="00000000" w:rsidRPr="00000000">
        <w:rPr>
          <w:rFonts w:ascii="Calibri" w:cs="Calibri" w:eastAsia="Calibri" w:hAnsi="Calibri"/>
          <w:i w:val="1"/>
          <w:iCs w:val="1"/>
          <w:color w:val="1f3864"/>
          <w:u w:val="single"/>
          <w:rtl w:val="0"/>
        </w:rPr>
        <w:t xml:space="preserve"> USD 285.</w:t>
      </w:r>
      <w:r w:rsidDel="00000000" w:rsidR="00000000" w:rsidRPr="00000000">
        <w:rPr>
          <w:rtl w:val="0"/>
        </w:rPr>
      </w:r>
    </w:p>
    <w:p w:rsidR="00000000" w:rsidDel="00000000" w:rsidP="00000000" w:rsidRDefault="00000000" w:rsidRPr="00000000" w14:paraId="0000003F">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40">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INCLUYE:</w:t>
      </w:r>
    </w:p>
    <w:p w:rsidR="00000000" w:rsidDel="00000000" w:rsidP="00000000" w:rsidRDefault="00000000" w:rsidRPr="00000000" w14:paraId="0000004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Alojamiento en hoteles de acuerdo a la categoría seleccionada. </w:t>
      </w:r>
    </w:p>
    <w:p w:rsidR="00000000" w:rsidDel="00000000" w:rsidP="00000000" w:rsidRDefault="00000000" w:rsidRPr="00000000" w14:paraId="0000004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3 noches de alojamiento con desayuno y cena incluido en Jerusalén. </w:t>
      </w:r>
    </w:p>
    <w:p w:rsidR="00000000" w:rsidDel="00000000" w:rsidP="00000000" w:rsidRDefault="00000000" w:rsidRPr="00000000" w14:paraId="0000004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2 noches de alojamiento con desayuno y cena incluido en Nazaret. </w:t>
      </w:r>
    </w:p>
    <w:p w:rsidR="00000000" w:rsidDel="00000000" w:rsidP="00000000" w:rsidRDefault="00000000" w:rsidRPr="00000000" w14:paraId="0000004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2 noches de alojamiento con desayuno y cena incluido en Tel Aviv.</w:t>
      </w:r>
    </w:p>
    <w:p w:rsidR="00000000" w:rsidDel="00000000" w:rsidP="00000000" w:rsidRDefault="00000000" w:rsidRPr="00000000" w14:paraId="0000004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5 días de excursión en bus o minibús con sacerdote-guía de habla hispana. </w:t>
      </w:r>
    </w:p>
    <w:p w:rsidR="00000000" w:rsidDel="00000000" w:rsidP="00000000" w:rsidRDefault="00000000" w:rsidRPr="00000000" w14:paraId="0000004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Traslados entre hoteles y aeropuerto. </w:t>
      </w:r>
    </w:p>
    <w:p w:rsidR="00000000" w:rsidDel="00000000" w:rsidP="00000000" w:rsidRDefault="00000000" w:rsidRPr="00000000" w14:paraId="0000004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Entradas a los lugares de visita según el programa.</w:t>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520" w:hanging="360"/>
        <w:jc w:val="left"/>
        <w:rPr>
          <w:rFonts w:ascii="Calibri" w:cs="Calibri" w:eastAsia="Calibri" w:hAnsi="Calibri"/>
          <w:b w:val="0"/>
          <w:bCs w:val="0"/>
          <w:i w:val="0"/>
          <w:iCs w:val="0"/>
          <w:smallCaps w:val="0"/>
          <w:strike w:val="0"/>
          <w:color w:val="1f3864"/>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Tarjeta de asistencia médica (Cobertura máxima USD 60.000)</w:t>
      </w:r>
      <w:r w:rsidDel="00000000" w:rsidR="00000000" w:rsidRPr="00000000">
        <w:rPr>
          <w:rtl w:val="0"/>
        </w:rPr>
      </w:r>
    </w:p>
    <w:p w:rsidR="00000000" w:rsidDel="00000000" w:rsidP="00000000" w:rsidRDefault="00000000" w:rsidRPr="00000000" w14:paraId="00000049">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4A">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NO INCLUYE:</w:t>
      </w:r>
    </w:p>
    <w:p w:rsidR="00000000" w:rsidDel="00000000" w:rsidP="00000000" w:rsidRDefault="00000000" w:rsidRPr="00000000" w14:paraId="0000004B">
      <w:pPr>
        <w:numPr>
          <w:ilvl w:val="0"/>
          <w:numId w:val="3"/>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internacionales ni domésticos (consulta por nuestras tarifas especiales). </w:t>
      </w:r>
    </w:p>
    <w:p w:rsidR="00000000" w:rsidDel="00000000" w:rsidP="00000000" w:rsidRDefault="00000000" w:rsidRPr="00000000" w14:paraId="0000004C">
      <w:pPr>
        <w:numPr>
          <w:ilvl w:val="0"/>
          <w:numId w:val="3"/>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Visados, tasas de fronteras y/o aeropuertos</w:t>
      </w:r>
    </w:p>
    <w:p w:rsidR="00000000" w:rsidDel="00000000" w:rsidP="00000000" w:rsidRDefault="00000000" w:rsidRPr="00000000" w14:paraId="0000004D">
      <w:pPr>
        <w:numPr>
          <w:ilvl w:val="0"/>
          <w:numId w:val="3"/>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Gastos extras personales. </w:t>
      </w:r>
    </w:p>
    <w:p w:rsidR="00000000" w:rsidDel="00000000" w:rsidP="00000000" w:rsidRDefault="00000000" w:rsidRPr="00000000" w14:paraId="0000004E">
      <w:pPr>
        <w:numPr>
          <w:ilvl w:val="0"/>
          <w:numId w:val="3"/>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Propina en Israel se recomienda: Guía USD 4 y Conductor USD 3 por día por pasajero a pagar en destino. </w:t>
      </w:r>
    </w:p>
    <w:p w:rsidR="00000000" w:rsidDel="00000000" w:rsidP="00000000" w:rsidRDefault="00000000" w:rsidRPr="00000000" w14:paraId="0000004F">
      <w:pPr>
        <w:numPr>
          <w:ilvl w:val="0"/>
          <w:numId w:val="3"/>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Visitas opcionales. </w:t>
      </w:r>
    </w:p>
    <w:p w:rsidR="00000000" w:rsidDel="00000000" w:rsidP="00000000" w:rsidRDefault="00000000" w:rsidRPr="00000000" w14:paraId="00000050">
      <w:pPr>
        <w:numPr>
          <w:ilvl w:val="0"/>
          <w:numId w:val="3"/>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Cualquier otro servicio no mencionado en "Los precios incluyen".</w:t>
      </w:r>
    </w:p>
    <w:p w:rsidR="00000000" w:rsidDel="00000000" w:rsidP="00000000" w:rsidRDefault="00000000" w:rsidRPr="00000000" w14:paraId="00000051">
      <w:pPr>
        <w:numPr>
          <w:ilvl w:val="0"/>
          <w:numId w:val="3"/>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52">
      <w:pPr>
        <w:rPr>
          <w:rFonts w:ascii="Calibri" w:cs="Calibri" w:eastAsia="Calibri" w:hAnsi="Calibri"/>
          <w:color w:val="1f3864"/>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53">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HOTELES PREVISTOS O SIMILARES</w:t>
      </w:r>
    </w:p>
    <w:p w:rsidR="00000000" w:rsidDel="00000000" w:rsidP="00000000" w:rsidRDefault="00000000" w:rsidRPr="00000000" w14:paraId="00000054">
      <w:pPr>
        <w:rPr>
          <w:rFonts w:ascii="Calibri" w:cs="Calibri" w:eastAsia="Calibri" w:hAnsi="Calibri"/>
          <w:b w:val="1"/>
          <w:bCs w:val="1"/>
          <w:color w:val="1f3864"/>
          <w:sz w:val="12"/>
          <w:szCs w:val="12"/>
        </w:rPr>
      </w:pPr>
      <w:r w:rsidDel="00000000" w:rsidR="00000000" w:rsidRPr="00000000">
        <w:rPr>
          <w:rtl w:val="0"/>
        </w:rPr>
      </w:r>
    </w:p>
    <w:tbl>
      <w:tblPr>
        <w:tblStyle w:val="Table2"/>
        <w:tblW w:w="4961.0" w:type="dxa"/>
        <w:jc w:val="center"/>
        <w:tblLayout w:type="fixed"/>
        <w:tblLook w:val="0400"/>
      </w:tblPr>
      <w:tblGrid>
        <w:gridCol w:w="2365"/>
        <w:gridCol w:w="2596"/>
        <w:tblGridChange w:id="0">
          <w:tblGrid>
            <w:gridCol w:w="2365"/>
            <w:gridCol w:w="2596"/>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4" w:val="single"/>
            </w:tcBorders>
            <w:shd w:fill="203764" w:val="clear"/>
            <w:tcMar>
              <w:top w:w="15.0" w:type="dxa"/>
              <w:left w:w="15.0" w:type="dxa"/>
              <w:bottom w:w="0.0" w:type="dxa"/>
              <w:right w:w="15.0" w:type="dxa"/>
            </w:tcMar>
            <w:vAlign w:val="center"/>
          </w:tcPr>
          <w:p w:rsidR="00000000" w:rsidDel="00000000" w:rsidP="00000000" w:rsidRDefault="00000000" w:rsidRPr="00000000" w14:paraId="00000055">
            <w:pPr>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CIUDADES</w:t>
            </w:r>
          </w:p>
        </w:tc>
        <w:tc>
          <w:tcPr>
            <w:tcBorders>
              <w:top w:color="000000" w:space="0" w:sz="8" w:val="single"/>
              <w:left w:color="000000" w:space="0" w:sz="8" w:val="single"/>
              <w:bottom w:color="000000" w:space="0" w:sz="8" w:val="single"/>
              <w:right w:color="000000" w:space="0" w:sz="4" w:val="single"/>
            </w:tcBorders>
            <w:shd w:fill="203764" w:val="clear"/>
            <w:tcMar>
              <w:top w:w="15.0" w:type="dxa"/>
              <w:left w:w="15.0" w:type="dxa"/>
              <w:bottom w:w="0.0" w:type="dxa"/>
              <w:right w:w="15.0" w:type="dxa"/>
            </w:tcMar>
            <w:vAlign w:val="center"/>
          </w:tcPr>
          <w:p w:rsidR="00000000" w:rsidDel="00000000" w:rsidP="00000000" w:rsidRDefault="00000000" w:rsidRPr="00000000" w14:paraId="00000056">
            <w:pPr>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HOTELES</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5.0" w:type="dxa"/>
              <w:left w:w="15.0" w:type="dxa"/>
              <w:bottom w:w="0.0" w:type="dxa"/>
              <w:right w:w="15.0" w:type="dxa"/>
            </w:tcMar>
            <w:vAlign w:val="center"/>
          </w:tcPr>
          <w:p w:rsidR="00000000" w:rsidDel="00000000" w:rsidP="00000000" w:rsidRDefault="00000000" w:rsidRPr="00000000" w14:paraId="00000057">
            <w:pPr>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JERUSALÉN </w:t>
            </w:r>
          </w:p>
        </w:tc>
        <w:tc>
          <w:tcPr>
            <w:tcBorders>
              <w:top w:color="000000" w:space="0" w:sz="0" w:val="nil"/>
              <w:left w:color="000000" w:space="0" w:sz="0" w:val="nil"/>
              <w:bottom w:color="000000" w:space="0" w:sz="8" w:val="single"/>
              <w:right w:color="000000" w:space="0" w:sz="8" w:val="single"/>
            </w:tcBorders>
            <w:shd w:fill="ffffff" w:val="clear"/>
            <w:tcMar>
              <w:top w:w="15.0" w:type="dxa"/>
              <w:left w:w="15.0" w:type="dxa"/>
              <w:bottom w:w="0.0" w:type="dxa"/>
              <w:right w:w="15.0" w:type="dxa"/>
            </w:tcMar>
            <w:vAlign w:val="center"/>
          </w:tcPr>
          <w:p w:rsidR="00000000" w:rsidDel="00000000" w:rsidP="00000000" w:rsidRDefault="00000000" w:rsidRPr="00000000" w14:paraId="00000058">
            <w:pPr>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Prima Park o similar </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tcMar>
              <w:top w:w="15.0" w:type="dxa"/>
              <w:left w:w="15.0" w:type="dxa"/>
              <w:bottom w:w="0.0" w:type="dxa"/>
              <w:right w:w="15.0" w:type="dxa"/>
            </w:tcMar>
            <w:vAlign w:val="center"/>
          </w:tcPr>
          <w:p w:rsidR="00000000" w:rsidDel="00000000" w:rsidP="00000000" w:rsidRDefault="00000000" w:rsidRPr="00000000" w14:paraId="00000059">
            <w:pPr>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NAZARET </w:t>
            </w:r>
          </w:p>
        </w:tc>
        <w:tc>
          <w:tcPr>
            <w:tcBorders>
              <w:top w:color="000000" w:space="0" w:sz="0" w:val="nil"/>
              <w:left w:color="000000" w:space="0" w:sz="0" w:val="nil"/>
              <w:bottom w:color="000000" w:space="0" w:sz="8" w:val="single"/>
              <w:right w:color="000000" w:space="0" w:sz="8" w:val="single"/>
            </w:tcBorders>
            <w:shd w:fill="d9e2f3" w:val="clear"/>
            <w:tcMar>
              <w:top w:w="15.0" w:type="dxa"/>
              <w:left w:w="15.0" w:type="dxa"/>
              <w:bottom w:w="0.0" w:type="dxa"/>
              <w:right w:w="15.0" w:type="dxa"/>
            </w:tcMar>
            <w:vAlign w:val="center"/>
          </w:tcPr>
          <w:p w:rsidR="00000000" w:rsidDel="00000000" w:rsidP="00000000" w:rsidRDefault="00000000" w:rsidRPr="00000000" w14:paraId="0000005A">
            <w:pPr>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Mary’s Well o similar </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5.0" w:type="dxa"/>
              <w:left w:w="15.0" w:type="dxa"/>
              <w:bottom w:w="0.0" w:type="dxa"/>
              <w:right w:w="15.0" w:type="dxa"/>
            </w:tcMar>
            <w:vAlign w:val="center"/>
          </w:tcPr>
          <w:p w:rsidR="00000000" w:rsidDel="00000000" w:rsidP="00000000" w:rsidRDefault="00000000" w:rsidRPr="00000000" w14:paraId="0000005B">
            <w:pPr>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TEL AVIV </w:t>
            </w:r>
          </w:p>
        </w:tc>
        <w:tc>
          <w:tcPr>
            <w:tcBorders>
              <w:top w:color="000000" w:space="0" w:sz="0" w:val="nil"/>
              <w:left w:color="000000" w:space="0" w:sz="0" w:val="nil"/>
              <w:bottom w:color="000000" w:space="0" w:sz="8" w:val="single"/>
              <w:right w:color="000000" w:space="0" w:sz="8" w:val="single"/>
            </w:tcBorders>
            <w:shd w:fill="ffffff" w:val="clear"/>
            <w:tcMar>
              <w:top w:w="15.0" w:type="dxa"/>
              <w:left w:w="15.0" w:type="dxa"/>
              <w:bottom w:w="0.0" w:type="dxa"/>
              <w:right w:w="15.0" w:type="dxa"/>
            </w:tcMar>
            <w:vAlign w:val="center"/>
          </w:tcPr>
          <w:p w:rsidR="00000000" w:rsidDel="00000000" w:rsidP="00000000" w:rsidRDefault="00000000" w:rsidRPr="00000000" w14:paraId="0000005C">
            <w:pPr>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Grand Beach o similar</w:t>
            </w:r>
          </w:p>
        </w:tc>
      </w:tr>
    </w:tbl>
    <w:p w:rsidR="00000000" w:rsidDel="00000000" w:rsidP="00000000" w:rsidRDefault="00000000" w:rsidRPr="00000000" w14:paraId="0000005D">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5E">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SALIDAS SOLO PORCIÓN TERRESTRE</w:t>
      </w:r>
    </w:p>
    <w:p w:rsidR="00000000" w:rsidDel="00000000" w:rsidP="00000000" w:rsidRDefault="00000000" w:rsidRPr="00000000" w14:paraId="0000005F">
      <w:pPr>
        <w:rPr>
          <w:rFonts w:ascii="Calibri" w:cs="Calibri" w:eastAsia="Calibri" w:hAnsi="Calibri"/>
          <w:b w:val="1"/>
          <w:bCs w:val="1"/>
          <w:color w:val="1f3864"/>
        </w:rPr>
      </w:pPr>
      <w:r w:rsidDel="00000000" w:rsidR="00000000" w:rsidRPr="00000000">
        <w:rPr>
          <w:rtl w:val="0"/>
        </w:rPr>
      </w:r>
    </w:p>
    <w:tbl>
      <w:tblPr>
        <w:tblStyle w:val="Table3"/>
        <w:tblW w:w="1975.0" w:type="dxa"/>
        <w:jc w:val="center"/>
        <w:tblLayout w:type="fixed"/>
        <w:tblLook w:val="0400"/>
      </w:tblPr>
      <w:tblGrid>
        <w:gridCol w:w="1231"/>
        <w:gridCol w:w="744"/>
        <w:tblGridChange w:id="0">
          <w:tblGrid>
            <w:gridCol w:w="1231"/>
            <w:gridCol w:w="744"/>
          </w:tblGrid>
        </w:tblGridChange>
      </w:tblGrid>
      <w:tr>
        <w:trPr>
          <w:cantSplit w:val="0"/>
          <w:trHeight w:val="290" w:hRule="atLeast"/>
          <w:tblHeader w:val="0"/>
        </w:trPr>
        <w:tc>
          <w:tcPr>
            <w:gridSpan w:val="2"/>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60">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2026</w:t>
            </w:r>
          </w:p>
        </w:tc>
      </w:tr>
      <w:tr>
        <w:trPr>
          <w:cantSplit w:val="0"/>
          <w:trHeight w:val="290" w:hRule="atLeast"/>
          <w:tblHeader w:val="0"/>
        </w:trPr>
        <w:tc>
          <w:tcPr>
            <w:tcBorders>
              <w:top w:color="000000" w:space="0" w:sz="0" w:val="nil"/>
              <w:left w:color="000000" w:space="0" w:sz="8" w:val="single"/>
              <w:bottom w:color="000000" w:space="0" w:sz="8" w:val="single"/>
              <w:right w:color="000000" w:space="0" w:sz="8" w:val="single"/>
            </w:tcBorders>
            <w:shd w:fill="c0e6f5" w:val="clear"/>
            <w:vAlign w:val="center"/>
          </w:tcPr>
          <w:p w:rsidR="00000000" w:rsidDel="00000000" w:rsidP="00000000" w:rsidRDefault="00000000" w:rsidRPr="00000000" w14:paraId="0000006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MAY</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6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31</w:t>
            </w:r>
          </w:p>
        </w:tc>
      </w:tr>
      <w:tr>
        <w:trPr>
          <w:cantSplit w:val="0"/>
          <w:trHeight w:val="290" w:hRule="atLeast"/>
          <w:tblHeader w:val="0"/>
        </w:trPr>
        <w:tc>
          <w:tcPr>
            <w:tcBorders>
              <w:top w:color="000000" w:space="0" w:sz="0" w:val="nil"/>
              <w:left w:color="000000" w:space="0" w:sz="8" w:val="single"/>
              <w:bottom w:color="000000" w:space="0" w:sz="8" w:val="single"/>
              <w:right w:color="000000" w:space="0" w:sz="8" w:val="single"/>
            </w:tcBorders>
            <w:shd w:fill="c0e6f5" w:val="clear"/>
            <w:vAlign w:val="center"/>
          </w:tcPr>
          <w:p w:rsidR="00000000" w:rsidDel="00000000" w:rsidP="00000000" w:rsidRDefault="00000000" w:rsidRPr="00000000" w14:paraId="0000006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JUL</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6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w:t>
            </w:r>
          </w:p>
        </w:tc>
      </w:tr>
      <w:tr>
        <w:trPr>
          <w:cantSplit w:val="0"/>
          <w:trHeight w:val="290" w:hRule="atLeast"/>
          <w:tblHeader w:val="0"/>
        </w:trPr>
        <w:tc>
          <w:tcPr>
            <w:tcBorders>
              <w:top w:color="000000" w:space="0" w:sz="0" w:val="nil"/>
              <w:left w:color="000000" w:space="0" w:sz="8" w:val="single"/>
              <w:bottom w:color="000000" w:space="0" w:sz="8" w:val="single"/>
              <w:right w:color="000000" w:space="0" w:sz="8" w:val="single"/>
            </w:tcBorders>
            <w:shd w:fill="f2ceef" w:val="clear"/>
            <w:vAlign w:val="center"/>
          </w:tcPr>
          <w:p w:rsidR="00000000" w:rsidDel="00000000" w:rsidP="00000000" w:rsidRDefault="00000000" w:rsidRPr="00000000" w14:paraId="0000006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AGO</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6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30</w:t>
            </w:r>
          </w:p>
        </w:tc>
      </w:tr>
      <w:tr>
        <w:trPr>
          <w:cantSplit w:val="0"/>
          <w:trHeight w:val="290" w:hRule="atLeast"/>
          <w:tblHeader w:val="0"/>
        </w:trPr>
        <w:tc>
          <w:tcPr>
            <w:tcBorders>
              <w:top w:color="000000" w:space="0" w:sz="0" w:val="nil"/>
              <w:left w:color="000000" w:space="0" w:sz="8" w:val="single"/>
              <w:bottom w:color="000000" w:space="0" w:sz="8" w:val="single"/>
              <w:right w:color="000000" w:space="0" w:sz="8" w:val="single"/>
            </w:tcBorders>
            <w:shd w:fill="c0e6f5" w:val="clear"/>
            <w:vAlign w:val="center"/>
          </w:tcPr>
          <w:p w:rsidR="00000000" w:rsidDel="00000000" w:rsidP="00000000" w:rsidRDefault="00000000" w:rsidRPr="00000000" w14:paraId="0000006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OCT</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6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w:t>
            </w:r>
          </w:p>
        </w:tc>
      </w:tr>
      <w:tr>
        <w:trPr>
          <w:cantSplit w:val="0"/>
          <w:trHeight w:val="290" w:hRule="atLeast"/>
          <w:tblHeader w:val="0"/>
        </w:trPr>
        <w:tc>
          <w:tcPr>
            <w:tcBorders>
              <w:top w:color="000000" w:space="0" w:sz="0" w:val="nil"/>
              <w:left w:color="000000" w:space="0" w:sz="8" w:val="single"/>
              <w:bottom w:color="000000" w:space="0" w:sz="8" w:val="single"/>
              <w:right w:color="000000" w:space="0" w:sz="8" w:val="single"/>
            </w:tcBorders>
            <w:shd w:fill="c0e6f5" w:val="clear"/>
            <w:vAlign w:val="center"/>
          </w:tcPr>
          <w:p w:rsidR="00000000" w:rsidDel="00000000" w:rsidP="00000000" w:rsidRDefault="00000000" w:rsidRPr="00000000" w14:paraId="0000006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DIC</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6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w:t>
            </w:r>
          </w:p>
        </w:tc>
      </w:tr>
      <w:tr>
        <w:trPr>
          <w:cantSplit w:val="0"/>
          <w:trHeight w:val="290" w:hRule="atLeast"/>
          <w:tblHeader w:val="0"/>
        </w:trPr>
        <w:tc>
          <w:tcPr>
            <w:gridSpan w:val="2"/>
            <w:tcBorders>
              <w:top w:color="000000" w:space="0" w:sz="12"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6C">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2027</w:t>
            </w:r>
          </w:p>
        </w:tc>
      </w:tr>
      <w:tr>
        <w:trPr>
          <w:cantSplit w:val="0"/>
          <w:trHeight w:val="290" w:hRule="atLeast"/>
          <w:tblHeader w:val="0"/>
        </w:trPr>
        <w:tc>
          <w:tcPr>
            <w:tcBorders>
              <w:top w:color="000000" w:space="0" w:sz="0" w:val="nil"/>
              <w:left w:color="000000" w:space="0" w:sz="8" w:val="single"/>
              <w:bottom w:color="000000" w:space="0" w:sz="8" w:val="single"/>
              <w:right w:color="000000" w:space="0" w:sz="8" w:val="single"/>
            </w:tcBorders>
            <w:shd w:fill="c1f0c8" w:val="clear"/>
            <w:vAlign w:val="center"/>
          </w:tcPr>
          <w:p w:rsidR="00000000" w:rsidDel="00000000" w:rsidP="00000000" w:rsidRDefault="00000000" w:rsidRPr="00000000" w14:paraId="0000006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ENE</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6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w:t>
            </w:r>
          </w:p>
        </w:tc>
      </w:tr>
    </w:tbl>
    <w:p w:rsidR="00000000" w:rsidDel="00000000" w:rsidP="00000000" w:rsidRDefault="00000000" w:rsidRPr="00000000" w14:paraId="00000070">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71">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CONDICIONES:</w:t>
      </w:r>
    </w:p>
    <w:p w:rsidR="00000000" w:rsidDel="00000000" w:rsidP="00000000" w:rsidRDefault="00000000" w:rsidRPr="00000000" w14:paraId="0000007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888"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bookmarkStart w:colFirst="0" w:colLast="0" w:name="_heading=h.30j0zll" w:id="0"/>
      <w:bookmarkEnd w:id="0"/>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tarifa por persona en dólares, se liquida a la TRM negociada.</w:t>
      </w:r>
    </w:p>
    <w:p w:rsidR="00000000" w:rsidDel="00000000" w:rsidP="00000000" w:rsidRDefault="00000000" w:rsidRPr="00000000" w14:paraId="0000007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888"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Para garantía de reserva se requiere un depósito del 30 % del valor del paquete por persona.</w:t>
      </w:r>
    </w:p>
    <w:p w:rsidR="00000000" w:rsidDel="00000000" w:rsidP="00000000" w:rsidRDefault="00000000" w:rsidRPr="00000000" w14:paraId="0000007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888" w:right="0" w:hanging="360"/>
        <w:jc w:val="both"/>
        <w:rPr>
          <w:rFonts w:ascii="Calibri" w:cs="Calibri" w:eastAsia="Calibri" w:hAnsi="Calibri"/>
          <w:b w:val="1"/>
          <w:bCs w:val="1"/>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Al momento de confirmación de reserva, usted acepta el compromiso de pago mensual, garantizando el pago total 45 días </w:t>
      </w:r>
      <w:r w:rsidDel="00000000" w:rsidR="00000000" w:rsidRPr="00000000">
        <w:rPr>
          <w:rFonts w:ascii="Calibri" w:cs="Calibri" w:eastAsia="Calibri" w:hAnsi="Calibri"/>
          <w:b w:val="1"/>
          <w:bCs w:val="1"/>
          <w:color w:val="1f3864"/>
          <w:rtl w:val="0"/>
        </w:rPr>
        <w:t xml:space="preserve">previos</w:t>
      </w: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 a la fecha de viaje.</w:t>
      </w:r>
    </w:p>
    <w:p w:rsidR="00000000" w:rsidDel="00000000" w:rsidP="00000000" w:rsidRDefault="00000000" w:rsidRPr="00000000" w14:paraId="0000007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888"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Una vez confirmada la reserva, no permite cancelación.</w:t>
      </w:r>
    </w:p>
    <w:p w:rsidR="00000000" w:rsidDel="00000000" w:rsidP="00000000" w:rsidRDefault="00000000" w:rsidRPr="00000000" w14:paraId="0000007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888"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Depósitos no reembolsables.</w:t>
      </w:r>
    </w:p>
    <w:p w:rsidR="00000000" w:rsidDel="00000000" w:rsidP="00000000" w:rsidRDefault="00000000" w:rsidRPr="00000000" w14:paraId="000000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888"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Tours operados en servicio regular-compartido.</w:t>
      </w:r>
    </w:p>
    <w:p w:rsidR="00000000" w:rsidDel="00000000" w:rsidP="00000000" w:rsidRDefault="00000000" w:rsidRPr="00000000" w14:paraId="0000007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888"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Tarifa sujeta a cambio y disponibilidad sin previo aviso </w:t>
      </w:r>
    </w:p>
    <w:p w:rsidR="00000000" w:rsidDel="00000000" w:rsidP="00000000" w:rsidRDefault="00000000" w:rsidRPr="00000000" w14:paraId="0000007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888"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Tropitours se reserva el derecho de cambiar la secuencia del programa y los hoteles sin previo aviso, no se reembolsará dinero por no tomar noches de hoteles, excursiones o comida en el transcurso del itinerario.</w:t>
      </w:r>
    </w:p>
    <w:p w:rsidR="00000000" w:rsidDel="00000000" w:rsidP="00000000" w:rsidRDefault="00000000" w:rsidRPr="00000000" w14:paraId="0000007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888"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Debido a la situación política entre Israel y Palestina, nos reservamos el derecho de cancelar o modificar algunas de las visitas sin previo aviso, sin derecho a reclamación por parte del cliente.</w:t>
      </w:r>
    </w:p>
    <w:p w:rsidR="00000000" w:rsidDel="00000000" w:rsidP="00000000" w:rsidRDefault="00000000" w:rsidRPr="00000000" w14:paraId="0000007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888"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Para vuelos que lleguen a Israel entre las 23:00 y las 06:00 habrá un suplemento obligatorio por el traslado de USD 145 por pasajero. En el caso de pasajero “individual”, suplemento obligatorio de USD 285.</w:t>
      </w:r>
    </w:p>
    <w:p w:rsidR="00000000" w:rsidDel="00000000" w:rsidP="00000000" w:rsidRDefault="00000000" w:rsidRPr="00000000" w14:paraId="0000007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888"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asistencia médica está sujeta a un suplemento adicional para personas mayores de 65 años. Para conocer los detalles de los beneficios de tu asistencia, contáctanos o revisa la información en tu voucher. </w:t>
      </w:r>
    </w:p>
    <w:p w:rsidR="00000000" w:rsidDel="00000000" w:rsidP="00000000" w:rsidRDefault="00000000" w:rsidRPr="00000000" w14:paraId="0000007D">
      <w:pPr>
        <w:widowControl w:val="1"/>
        <w:pBdr>
          <w:top w:space="0" w:sz="0" w:val="nil"/>
          <w:left w:space="0" w:sz="0" w:val="nil"/>
          <w:bottom w:space="0" w:sz="0" w:val="nil"/>
          <w:right w:space="0" w:sz="0" w:val="nil"/>
          <w:between w:space="0" w:sz="0" w:val="nil"/>
        </w:pBdr>
        <w:tabs>
          <w:tab w:val="left" w:leader="none" w:pos="160"/>
        </w:tabs>
        <w:ind w:left="168"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E">
      <w:pPr>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7F">
      <w:pPr>
        <w:ind w:left="8" w:right="520" w:firstLine="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80">
      <w:pPr>
        <w:ind w:left="8" w:right="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w:t>
      </w:r>
    </w:p>
    <w:p w:rsidR="00000000" w:rsidDel="00000000" w:rsidP="00000000" w:rsidRDefault="00000000" w:rsidRPr="00000000" w14:paraId="00000081">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82">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Cancelación 30 días o más antes de la llegada a Israel, sin gastos de cancelación. </w:t>
      </w:r>
    </w:p>
    <w:p w:rsidR="00000000" w:rsidDel="00000000" w:rsidP="00000000" w:rsidRDefault="00000000" w:rsidRPr="00000000" w14:paraId="00000083">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Cancelación 29 días o menos antes de la llegada a Israel, tendrá un cargo de 100%.</w:t>
      </w:r>
    </w:p>
    <w:p w:rsidR="00000000" w:rsidDel="00000000" w:rsidP="00000000" w:rsidRDefault="00000000" w:rsidRPr="00000000" w14:paraId="00000084">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Por concepto de </w:t>
      </w:r>
      <w:r w:rsidDel="00000000" w:rsidR="00000000" w:rsidRPr="00000000">
        <w:rPr>
          <w:rFonts w:ascii="Calibri" w:cs="Calibri" w:eastAsia="Calibri" w:hAnsi="Calibri"/>
          <w:b w:val="1"/>
          <w:bCs w:val="1"/>
          <w:color w:val="1f3864"/>
          <w:rtl w:val="0"/>
        </w:rPr>
        <w:t xml:space="preserve">No show</w:t>
      </w:r>
      <w:r w:rsidDel="00000000" w:rsidR="00000000" w:rsidRPr="00000000">
        <w:rPr>
          <w:rFonts w:ascii="Calibri" w:cs="Calibri" w:eastAsia="Calibri" w:hAnsi="Calibri"/>
          <w:color w:val="1f3864"/>
          <w:rtl w:val="0"/>
        </w:rPr>
        <w:t xml:space="preserve">, o si al Pasajero se le niega la entrada a Israel, tendrá un cargo de 100%.</w:t>
      </w:r>
    </w:p>
    <w:p w:rsidR="00000000" w:rsidDel="00000000" w:rsidP="00000000" w:rsidRDefault="00000000" w:rsidRPr="00000000" w14:paraId="00000085">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 todos los casos nos reservamos el derecho de cobrar un cargo de gestión.</w:t>
      </w:r>
    </w:p>
    <w:p w:rsidR="00000000" w:rsidDel="00000000" w:rsidP="00000000" w:rsidRDefault="00000000" w:rsidRPr="00000000" w14:paraId="00000086">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87">
      <w:pPr>
        <w:ind w:right="-284"/>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88">
      <w:pPr>
        <w:ind w:right="520"/>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89">
      <w:pPr>
        <w:ind w:right="520"/>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RECOMENDACIONES:</w:t>
      </w:r>
    </w:p>
    <w:p w:rsidR="00000000" w:rsidDel="00000000" w:rsidP="00000000" w:rsidRDefault="00000000" w:rsidRPr="00000000" w14:paraId="0000008A">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moneda es el Nuevo Shekel israelí (NIS). Puede entrar a Israel con efectivo local, moneda extranjera, cheques de viaje y tarjetas de crédito.</w:t>
      </w:r>
    </w:p>
    <w:p w:rsidR="00000000" w:rsidDel="00000000" w:rsidP="00000000" w:rsidRDefault="00000000" w:rsidRPr="00000000" w14:paraId="0000008B">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Con alrededor de 40 días lluviosos de promedio, Israel es conocido por su sol radiante, aunque hay que recordar que cuenta con 4 temporadas. Los veranos son largos y duran de abril a octubre con picos de calor y humedad en julio y agosto. Otoño e invierno duran de noviembre a marzo. </w:t>
      </w:r>
    </w:p>
    <w:p w:rsidR="00000000" w:rsidDel="00000000" w:rsidP="00000000" w:rsidRDefault="00000000" w:rsidRPr="00000000" w14:paraId="0000008C">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Sé tolerante y respeta la diversidad; observa las tradiciones y las prácticas sociales y culturales del lugar. Evita los comportamientos que puedan ofender a la población local.</w:t>
      </w:r>
    </w:p>
    <w:p w:rsidR="00000000" w:rsidDel="00000000" w:rsidP="00000000" w:rsidRDefault="00000000" w:rsidRPr="00000000" w14:paraId="0000008D">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idiomas oficiales son el hebreo moderno y el áraba. </w:t>
      </w:r>
    </w:p>
    <w:p w:rsidR="00000000" w:rsidDel="00000000" w:rsidP="00000000" w:rsidRDefault="00000000" w:rsidRPr="00000000" w14:paraId="0000008E">
      <w:pPr>
        <w:ind w:left="720" w:right="5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8F">
      <w:pPr>
        <w:ind w:right="520"/>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REQUISITOS:</w:t>
      </w:r>
    </w:p>
    <w:p w:rsidR="00000000" w:rsidDel="00000000" w:rsidP="00000000" w:rsidRDefault="00000000" w:rsidRPr="00000000" w14:paraId="00000090">
      <w:pPr>
        <w:numPr>
          <w:ilvl w:val="0"/>
          <w:numId w:val="4"/>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colombiano vigente por al menos 6 meses</w:t>
      </w:r>
    </w:p>
    <w:p w:rsidR="00000000" w:rsidDel="00000000" w:rsidP="00000000" w:rsidRDefault="00000000" w:rsidRPr="00000000" w14:paraId="00000091">
      <w:pPr>
        <w:numPr>
          <w:ilvl w:val="0"/>
          <w:numId w:val="4"/>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Certificado de vacunación contra la fiebre amarilla en inglés</w:t>
      </w:r>
    </w:p>
    <w:p w:rsidR="00000000" w:rsidDel="00000000" w:rsidP="00000000" w:rsidRDefault="00000000" w:rsidRPr="00000000" w14:paraId="00000092">
      <w:pPr>
        <w:numPr>
          <w:ilvl w:val="0"/>
          <w:numId w:val="4"/>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Necesita una eTA para Israel si tiene un pasaporte colombiano.</w:t>
      </w:r>
    </w:p>
    <w:p w:rsidR="00000000" w:rsidDel="00000000" w:rsidP="00000000" w:rsidRDefault="00000000" w:rsidRPr="00000000" w14:paraId="00000093">
      <w:pPr>
        <w:numPr>
          <w:ilvl w:val="0"/>
          <w:numId w:val="4"/>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Seguro médico internacional.</w:t>
      </w:r>
    </w:p>
    <w:p w:rsidR="00000000" w:rsidDel="00000000" w:rsidP="00000000" w:rsidRDefault="00000000" w:rsidRPr="00000000" w14:paraId="00000094">
      <w:pPr>
        <w:numPr>
          <w:ilvl w:val="0"/>
          <w:numId w:val="4"/>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Demostrar solvencia económica.</w:t>
      </w:r>
    </w:p>
    <w:p w:rsidR="00000000" w:rsidDel="00000000" w:rsidP="00000000" w:rsidRDefault="00000000" w:rsidRPr="00000000" w14:paraId="00000095">
      <w:pPr>
        <w:numPr>
          <w:ilvl w:val="0"/>
          <w:numId w:val="4"/>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w:t>
      </w:r>
    </w:p>
    <w:p w:rsidR="00000000" w:rsidDel="00000000" w:rsidP="00000000" w:rsidRDefault="00000000" w:rsidRPr="00000000" w14:paraId="0000009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520" w:hanging="360"/>
        <w:jc w:val="left"/>
        <w:rPr>
          <w:rFonts w:ascii="Calibri" w:cs="Calibri" w:eastAsia="Calibri" w:hAnsi="Calibri"/>
          <w:b w:val="1"/>
          <w:bCs w:val="1"/>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Confirmar la información de los documentos, ya que las embajadas y consulados pueden modificarlos sin previo aviso: </w:t>
      </w:r>
      <w:hyperlink r:id="rId8">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https://apply.joinsherpa.com/travel-restrictions/ISR?originCountry=COL&amp;nationality=COL&amp;travelPurposes</w:t>
        </w:r>
      </w:hyperlink>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720" w:right="520" w:firstLine="0"/>
        <w:jc w:val="left"/>
        <w:rPr>
          <w:rFonts w:ascii="Calibri" w:cs="Calibri" w:eastAsia="Calibri" w:hAnsi="Calibri"/>
          <w:b w:val="1"/>
          <w:bCs w:val="1"/>
          <w:i w:val="0"/>
          <w:iCs w:val="0"/>
          <w:smallCaps w:val="0"/>
          <w:strike w:val="0"/>
          <w:color w:val="1f3864"/>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8">
      <w:pPr>
        <w:ind w:right="520"/>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CLÁUSULA DE RESPONSABILIDAD: </w:t>
      </w:r>
      <w:hyperlink r:id="rId9">
        <w:r w:rsidDel="00000000" w:rsidR="00000000" w:rsidRPr="00000000">
          <w:rPr>
            <w:rFonts w:ascii="Calibri" w:cs="Calibri" w:eastAsia="Calibri" w:hAnsi="Calibri"/>
            <w:color w:val="1155cc"/>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99">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9A">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p>
    <w:p w:rsidR="00000000" w:rsidDel="00000000" w:rsidP="00000000" w:rsidRDefault="00000000" w:rsidRPr="00000000" w14:paraId="0000009B">
      <w:pPr>
        <w:widowControl w:val="1"/>
        <w:spacing w:after="160" w:line="259" w:lineRule="auto"/>
        <w:jc w:val="both"/>
        <w:rPr/>
      </w:pPr>
      <w:r w:rsidDel="00000000" w:rsidR="00000000" w:rsidRPr="00000000">
        <w:rPr>
          <w:rtl w:val="0"/>
        </w:rPr>
        <w:t xml:space="preserve"> </w:t>
      </w:r>
    </w:p>
    <w:sectPr>
      <w:headerReference r:id="rId10" w:type="default"/>
      <w:headerReference r:id="rId11" w:type="first"/>
      <w:headerReference r:id="rId12" w:type="even"/>
      <w:footerReference r:id="rId13" w:type="default"/>
      <w:footerReference r:id="rId14" w:type="first"/>
      <w:footerReference r:id="rId15" w:type="even"/>
      <w:pgSz w:h="15840" w:w="12240" w:orient="portrait"/>
      <w:pgMar w:bottom="720" w:top="720" w:left="1418" w:right="1325" w:header="680" w:footer="155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center" w:leader="none" w:pos="4419"/>
        <w:tab w:val="right" w:leader="none" w:pos="8838"/>
      </w:tabs>
      <w:jc w:val="right"/>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-899159</wp:posOffset>
          </wp:positionH>
          <wp:positionV relativeFrom="paragraph">
            <wp:posOffset>118745</wp:posOffset>
          </wp:positionV>
          <wp:extent cx="7788214" cy="1033780"/>
          <wp:effectExtent b="0" l="0" r="0" t="0"/>
          <wp:wrapNone/>
          <wp:docPr id="193244404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8214" cy="1033780"/>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-595629</wp:posOffset>
          </wp:positionH>
          <wp:positionV relativeFrom="paragraph">
            <wp:posOffset>3435350</wp:posOffset>
          </wp:positionV>
          <wp:extent cx="349250" cy="2628900"/>
          <wp:effectExtent b="0" l="0" r="0" t="0"/>
          <wp:wrapNone/>
          <wp:docPr id="193244404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349250" cy="2628900"/>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-1133474</wp:posOffset>
          </wp:positionH>
          <wp:positionV relativeFrom="paragraph">
            <wp:posOffset>-228599</wp:posOffset>
          </wp:positionV>
          <wp:extent cx="2324100" cy="1346200"/>
          <wp:effectExtent b="0" l="0" r="0" t="0"/>
          <wp:wrapNone/>
          <wp:docPr id="1932444044" name="image3.png"/>
          <a:graphic>
            <a:graphicData uri="http://schemas.openxmlformats.org/drawingml/2006/picture">
              <pic:pic>
                <pic:nvPicPr>
                  <pic:cNvPr id="0" name="image3.png"/>
                  <pic:cNvPicPr preferRelativeResize="0"/>
                </pic:nvPicPr>
                <pic:blipFill>
                  <a:blip r:embed="rId2"/>
                  <a:srcRect b="0" l="0" r="0" t="13821"/>
                  <a:stretch>
                    <a:fillRect/>
                  </a:stretch>
                </pic:blipFill>
                <pic:spPr>
                  <a:xfrm>
                    <a:off x="0" y="0"/>
                    <a:ext cx="2324100" cy="13462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-1129029</wp:posOffset>
          </wp:positionH>
          <wp:positionV relativeFrom="paragraph">
            <wp:posOffset>-450849</wp:posOffset>
          </wp:positionV>
          <wp:extent cx="8016875" cy="955040"/>
          <wp:effectExtent b="0" l="0" r="0" t="0"/>
          <wp:wrapSquare wrapText="bothSides" distB="0" distT="0" distL="114300" distR="114300"/>
          <wp:docPr id="1932444046"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8016875" cy="95504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888" w:hanging="360"/>
      </w:pPr>
      <w:rPr>
        <w:rFonts w:ascii="Noto Sans Symbols" w:cs="Noto Sans Symbols" w:eastAsia="Noto Sans Symbols" w:hAnsi="Noto Sans Symbols"/>
      </w:rPr>
    </w:lvl>
    <w:lvl w:ilvl="1">
      <w:start w:val="1"/>
      <w:numFmt w:val="bullet"/>
      <w:lvlText w:val="o"/>
      <w:lvlJc w:val="left"/>
      <w:pPr>
        <w:ind w:left="1608" w:hanging="360"/>
      </w:pPr>
      <w:rPr>
        <w:rFonts w:ascii="Courier New" w:cs="Courier New" w:eastAsia="Courier New" w:hAnsi="Courier New"/>
      </w:rPr>
    </w:lvl>
    <w:lvl w:ilvl="2">
      <w:start w:val="1"/>
      <w:numFmt w:val="bullet"/>
      <w:lvlText w:val="▪"/>
      <w:lvlJc w:val="left"/>
      <w:pPr>
        <w:ind w:left="2328" w:hanging="360"/>
      </w:pPr>
      <w:rPr>
        <w:rFonts w:ascii="Noto Sans Symbols" w:cs="Noto Sans Symbols" w:eastAsia="Noto Sans Symbols" w:hAnsi="Noto Sans Symbols"/>
      </w:rPr>
    </w:lvl>
    <w:lvl w:ilvl="3">
      <w:start w:val="1"/>
      <w:numFmt w:val="bullet"/>
      <w:lvlText w:val="●"/>
      <w:lvlJc w:val="left"/>
      <w:pPr>
        <w:ind w:left="3048" w:hanging="360"/>
      </w:pPr>
      <w:rPr>
        <w:rFonts w:ascii="Noto Sans Symbols" w:cs="Noto Sans Symbols" w:eastAsia="Noto Sans Symbols" w:hAnsi="Noto Sans Symbols"/>
      </w:rPr>
    </w:lvl>
    <w:lvl w:ilvl="4">
      <w:start w:val="1"/>
      <w:numFmt w:val="bullet"/>
      <w:lvlText w:val="o"/>
      <w:lvlJc w:val="left"/>
      <w:pPr>
        <w:ind w:left="3768" w:hanging="360"/>
      </w:pPr>
      <w:rPr>
        <w:rFonts w:ascii="Courier New" w:cs="Courier New" w:eastAsia="Courier New" w:hAnsi="Courier New"/>
      </w:rPr>
    </w:lvl>
    <w:lvl w:ilvl="5">
      <w:start w:val="1"/>
      <w:numFmt w:val="bullet"/>
      <w:lvlText w:val="▪"/>
      <w:lvlJc w:val="left"/>
      <w:pPr>
        <w:ind w:left="4488" w:hanging="360"/>
      </w:pPr>
      <w:rPr>
        <w:rFonts w:ascii="Noto Sans Symbols" w:cs="Noto Sans Symbols" w:eastAsia="Noto Sans Symbols" w:hAnsi="Noto Sans Symbols"/>
      </w:rPr>
    </w:lvl>
    <w:lvl w:ilvl="6">
      <w:start w:val="1"/>
      <w:numFmt w:val="bullet"/>
      <w:lvlText w:val="●"/>
      <w:lvlJc w:val="left"/>
      <w:pPr>
        <w:ind w:left="5208" w:hanging="360"/>
      </w:pPr>
      <w:rPr>
        <w:rFonts w:ascii="Noto Sans Symbols" w:cs="Noto Sans Symbols" w:eastAsia="Noto Sans Symbols" w:hAnsi="Noto Sans Symbols"/>
      </w:rPr>
    </w:lvl>
    <w:lvl w:ilvl="7">
      <w:start w:val="1"/>
      <w:numFmt w:val="bullet"/>
      <w:lvlText w:val="o"/>
      <w:lvlJc w:val="left"/>
      <w:pPr>
        <w:ind w:left="5928" w:hanging="360"/>
      </w:pPr>
      <w:rPr>
        <w:rFonts w:ascii="Courier New" w:cs="Courier New" w:eastAsia="Courier New" w:hAnsi="Courier New"/>
      </w:rPr>
    </w:lvl>
    <w:lvl w:ilvl="8">
      <w:start w:val="1"/>
      <w:numFmt w:val="bullet"/>
      <w:lvlText w:val="▪"/>
      <w:lvlJc w:val="left"/>
      <w:pPr>
        <w:ind w:left="6648"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bCs w:val="1"/>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table" w:styleId="a" w:customStyle="1">
    <w:basedOn w:val="TableNormal3"/>
    <w:tblPr>
      <w:tblStyleRowBandSize w:val="1"/>
      <w:tblStyleColBandSize w:val="1"/>
    </w:tblPr>
  </w:style>
  <w:style w:type="table" w:styleId="a0" w:customStyle="1">
    <w:basedOn w:val="TableNormal3"/>
    <w:tblPr>
      <w:tblStyleRowBandSize w:val="1"/>
      <w:tblStyleColBandSize w:val="1"/>
    </w:tblPr>
  </w:style>
  <w:style w:type="table" w:styleId="a1" w:customStyle="1">
    <w:basedOn w:val="TableNormal3"/>
    <w:tblPr>
      <w:tblStyleRowBandSize w:val="1"/>
      <w:tblStyleColBandSize w:val="1"/>
      <w:tblCellMar>
        <w:left w:w="70.0" w:type="dxa"/>
        <w:right w:w="70.0" w:type="dxa"/>
      </w:tblCellMar>
    </w:tblPr>
  </w:style>
  <w:style w:type="table" w:styleId="a2" w:customStyle="1">
    <w:basedOn w:val="TableNormal2"/>
    <w:tblPr>
      <w:tblStyleRowBandSize w:val="1"/>
      <w:tblStyleColBandSize w:val="1"/>
      <w:tblCellMar>
        <w:left w:w="70.0" w:type="dxa"/>
        <w:right w:w="70.0" w:type="dxa"/>
      </w:tblCellMar>
    </w:tblPr>
  </w:style>
  <w:style w:type="table" w:styleId="a3" w:customStyle="1">
    <w:basedOn w:val="TableNormal2"/>
    <w:tblPr>
      <w:tblStyleRowBandSize w:val="1"/>
      <w:tblStyleColBandSize w:val="1"/>
      <w:tblCellMar>
        <w:left w:w="70.0" w:type="dxa"/>
        <w:right w:w="70.0" w:type="dxa"/>
      </w:tblCellMar>
    </w:tblPr>
  </w:style>
  <w:style w:type="character" w:styleId="Mencinsinresolver">
    <w:name w:val="Unresolved Mention"/>
    <w:basedOn w:val="Fuentedeprrafopredeter"/>
    <w:uiPriority w:val="99"/>
    <w:semiHidden w:val="1"/>
    <w:unhideWhenUsed w:val="1"/>
    <w:rsid w:val="00D30CB2"/>
    <w:rPr>
      <w:color w:val="605e5c"/>
      <w:shd w:color="auto" w:fill="e1dfdd" w:val="clear"/>
    </w:rPr>
  </w:style>
  <w:style w:type="table" w:styleId="a4" w:customStyle="1">
    <w:basedOn w:val="TableNormal1"/>
    <w:tblPr>
      <w:tblStyleRowBandSize w:val="1"/>
      <w:tblStyleColBandSize w:val="1"/>
      <w:tblCellMar>
        <w:left w:w="70.0" w:type="dxa"/>
        <w:right w:w="70.0" w:type="dxa"/>
      </w:tblCellMar>
    </w:tblPr>
  </w:style>
  <w:style w:type="table" w:styleId="a5" w:customStyle="1">
    <w:basedOn w:val="TableNormal1"/>
    <w:tblPr>
      <w:tblStyleRowBandSize w:val="1"/>
      <w:tblStyleColBandSize w:val="1"/>
      <w:tblCellMar>
        <w:left w:w="70.0" w:type="dxa"/>
        <w:right w:w="70.0" w:type="dxa"/>
      </w:tblCellMar>
    </w:tblPr>
  </w:style>
  <w:style w:type="table" w:styleId="a6" w:customStyle="1">
    <w:basedOn w:val="TableNormal0"/>
    <w:tblPr>
      <w:tblStyleRowBandSize w:val="1"/>
      <w:tblStyleColBandSize w:val="1"/>
      <w:tblCellMar>
        <w:left w:w="70.0" w:type="dxa"/>
        <w:right w:w="70.0" w:type="dxa"/>
      </w:tblCellMar>
    </w:tblPr>
  </w:style>
  <w:style w:type="table" w:styleId="a7" w:customStyle="1">
    <w:basedOn w:val="TableNormal0"/>
    <w:tblPr>
      <w:tblStyleRowBandSize w:val="1"/>
      <w:tblStyleColBandSize w:val="1"/>
      <w:tblCellMar>
        <w:left w:w="70.0" w:type="dxa"/>
        <w:right w:w="70.0" w:type="dxa"/>
      </w:tblCellMar>
    </w:tblPr>
  </w:style>
  <w:style w:type="paragraph" w:styleId="NormalWeb">
    <w:name w:val="Normal (Web)"/>
    <w:basedOn w:val="Normal"/>
    <w:uiPriority w:val="99"/>
    <w:unhideWhenUsed w:val="1"/>
    <w:rsid w:val="001C3A2E"/>
    <w:pPr>
      <w:widowControl w:val="1"/>
      <w:autoSpaceDE w:val="1"/>
      <w:autoSpaceDN w:val="1"/>
      <w:spacing w:after="100" w:afterAutospacing="1" w:before="100" w:beforeAutospacing="1"/>
    </w:pPr>
    <w:rPr>
      <w:rFonts w:ascii="Times New Roman" w:cs="Times New Roman" w:eastAsia="Times New Roman" w:hAnsi="Times New Roman"/>
      <w:sz w:val="24"/>
      <w:szCs w:val="24"/>
      <w:lang w:val="es-CO"/>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ropitours.co/es/clausula-de-responsabilidad" TargetMode="External"/><Relationship Id="rId15" Type="http://schemas.openxmlformats.org/officeDocument/2006/relationships/footer" Target="footer1.xml"/><Relationship Id="rId14"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hyperlink" Target="https://apply.joinsherpa.com/travel-restrictions/ISR?originCountry=COL&amp;nationality=COL&amp;travelPurpos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Vk42jZzCMpfAlZviz+Fdb7aeQ==">CgMxLjAyCWguMzBqMHpsbDgAciExRkx2SnhYdjgtM0xscWFvcVVudVg4ZkpNNURjc3Q1RW4=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2025-04-09T15:20:00Z</dcterms:created>
  <dc:creator>Eliana Gomez</dc:creator>
</cp:coreProperties>
</file>