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GUATEMALA Y LOS MAYAS</w:t>
      </w:r>
    </w:p>
    <w:p w:rsidR="00000000" w:rsidDel="00000000" w:rsidP="00000000" w:rsidRDefault="00000000" w:rsidRPr="00000000" w14:paraId="00000002">
      <w:pPr>
        <w:jc w:val="center"/>
        <w:rPr>
          <w:rFonts w:ascii="Calibri" w:cs="Calibri" w:eastAsia="Calibri" w:hAnsi="Calibri"/>
          <w:b w:val="1"/>
          <w:color w:val="1f3864"/>
          <w:sz w:val="52"/>
          <w:szCs w:val="52"/>
        </w:rPr>
      </w:pPr>
      <w:r w:rsidDel="00000000" w:rsidR="00000000" w:rsidRPr="00000000">
        <w:rPr>
          <w:rFonts w:ascii="Calibri" w:cs="Calibri" w:eastAsia="Calibri" w:hAnsi="Calibri"/>
          <w:b w:val="1"/>
          <w:color w:val="1f3864"/>
          <w:sz w:val="48"/>
          <w:szCs w:val="48"/>
          <w:rtl w:val="0"/>
        </w:rPr>
        <w:t xml:space="preserve">7 Noches/ 8 Días</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Opera todos los Martes o Viernes</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MÍNIMO:</w:t>
      </w:r>
      <w:r w:rsidDel="00000000" w:rsidR="00000000" w:rsidRPr="00000000">
        <w:rPr>
          <w:rFonts w:ascii="Calibri" w:cs="Calibri" w:eastAsia="Calibri" w:hAnsi="Calibri"/>
          <w:color w:val="1f3864"/>
          <w:rtl w:val="0"/>
        </w:rPr>
        <w:t xml:space="preserve"> 2 Pasajeros. Servicios en Regular.</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VENTA:</w:t>
      </w:r>
      <w:r w:rsidDel="00000000" w:rsidR="00000000" w:rsidRPr="00000000">
        <w:rPr>
          <w:rFonts w:ascii="Calibri" w:cs="Calibri" w:eastAsia="Calibri" w:hAnsi="Calibri"/>
          <w:color w:val="1f3864"/>
          <w:rtl w:val="0"/>
        </w:rPr>
        <w:t xml:space="preserve"> Hasta el 19 de Diciembre del 2025. (No opera durante la época de semana santa y fin de año)</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jc w:val="center"/>
        <w:rPr>
          <w:b w:val="1"/>
          <w:color w:val="002060"/>
        </w:rPr>
      </w:pPr>
      <w:r w:rsidDel="00000000" w:rsidR="00000000" w:rsidRPr="00000000">
        <w:rPr>
          <w:rtl w:val="0"/>
        </w:rPr>
      </w:r>
    </w:p>
    <w:p w:rsidR="00000000" w:rsidDel="00000000" w:rsidP="00000000" w:rsidRDefault="00000000" w:rsidRPr="00000000" w14:paraId="00000009">
      <w:pPr>
        <w:jc w:val="center"/>
        <w:rPr>
          <w:b w:val="1"/>
          <w:color w:val="002060"/>
        </w:rPr>
      </w:pPr>
      <w:r w:rsidDel="00000000" w:rsidR="00000000" w:rsidRPr="00000000">
        <w:rPr>
          <w:b w:val="1"/>
          <w:color w:val="002060"/>
        </w:rPr>
        <w:drawing>
          <wp:inline distB="0" distT="0" distL="0" distR="0">
            <wp:extent cx="1753344" cy="1333272"/>
            <wp:effectExtent b="0" l="0" r="0" t="0"/>
            <wp:docPr id="166213486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53344" cy="1333272"/>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614438" cy="1333272"/>
            <wp:effectExtent b="0" l="0" r="0" t="0"/>
            <wp:docPr id="166213486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614438" cy="1333272"/>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60901" cy="1323108"/>
            <wp:effectExtent b="0" l="0" r="0" t="0"/>
            <wp:docPr id="1662134864" name="image5.png"/>
            <a:graphic>
              <a:graphicData uri="http://schemas.openxmlformats.org/drawingml/2006/picture">
                <pic:pic>
                  <pic:nvPicPr>
                    <pic:cNvPr id="0" name="image5.png"/>
                    <pic:cNvPicPr preferRelativeResize="0"/>
                  </pic:nvPicPr>
                  <pic:blipFill>
                    <a:blip r:embed="rId9"/>
                    <a:srcRect b="0" l="0" r="4476" t="0"/>
                    <a:stretch>
                      <a:fillRect/>
                    </a:stretch>
                  </pic:blipFill>
                  <pic:spPr>
                    <a:xfrm>
                      <a:off x="0" y="0"/>
                      <a:ext cx="1760901" cy="1323108"/>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VIERNES O MARTES</w:t>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CIUDAD DE GUATEMALA/ ANTIGUA GUATEMALA.</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Recibimiento en el Aeropuerto Internacional La Aurora y traslado a la ciudad de Antigua Guatemala. Alojamiento.</w:t>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SÁBADO O MIÉRCOLES</w:t>
      </w:r>
    </w:p>
    <w:p w:rsidR="00000000" w:rsidDel="00000000" w:rsidP="00000000" w:rsidRDefault="00000000" w:rsidRPr="00000000" w14:paraId="0000001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ANTIGUA GUATEMALA.</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Los pasajeros iniciarán el recorrido peatonal a las 09:00 am en Antigua Guatemala. Allí conocerán la Plaza Mayor, la Fábrica de Jade y las iglesias de La Merced, La Catedral y San Francisco. </w:t>
      </w:r>
      <w:r w:rsidDel="00000000" w:rsidR="00000000" w:rsidRPr="00000000">
        <w:rPr>
          <w:rFonts w:ascii="Calibri" w:cs="Calibri" w:eastAsia="Calibri" w:hAnsi="Calibri"/>
          <w:b w:val="1"/>
          <w:color w:val="1f3864"/>
          <w:rtl w:val="0"/>
        </w:rPr>
        <w:t xml:space="preserve">(No incluye almuerzo).</w:t>
      </w:r>
      <w:r w:rsidDel="00000000" w:rsidR="00000000" w:rsidRPr="00000000">
        <w:rPr>
          <w:rFonts w:ascii="Calibri" w:cs="Calibri" w:eastAsia="Calibri" w:hAnsi="Calibri"/>
          <w:color w:val="1f3864"/>
          <w:rtl w:val="0"/>
        </w:rPr>
        <w:t xml:space="preserve"> Posteriormente, traslado al hotel. Tarde libre. </w:t>
      </w:r>
      <w:r w:rsidDel="00000000" w:rsidR="00000000" w:rsidRPr="00000000">
        <w:rPr>
          <w:rFonts w:ascii="Calibri" w:cs="Calibri" w:eastAsia="Calibri" w:hAnsi="Calibri"/>
          <w:color w:val="1f3864"/>
          <w:highlight w:val="yellow"/>
          <w:rtl w:val="0"/>
        </w:rPr>
        <w:t xml:space="preserve">Para los pasajeros que deseen aprovechar la tarde podrían tomar la excursión </w:t>
      </w:r>
      <w:r w:rsidDel="00000000" w:rsidR="00000000" w:rsidRPr="00000000">
        <w:rPr>
          <w:rFonts w:ascii="Calibri" w:cs="Calibri" w:eastAsia="Calibri" w:hAnsi="Calibri"/>
          <w:b w:val="1"/>
          <w:color w:val="ff0000"/>
          <w:highlight w:val="yellow"/>
          <w:rtl w:val="0"/>
        </w:rPr>
        <w:t xml:space="preserve">opcional</w:t>
      </w:r>
      <w:r w:rsidDel="00000000" w:rsidR="00000000" w:rsidRPr="00000000">
        <w:rPr>
          <w:rFonts w:ascii="Calibri" w:cs="Calibri" w:eastAsia="Calibri" w:hAnsi="Calibri"/>
          <w:color w:val="ff0000"/>
          <w:highlight w:val="yellow"/>
          <w:rtl w:val="0"/>
        </w:rPr>
        <w:t xml:space="preserve"> </w:t>
      </w:r>
      <w:r w:rsidDel="00000000" w:rsidR="00000000" w:rsidRPr="00000000">
        <w:rPr>
          <w:rFonts w:ascii="Calibri" w:cs="Calibri" w:eastAsia="Calibri" w:hAnsi="Calibri"/>
          <w:color w:val="1f3864"/>
          <w:highlight w:val="yellow"/>
          <w:rtl w:val="0"/>
        </w:rPr>
        <w:t xml:space="preserve">a Hobbitenango que tiene un costo de US 32.00 por persona. Alojamiento.</w:t>
      </w:r>
      <w:r w:rsidDel="00000000" w:rsidR="00000000" w:rsidRPr="00000000">
        <w:rPr>
          <w:rtl w:val="0"/>
        </w:rPr>
      </w:r>
    </w:p>
    <w:p w:rsidR="00000000" w:rsidDel="00000000" w:rsidP="00000000" w:rsidRDefault="00000000" w:rsidRPr="00000000" w14:paraId="00000014">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DOMINGO O JUEVES</w:t>
      </w:r>
    </w:p>
    <w:p w:rsidR="00000000" w:rsidDel="00000000" w:rsidP="00000000" w:rsidRDefault="00000000" w:rsidRPr="00000000" w14:paraId="0000001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ANTIGUA GUATEMALA – CHICHICASTENANGO – LAGO DE ATITLÁN (PANAJACHEL)</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Bien temprano, los pasajeros serán trasladados hacia Chichicastenango, donde conocerán la Iglesia de Santo Tomás, construida hace más de 400 años. En su interior, podrán apreciar la mezcla del misticismo y el catolicismo. También podrán conocer el mercado de Chichicastenango, el más grande de la región, que se lleva a cabo únicamente los jueves y domingos. Luego, traslado a Panajachel</w:t>
      </w:r>
      <w:r w:rsidDel="00000000" w:rsidR="00000000" w:rsidRPr="00000000">
        <w:rPr>
          <w:rFonts w:ascii="Calibri" w:cs="Calibri" w:eastAsia="Calibri" w:hAnsi="Calibri"/>
          <w:color w:val="002060"/>
          <w:rtl w:val="0"/>
        </w:rPr>
        <w:t xml:space="preserve">.</w:t>
      </w:r>
      <w:r w:rsidDel="00000000" w:rsidR="00000000" w:rsidRPr="00000000">
        <w:rPr>
          <w:rFonts w:ascii="Calibri" w:cs="Calibri" w:eastAsia="Calibri" w:hAnsi="Calibri"/>
          <w:b w:val="1"/>
          <w:color w:val="002060"/>
          <w:rtl w:val="0"/>
        </w:rPr>
        <w:t xml:space="preserve"> </w:t>
      </w:r>
      <w:r w:rsidDel="00000000" w:rsidR="00000000" w:rsidRPr="00000000">
        <w:rPr>
          <w:rFonts w:ascii="Calibri" w:cs="Calibri" w:eastAsia="Calibri" w:hAnsi="Calibri"/>
          <w:b w:val="1"/>
          <w:color w:val="ff0000"/>
          <w:rtl w:val="0"/>
        </w:rPr>
        <w:t xml:space="preserve">(No incluye almuerzo).</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color w:val="1f3864"/>
          <w:rtl w:val="0"/>
        </w:rPr>
        <w:t xml:space="preserve">Tarde libre. Alojamiento</w:t>
      </w:r>
      <w:r w:rsidDel="00000000" w:rsidR="00000000" w:rsidRPr="00000000">
        <w:rPr>
          <w:rFonts w:ascii="Calibri" w:cs="Calibri" w:eastAsia="Calibri" w:hAnsi="Calibri"/>
          <w:b w:val="1"/>
          <w:color w:val="1f3864"/>
          <w:rtl w:val="0"/>
        </w:rPr>
        <w:t xml:space="preserve">.</w:t>
      </w: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LUNES O VIERNES</w:t>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LAGO DE ATITLÁN (PANAJACHEL) – SAN JUAN LA LAGUNA – CIUDAD DE GUATEMALA.</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Traslado al muelle municipal para abordar la lancha privada que los conducirá hacia el poblado de San Juan La Laguna. Al llegar, harán una caminata por sus principales calles y visitarán la iglesia católica. Posteriormente, visitarán la fábrica de chocolate, continuarán a la fábrica de textiles y finalizarán la visita con los artesanos de las plantas medicinales. Retorno a Panajachel (no incluye almuerzo). Por la tarde, traslado hacia Ciudad de Guatemala. Alojamiento.</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MARTES O SÁBADO</w:t>
      </w:r>
    </w:p>
    <w:p w:rsidR="00000000" w:rsidDel="00000000" w:rsidP="00000000" w:rsidRDefault="00000000" w:rsidRPr="00000000" w14:paraId="0000001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CIUDAD DE GUATEMALA – COPÁN</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Salida hacia el nororiente del país hasta llegar a la frontera. Visita al sitio arqueológico de Copán, donde apreciará el campo de juego de pelota y las pirámides. (No incluye: Túneles, Las Sepulturas y Museo). Traslado al hotel y alojamiento.</w:t>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MIÉRCOLES O DOMINGO</w:t>
      </w:r>
    </w:p>
    <w:p w:rsidR="00000000" w:rsidDel="00000000" w:rsidP="00000000" w:rsidRDefault="00000000" w:rsidRPr="00000000" w14:paraId="0000002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Copán – Quiriguá - Ciudad de Guatemala.</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Salida de Copán con destino hacia el Caribe guatemalteco. En ruta visita al sitio arqueológico de Quiriguá, donde conocerán las estelas más grandes de la civilización Maya. Posteriormente los pasajeros serán trasladados hacia la Ciudad de Guatemala. Alojamiento.</w:t>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JUEVES O LUNES</w:t>
      </w:r>
    </w:p>
    <w:p w:rsidR="00000000" w:rsidDel="00000000" w:rsidP="00000000" w:rsidRDefault="00000000" w:rsidRPr="00000000" w14:paraId="00000027">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CIUDAD DE GUATEMALA – TIKAL – CIUDAD DE GUATEMALA</w:t>
      </w:r>
    </w:p>
    <w:p w:rsidR="00000000" w:rsidDel="00000000" w:rsidP="00000000" w:rsidRDefault="00000000" w:rsidRPr="00000000" w14:paraId="00000028">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incluye desayuno).</w:t>
      </w:r>
      <w:r w:rsidDel="00000000" w:rsidR="00000000" w:rsidRPr="00000000">
        <w:rPr>
          <w:rFonts w:ascii="Calibri" w:cs="Calibri" w:eastAsia="Calibri" w:hAnsi="Calibri"/>
          <w:color w:val="1f3864"/>
          <w:rtl w:val="0"/>
        </w:rPr>
        <w:t xml:space="preserve"> Los pasajeros abordarán el bus en su hotel a las 04:00 am y serán llevados al aeropuerto para abordar el avión rumbo a Flores </w:t>
      </w:r>
      <w:r w:rsidDel="00000000" w:rsidR="00000000" w:rsidRPr="00000000">
        <w:rPr>
          <w:rFonts w:ascii="Calibri" w:cs="Calibri" w:eastAsia="Calibri" w:hAnsi="Calibri"/>
          <w:b w:val="1"/>
          <w:color w:val="ff0000"/>
          <w:highlight w:val="yellow"/>
          <w:rtl w:val="0"/>
        </w:rPr>
        <w:t xml:space="preserve">(boleto aéreo no incluido).</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color w:val="1f3864"/>
          <w:rtl w:val="0"/>
        </w:rPr>
        <w:t xml:space="preserve">Recepción en el aeropuerto y posterior traslado hacia el sitio arqueológico de Tikal, una de las ciudades más importantes de los mayas. Se visitará el Complejo Q y R, la Acrópolis Central, los templos I "El Gran Jaguar" y II "Los Mascarones", y Mundo Perdido. Almuerzo incluido (excepto bebidas). Luego, traslado al aeropuerto para abordar el vuelo hacia la Ciudad de Guatemala. Recepción y traslado al hotel. Alojamiento.</w:t>
      </w:r>
    </w:p>
    <w:p w:rsidR="00000000" w:rsidDel="00000000" w:rsidP="00000000" w:rsidRDefault="00000000" w:rsidRPr="00000000" w14:paraId="00000029">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VIERNES O MARTES</w:t>
      </w:r>
    </w:p>
    <w:p w:rsidR="00000000" w:rsidDel="00000000" w:rsidP="00000000" w:rsidRDefault="00000000" w:rsidRPr="00000000" w14:paraId="0000002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CIUDAD DE GUATEMALA</w:t>
      </w:r>
    </w:p>
    <w:p w:rsidR="00000000" w:rsidDel="00000000" w:rsidP="00000000" w:rsidRDefault="00000000" w:rsidRPr="00000000" w14:paraId="0000002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americano. Tiempo libre hasta la hora de ser trasladado al aeropuerto internacional La Aurora.</w:t>
      </w:r>
    </w:p>
    <w:p w:rsidR="00000000" w:rsidDel="00000000" w:rsidP="00000000" w:rsidRDefault="00000000" w:rsidRPr="00000000" w14:paraId="0000002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31">
      <w:pPr>
        <w:rPr>
          <w:b w:val="1"/>
          <w:color w:val="002060"/>
        </w:rPr>
      </w:pPr>
      <w:r w:rsidDel="00000000" w:rsidR="00000000" w:rsidRPr="00000000">
        <w:rPr>
          <w:rtl w:val="0"/>
        </w:rPr>
      </w:r>
    </w:p>
    <w:p w:rsidR="00000000" w:rsidDel="00000000" w:rsidP="00000000" w:rsidRDefault="00000000" w:rsidRPr="00000000" w14:paraId="00000032">
      <w:pPr>
        <w:rPr>
          <w:b w:val="1"/>
          <w:color w:val="002060"/>
        </w:rPr>
      </w:pPr>
      <w:r w:rsidDel="00000000" w:rsidR="00000000" w:rsidRPr="00000000">
        <w:rPr>
          <w:rtl w:val="0"/>
        </w:rPr>
      </w:r>
    </w:p>
    <w:p w:rsidR="00000000" w:rsidDel="00000000" w:rsidP="00000000" w:rsidRDefault="00000000" w:rsidRPr="00000000" w14:paraId="00000033">
      <w:pPr>
        <w:rPr>
          <w:b w:val="1"/>
          <w:color w:val="002060"/>
        </w:rPr>
      </w:pPr>
      <w:r w:rsidDel="00000000" w:rsidR="00000000" w:rsidRPr="00000000">
        <w:rPr>
          <w:rtl w:val="0"/>
        </w:rPr>
      </w:r>
    </w:p>
    <w:p w:rsidR="00000000" w:rsidDel="00000000" w:rsidP="00000000" w:rsidRDefault="00000000" w:rsidRPr="00000000" w14:paraId="00000034">
      <w:pPr>
        <w:rPr>
          <w:b w:val="1"/>
          <w:color w:val="002060"/>
        </w:rPr>
      </w:pPr>
      <w:r w:rsidDel="00000000" w:rsidR="00000000" w:rsidRPr="00000000">
        <w:rPr>
          <w:rtl w:val="0"/>
        </w:rPr>
      </w:r>
    </w:p>
    <w:p w:rsidR="00000000" w:rsidDel="00000000" w:rsidP="00000000" w:rsidRDefault="00000000" w:rsidRPr="00000000" w14:paraId="00000035">
      <w:pPr>
        <w:rPr>
          <w:b w:val="1"/>
          <w:color w:val="002060"/>
        </w:rPr>
      </w:pPr>
      <w:r w:rsidDel="00000000" w:rsidR="00000000" w:rsidRPr="00000000">
        <w:rPr>
          <w:rtl w:val="0"/>
        </w:rPr>
      </w:r>
    </w:p>
    <w:p w:rsidR="00000000" w:rsidDel="00000000" w:rsidP="00000000" w:rsidRDefault="00000000" w:rsidRPr="00000000" w14:paraId="00000036">
      <w:pPr>
        <w:rPr>
          <w:b w:val="1"/>
          <w:color w:val="002060"/>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 DESDE</w:t>
      </w:r>
    </w:p>
    <w:p w:rsidR="00000000" w:rsidDel="00000000" w:rsidP="00000000" w:rsidRDefault="00000000" w:rsidRPr="00000000" w14:paraId="00000038">
      <w:pPr>
        <w:rPr>
          <w:rFonts w:ascii="Calibri" w:cs="Calibri" w:eastAsia="Calibri" w:hAnsi="Calibri"/>
          <w:b w:val="1"/>
          <w:color w:val="ffffff"/>
        </w:rPr>
      </w:pPr>
      <w:r w:rsidDel="00000000" w:rsidR="00000000" w:rsidRPr="00000000">
        <w:rPr>
          <w:rtl w:val="0"/>
        </w:rPr>
      </w:r>
    </w:p>
    <w:tbl>
      <w:tblPr>
        <w:tblStyle w:val="Table1"/>
        <w:tblW w:w="10480.0" w:type="dxa"/>
        <w:jc w:val="center"/>
        <w:tblLayout w:type="fixed"/>
        <w:tblLook w:val="0400"/>
      </w:tblPr>
      <w:tblGrid>
        <w:gridCol w:w="708"/>
        <w:gridCol w:w="4820"/>
        <w:gridCol w:w="1125"/>
        <w:gridCol w:w="1134"/>
        <w:gridCol w:w="1275"/>
        <w:gridCol w:w="1418"/>
        <w:tblGridChange w:id="0">
          <w:tblGrid>
            <w:gridCol w:w="708"/>
            <w:gridCol w:w="4820"/>
            <w:gridCol w:w="1125"/>
            <w:gridCol w:w="1134"/>
            <w:gridCol w:w="1275"/>
            <w:gridCol w:w="1418"/>
          </w:tblGrid>
        </w:tblGridChange>
      </w:tblGrid>
      <w:tr>
        <w:trPr>
          <w:cantSplit w:val="0"/>
          <w:trHeight w:val="590" w:hRule="atLeast"/>
          <w:tblHeader w:val="0"/>
        </w:trPr>
        <w:tc>
          <w:tcPr>
            <w:tcBorders>
              <w:top w:color="000000" w:space="0" w:sz="8" w:val="single"/>
              <w:left w:color="000000" w:space="0" w:sz="8" w:val="single"/>
              <w:bottom w:color="000000" w:space="0" w:sz="8" w:val="single"/>
              <w:right w:color="000000" w:space="0" w:sz="8" w:val="single"/>
            </w:tcBorders>
            <w:shd w:fill="002060" w:val="clear"/>
            <w:vAlign w:val="center"/>
          </w:tcPr>
          <w:p w:rsidR="00000000" w:rsidDel="00000000" w:rsidP="00000000" w:rsidRDefault="00000000" w:rsidRPr="00000000" w14:paraId="0000003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CAT</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HOTELES</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3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8" w:val="single"/>
            </w:tcBorders>
            <w:shd w:fill="002060"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NIÑOS 3 - 11 AÑOS</w:t>
            </w:r>
          </w:p>
        </w:tc>
      </w:tr>
      <w:tr>
        <w:trPr>
          <w:cantSplit w:val="0"/>
          <w:trHeight w:val="13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Antigua Guatemala: Hotel El Carmen</w:t>
              <w:br w:type="textWrapping"/>
              <w:t xml:space="preserve">Atitlán: Hotel Regis</w:t>
              <w:br w:type="textWrapping"/>
              <w:t xml:space="preserve">Ciudad de Guatemala: Hotel Stofella</w:t>
              <w:br w:type="textWrapping"/>
              <w:t xml:space="preserve">Copan:  Hotel Plaza Copan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1.457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1.357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1.783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927 USD</w:t>
            </w:r>
          </w:p>
        </w:tc>
      </w:tr>
      <w:tr>
        <w:trPr>
          <w:cantSplit w:val="0"/>
          <w:trHeight w:val="1370" w:hRule="atLeast"/>
          <w:tblHeader w:val="0"/>
        </w:trPr>
        <w:tc>
          <w:tcPr>
            <w:tcBorders>
              <w:top w:color="000000" w:space="0" w:sz="0" w:val="nil"/>
              <w:left w:color="000000" w:space="0" w:sz="8" w:val="single"/>
              <w:bottom w:color="000000" w:space="0" w:sz="8" w:val="single"/>
              <w:right w:color="000000" w:space="0" w:sz="8" w:val="single"/>
            </w:tcBorders>
            <w:shd w:fill="d9e1f2"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w:t>
            </w:r>
          </w:p>
        </w:tc>
        <w:tc>
          <w:tcPr>
            <w:tcBorders>
              <w:top w:color="000000" w:space="0" w:sz="0" w:val="nil"/>
              <w:left w:color="000000" w:space="0" w:sz="0" w:val="nil"/>
              <w:bottom w:color="000000" w:space="0" w:sz="8" w:val="single"/>
              <w:right w:color="000000" w:space="0" w:sz="8" w:val="single"/>
            </w:tcBorders>
            <w:shd w:fill="d9e1f2" w:val="clear"/>
            <w:vAlign w:val="center"/>
          </w:tcPr>
          <w:p w:rsidR="00000000" w:rsidDel="00000000" w:rsidP="00000000" w:rsidRDefault="00000000" w:rsidRPr="00000000" w14:paraId="00000046">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Antigua Guatemala: Hotel Aurora</w:t>
              <w:br w:type="textWrapping"/>
              <w:t xml:space="preserve">Atitlán: Hotel Porta del Lago</w:t>
              <w:br w:type="textWrapping"/>
              <w:t xml:space="preserve">Ciudad de Guatemala: Hotel Tikal Futura</w:t>
              <w:br w:type="textWrapping"/>
              <w:t xml:space="preserve">Copan: Hotel Marina Copan</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1.645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2.151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1.051 USD</w:t>
            </w:r>
          </w:p>
        </w:tc>
      </w:tr>
      <w:tr>
        <w:trPr>
          <w:cantSplit w:val="0"/>
          <w:trHeight w:val="137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Antigua Guatemala: Hotel Camino Real Antigua</w:t>
              <w:br w:type="textWrapping"/>
              <w:t xml:space="preserve">Atitlán: Hotel Atitlán</w:t>
              <w:br w:type="textWrapping"/>
              <w:t xml:space="preserve">Ciudad de Guatemala: Hotel Westin Camino Real </w:t>
              <w:br w:type="textWrapping"/>
              <w:t xml:space="preserve">Copan: Hotel Marina Copan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1.951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1.769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2.777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1.239 USD</w:t>
            </w:r>
          </w:p>
        </w:tc>
      </w:tr>
    </w:tbl>
    <w:p w:rsidR="00000000" w:rsidDel="00000000" w:rsidP="00000000" w:rsidRDefault="00000000" w:rsidRPr="00000000" w14:paraId="00000051">
      <w:pPr>
        <w:rPr>
          <w:rFonts w:ascii="Calibri" w:cs="Calibri" w:eastAsia="Calibri" w:hAnsi="Calibri"/>
          <w:b w:val="1"/>
          <w:color w:val="ff0000"/>
          <w:highlight w:val="yellow"/>
        </w:rPr>
      </w:pPr>
      <w:r w:rsidDel="00000000" w:rsidR="00000000" w:rsidRPr="00000000">
        <w:rPr>
          <w:rtl w:val="0"/>
        </w:rPr>
      </w:r>
    </w:p>
    <w:p w:rsidR="00000000" w:rsidDel="00000000" w:rsidP="00000000" w:rsidRDefault="00000000" w:rsidRPr="00000000" w14:paraId="00000052">
      <w:pPr>
        <w:rPr>
          <w:rFonts w:ascii="Calibri" w:cs="Calibri" w:eastAsia="Calibri" w:hAnsi="Calibri"/>
          <w:b w:val="1"/>
          <w:color w:val="ff0000"/>
        </w:rPr>
      </w:pPr>
      <w:r w:rsidDel="00000000" w:rsidR="00000000" w:rsidRPr="00000000">
        <w:rPr>
          <w:rFonts w:ascii="Calibri" w:cs="Calibri" w:eastAsia="Calibri" w:hAnsi="Calibri"/>
          <w:b w:val="1"/>
          <w:color w:val="ff0000"/>
          <w:highlight w:val="yellow"/>
          <w:rtl w:val="0"/>
        </w:rPr>
        <w:t xml:space="preserve">Suplemento para 1 pasajero viajando solo en cualquier categoría USD 1.140 + Tarifa en sencilla</w:t>
      </w:r>
      <w:r w:rsidDel="00000000" w:rsidR="00000000" w:rsidRPr="00000000">
        <w:rPr>
          <w:rtl w:val="0"/>
        </w:rPr>
      </w:r>
    </w:p>
    <w:p w:rsidR="00000000" w:rsidDel="00000000" w:rsidP="00000000" w:rsidRDefault="00000000" w:rsidRPr="00000000" w14:paraId="0000005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4">
      <w:pP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INCLUYE:</w:t>
      </w:r>
      <w:r w:rsidDel="00000000" w:rsidR="00000000" w:rsidRPr="00000000">
        <w:rPr>
          <w:rtl w:val="0"/>
        </w:rPr>
      </w:r>
    </w:p>
    <w:p w:rsidR="00000000" w:rsidDel="00000000" w:rsidP="00000000" w:rsidRDefault="00000000" w:rsidRPr="00000000" w14:paraId="00000055">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de alojamiento en Antigua Guatemala.</w:t>
      </w:r>
    </w:p>
    <w:p w:rsidR="00000000" w:rsidDel="00000000" w:rsidP="00000000" w:rsidRDefault="00000000" w:rsidRPr="00000000" w14:paraId="00000056">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1 noche de alojamiento en Panajachel.</w:t>
      </w:r>
    </w:p>
    <w:p w:rsidR="00000000" w:rsidDel="00000000" w:rsidP="00000000" w:rsidRDefault="00000000" w:rsidRPr="00000000" w14:paraId="00000057">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3 noche de alojamiento en Ciudad de Guatemala.</w:t>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1 noche de alojamiento en Copan</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7 desayunos americanos.</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1 almuerzo servido dentro del Parque Nacional de Tikal. (No Incluye Bebidas).</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de salida entre Guatemala y Honduras.</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Admisiones a los lugares a visitar.</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Guía especializado en todo el recorrido.</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Bus de turismo con aire acondicionado.</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Impuestos hoteleros</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Servicios en regular y/o en Privado.</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3">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interno con ruta Ciudad de Guatemala – Flores – Ciudad de Guatemala. (consulta por nuestras tarifas especiales).</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Comidas y bebidas no mencionadas en el itinerario.</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extras en los hoteles.</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(Maleteros, Guía, restaurante, etc.)</w:t>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CONDICIONES:</w:t>
      </w:r>
      <w:r w:rsidDel="00000000" w:rsidR="00000000" w:rsidRPr="00000000">
        <w:rPr>
          <w:rtl w:val="0"/>
        </w:rPr>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 del valor del paquete por persona.</w:t>
      </w:r>
    </w:p>
    <w:p w:rsidR="00000000" w:rsidDel="00000000" w:rsidP="00000000" w:rsidRDefault="00000000" w:rsidRPr="00000000" w14:paraId="0000006F">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70">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71">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NO aplican para </w:t>
      </w:r>
      <w:r w:rsidDel="00000000" w:rsidR="00000000" w:rsidRPr="00000000">
        <w:rPr>
          <w:rFonts w:ascii="Calibri" w:cs="Calibri" w:eastAsia="Calibri" w:hAnsi="Calibri"/>
          <w:b w:val="1"/>
          <w:color w:val="1f3864"/>
          <w:rtl w:val="0"/>
        </w:rPr>
        <w:t xml:space="preserve">Fórmula 1 y Día de Muertos</w:t>
      </w:r>
      <w:r w:rsidDel="00000000" w:rsidR="00000000" w:rsidRPr="00000000">
        <w:rPr>
          <w:rFonts w:ascii="Calibri" w:cs="Calibri" w:eastAsia="Calibri" w:hAnsi="Calibri"/>
          <w:color w:val="1f3864"/>
          <w:rtl w:val="0"/>
        </w:rPr>
        <w:t xml:space="preserve"> (24 oct al 5 nov). playas no aplica en </w:t>
      </w:r>
      <w:r w:rsidDel="00000000" w:rsidR="00000000" w:rsidRPr="00000000">
        <w:rPr>
          <w:rFonts w:ascii="Calibri" w:cs="Calibri" w:eastAsia="Calibri" w:hAnsi="Calibri"/>
          <w:b w:val="1"/>
          <w:color w:val="1f3864"/>
          <w:rtl w:val="0"/>
        </w:rPr>
        <w:t xml:space="preserve">semana santa y fiestas decembrinas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2">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del itinerario puede variar según disponibilidad de los hoteles o según los días operativos de cada tour.</w:t>
      </w:r>
    </w:p>
    <w:p w:rsidR="00000000" w:rsidDel="00000000" w:rsidP="00000000" w:rsidRDefault="00000000" w:rsidRPr="00000000" w14:paraId="00000073">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Si los pasajeros desean tomar la excursión a Tikal, deben enviar copia del pasaporte al momento de solicitar la reserva.</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Último día para recibir solicitudes de reservaciones 6 de noviembre de 2025.</w:t>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7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7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7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PENALIDADES Y GASTOS POR CANCELACIONES:</w:t>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20 días antes del inicio de viaje. </w:t>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50% a menos de 19 - 12 días de inicio de viaje </w:t>
      </w:r>
    </w:p>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75% a menos de 11- 8 días de inicio de viaje </w:t>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con gastos al 100% a menos de 7 días de inicio de viaje y/o no show</w:t>
      </w:r>
    </w:p>
    <w:p w:rsidR="00000000" w:rsidDel="00000000" w:rsidP="00000000" w:rsidRDefault="00000000" w:rsidRPr="00000000" w14:paraId="00000080">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82">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8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5">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86">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moneda de Guatemala es el quetzal y actualmente su equivalencia es 1 euro=8,67 quetzales. </w:t>
      </w:r>
    </w:p>
    <w:p w:rsidR="00000000" w:rsidDel="00000000" w:rsidP="00000000" w:rsidRDefault="00000000" w:rsidRPr="00000000" w14:paraId="00000087">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Además de las tarjetas, en un viaje a Guatemala también es necesario llevar efectivo para hacer pagos en lugares en los que no las acepten.</w:t>
      </w:r>
    </w:p>
    <w:p w:rsidR="00000000" w:rsidDel="00000000" w:rsidP="00000000" w:rsidRDefault="00000000" w:rsidRPr="00000000" w14:paraId="00000088">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Entre las compañías de autobuses más recomendadas, están Maya de Oro o Hedman Alas, que se encuentran entre las más seguras.</w:t>
      </w:r>
    </w:p>
    <w:p w:rsidR="00000000" w:rsidDel="00000000" w:rsidP="00000000" w:rsidRDefault="00000000" w:rsidRPr="00000000" w14:paraId="00000089">
      <w:pPr>
        <w:numPr>
          <w:ilvl w:val="0"/>
          <w:numId w:val="2"/>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voltaje es de 120V, frecuencia 60Hz y las clavijas de los enchufes son tipo A/B/G/I.</w:t>
      </w:r>
    </w:p>
    <w:p w:rsidR="00000000" w:rsidDel="00000000" w:rsidP="00000000" w:rsidRDefault="00000000" w:rsidRPr="00000000" w14:paraId="0000008A">
      <w:pPr>
        <w:numPr>
          <w:ilvl w:val="0"/>
          <w:numId w:val="2"/>
        </w:numPr>
        <w:ind w:left="720" w:right="520" w:hanging="360"/>
        <w:jc w:val="both"/>
        <w:rPr>
          <w:rFonts w:ascii="Calibri" w:cs="Calibri" w:eastAsia="Calibri" w:hAnsi="Calibri"/>
          <w:b w:val="1"/>
          <w:color w:val="1f3864"/>
        </w:rPr>
      </w:pPr>
      <w:hyperlink r:id="rId10">
        <w:r w:rsidDel="00000000" w:rsidR="00000000" w:rsidRPr="00000000">
          <w:rPr>
            <w:rFonts w:ascii="Calibri" w:cs="Calibri" w:eastAsia="Calibri" w:hAnsi="Calibri"/>
            <w:color w:val="0563c1"/>
            <w:u w:val="single"/>
            <w:rtl w:val="0"/>
          </w:rPr>
          <w:t xml:space="preserve">https://inguat.gob.gt/index.php</w:t>
        </w:r>
      </w:hyperlink>
      <w:r w:rsidDel="00000000" w:rsidR="00000000" w:rsidRPr="00000000">
        <w:rPr>
          <w:rtl w:val="0"/>
        </w:rPr>
      </w:r>
    </w:p>
    <w:p w:rsidR="00000000" w:rsidDel="00000000" w:rsidP="00000000" w:rsidRDefault="00000000" w:rsidRPr="00000000" w14:paraId="0000008B">
      <w:pPr>
        <w:ind w:left="720"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8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8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8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9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Vacuna contra la Malaria recomendable.</w:t>
      </w:r>
    </w:p>
    <w:p w:rsidR="00000000" w:rsidDel="00000000" w:rsidP="00000000" w:rsidRDefault="00000000" w:rsidRPr="00000000" w14:paraId="0000009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1">
        <w:r w:rsidDel="00000000" w:rsidR="00000000" w:rsidRPr="00000000">
          <w:rPr>
            <w:rFonts w:ascii="Calibri" w:cs="Calibri" w:eastAsia="Calibri" w:hAnsi="Calibri"/>
            <w:color w:val="0563c1"/>
            <w:u w:val="single"/>
            <w:rtl w:val="0"/>
          </w:rPr>
          <w:t xml:space="preserve">https://apply.joinsherpa.com/travel-restrictions/GTM?affiliateId=sherpa&amp;language=es-XL&amp;originCountry=COL</w:t>
        </w:r>
      </w:hyperlink>
      <w:r w:rsidDel="00000000" w:rsidR="00000000" w:rsidRPr="00000000">
        <w:rPr>
          <w:rtl w:val="0"/>
        </w:rPr>
      </w:r>
    </w:p>
    <w:p w:rsidR="00000000" w:rsidDel="00000000" w:rsidP="00000000" w:rsidRDefault="00000000" w:rsidRPr="00000000" w14:paraId="00000092">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br w:type="textWrapping"/>
        <w:t xml:space="preserve">CLÁUSULA DE RESPONSABILIDAD: </w:t>
      </w:r>
      <w:hyperlink r:id="rId12">
        <w:r w:rsidDel="00000000" w:rsidR="00000000" w:rsidRPr="00000000">
          <w:rPr>
            <w:rFonts w:ascii="Calibri" w:cs="Calibri" w:eastAsia="Calibri" w:hAnsi="Calibri"/>
            <w:b w:val="1"/>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3">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-1099184</wp:posOffset>
          </wp:positionH>
          <wp:positionV relativeFrom="paragraph">
            <wp:posOffset>695325</wp:posOffset>
          </wp:positionV>
          <wp:extent cx="7806690" cy="1042035"/>
          <wp:effectExtent b="0" l="0" r="0" t="0"/>
          <wp:wrapNone/>
          <wp:docPr id="166213486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6690" cy="104203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-4063999</wp:posOffset>
              </wp:positionV>
              <wp:extent cx="552450" cy="2628900"/>
              <wp:effectExtent b="0" l="0" r="0" t="0"/>
              <wp:wrapNone/>
              <wp:docPr id="1662134861"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bfbfbf"/>
                              <w:sz w:val="16"/>
                              <w:vertAlign w:val="baseline"/>
                            </w:rPr>
                            <w:t xml:space="preserve">NTS-AV-INT-03 VR. 1 – 06/12/2024</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0"/>
                              <w:smallCaps w:val="0"/>
                              <w:strike w:val="0"/>
                              <w:color w:val="bfbfbf"/>
                              <w:sz w:val="16"/>
                              <w:vertAlign w:val="baseline"/>
                            </w:rPr>
                            <w:br w:type="textWrapping"/>
                          </w:r>
                          <w:r w:rsidDel="00000000" w:rsidR="00000000" w:rsidRPr="00000000">
                            <w:rPr>
                              <w:rFonts w:ascii="Carlito" w:cs="Carlito" w:eastAsia="Carlito" w:hAnsi="Carlito"/>
                              <w:b w:val="1"/>
                              <w:i w:val="0"/>
                              <w:smallCaps w:val="0"/>
                              <w:strike w:val="0"/>
                              <w:color w:val="bfbfbf"/>
                              <w:sz w:val="16"/>
                              <w:vertAlign w:val="baseline"/>
                            </w:rPr>
                            <w:t xml:space="preserve">Programa</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1"/>
                              <w:smallCaps w:val="0"/>
                              <w:strike w:val="0"/>
                              <w:color w:val="bfbfbf"/>
                              <w:sz w:val="16"/>
                              <w:vertAlign w:val="baseline"/>
                            </w:rPr>
                            <w:t xml:space="preserve">GUA GYM7 Fecha de act 20/12/24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-4063999</wp:posOffset>
              </wp:positionV>
              <wp:extent cx="552450" cy="2628900"/>
              <wp:effectExtent b="0" l="0" r="0" t="0"/>
              <wp:wrapNone/>
              <wp:docPr id="166213486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552450" cy="26289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-1085849</wp:posOffset>
          </wp:positionH>
          <wp:positionV relativeFrom="paragraph">
            <wp:posOffset>-464183</wp:posOffset>
          </wp:positionV>
          <wp:extent cx="7819745" cy="933450"/>
          <wp:effectExtent b="0" l="0" r="0" t="0"/>
          <wp:wrapNone/>
          <wp:docPr id="166213486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9745" cy="9334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70.0" w:type="dxa"/>
        <w:right w:w="70.0" w:type="dxa"/>
      </w:tblCellMar>
    </w:tblPr>
  </w:style>
  <w:style w:type="table" w:styleId="a0" w:customStyle="1">
    <w:basedOn w:val="TableNormal"/>
    <w:tblPr>
      <w:tblStyleRowBandSize w:val="1"/>
      <w:tblStyleColBandSize w:val="1"/>
      <w:tblCellMar>
        <w:left w:w="70.0" w:type="dxa"/>
        <w:right w:w="70.0" w:type="dxa"/>
      </w:tblCellMar>
    </w:tblPr>
  </w:style>
  <w:style w:type="character" w:styleId="Mencinsinresolver">
    <w:name w:val="Unresolved Mention"/>
    <w:basedOn w:val="Fuentedeprrafopredeter"/>
    <w:uiPriority w:val="99"/>
    <w:semiHidden w:val="1"/>
    <w:unhideWhenUsed w:val="1"/>
    <w:rsid w:val="00A9114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apply.joinsherpa.com/travel-restrictions/GTM?affiliateId=sherpa&amp;language=es-XL&amp;originCountry=COL" TargetMode="External"/><Relationship Id="rId10" Type="http://schemas.openxmlformats.org/officeDocument/2006/relationships/hyperlink" Target="https://inguat.gob.gt/index.php" TargetMode="External"/><Relationship Id="rId13" Type="http://schemas.openxmlformats.org/officeDocument/2006/relationships/header" Target="header2.xml"/><Relationship Id="rId12" Type="http://schemas.openxmlformats.org/officeDocument/2006/relationships/hyperlink" Target="https://www.tropitours.co/es/clausula-de-responsabilida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bEW2X0AIk8vqUNmz3bEbimRdHA==">CgMxLjA4AHIhMVBmaTVtRjJLamxjbWNKN3Z5VE1keDdCVnBWMm5hdFRi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2024-09-10T21:54:00Z</dcterms:created>
  <dc:creator>Eliana Gomez</dc:creator>
</cp:coreProperties>
</file>