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48"/>
          <w:szCs w:val="48"/>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FÓRMULA 1 ABU DHABI</w:t>
      </w:r>
    </w:p>
    <w:p w:rsidR="00000000" w:rsidDel="00000000" w:rsidP="00000000" w:rsidRDefault="00000000" w:rsidRPr="00000000" w14:paraId="00000003">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4N/5D</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both"/>
        <w:rPr>
          <w:rFonts w:ascii="Calibri" w:cs="Calibri" w:eastAsia="Calibri" w:hAnsi="Calibri"/>
          <w:b w:val="1"/>
          <w:color w:val="1f3864"/>
        </w:rPr>
      </w:pPr>
      <w:bookmarkStart w:colFirst="0" w:colLast="0" w:name="_heading=h.gjdgxs" w:id="0"/>
      <w:bookmarkEnd w:id="0"/>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FECHA PUNTUAL: </w:t>
      </w:r>
      <w:r w:rsidDel="00000000" w:rsidR="00000000" w:rsidRPr="00000000">
        <w:rPr>
          <w:rFonts w:ascii="Calibri" w:cs="Calibri" w:eastAsia="Calibri" w:hAnsi="Calibri"/>
          <w:color w:val="1f3864"/>
          <w:rtl w:val="0"/>
        </w:rPr>
        <w:t xml:space="preserve">Del 04 al 08 de Diciembre de 2025.</w:t>
        <w:br w:type="textWrapping"/>
      </w:r>
      <w:r w:rsidDel="00000000" w:rsidR="00000000" w:rsidRPr="00000000">
        <w:rPr>
          <w:rFonts w:ascii="Calibri" w:cs="Calibri" w:eastAsia="Calibri" w:hAnsi="Calibri"/>
          <w:b w:val="1"/>
          <w:color w:val="1f3864"/>
          <w:rtl w:val="0"/>
        </w:rPr>
        <w:t xml:space="preserve">VIGENCIA DE VENTA: </w:t>
      </w:r>
      <w:r w:rsidDel="00000000" w:rsidR="00000000" w:rsidRPr="00000000">
        <w:rPr>
          <w:rFonts w:ascii="Calibri" w:cs="Calibri" w:eastAsia="Calibri" w:hAnsi="Calibri"/>
          <w:color w:val="1f3864"/>
          <w:rtl w:val="0"/>
        </w:rPr>
        <w:t xml:space="preserve">Hasta agotar existencias 2025.</w:t>
      </w:r>
    </w:p>
    <w:p w:rsidR="00000000" w:rsidDel="00000000" w:rsidP="00000000" w:rsidRDefault="00000000" w:rsidRPr="00000000" w14:paraId="00000006">
      <w:pPr>
        <w:pBdr>
          <w:top w:space="0" w:sz="0" w:val="nil"/>
          <w:left w:space="0" w:sz="0" w:val="nil"/>
          <w:bottom w:color="000000" w:space="0" w:sz="12" w:val="single"/>
          <w:right w:space="0" w:sz="0" w:val="nil"/>
          <w:between w:space="0" w:sz="0" w:val="nil"/>
        </w:pBdr>
        <w:jc w:val="both"/>
        <w:rPr>
          <w:rFonts w:ascii="Calibri" w:cs="Calibri" w:eastAsia="Calibri" w:hAnsi="Calibri"/>
          <w:color w:val="1f3864"/>
          <w:sz w:val="8"/>
          <w:szCs w:val="8"/>
        </w:rPr>
      </w:pPr>
      <w:r w:rsidDel="00000000" w:rsidR="00000000" w:rsidRPr="00000000">
        <w:rPr>
          <w:rtl w:val="0"/>
        </w:rPr>
      </w:r>
    </w:p>
    <w:p w:rsidR="00000000" w:rsidDel="00000000" w:rsidP="00000000" w:rsidRDefault="00000000" w:rsidRPr="00000000" w14:paraId="00000007">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8">
      <w:pPr>
        <w:spacing w:line="276" w:lineRule="auto"/>
        <w:jc w:val="center"/>
        <w:rPr>
          <w:rFonts w:ascii="Quattrocento Sans" w:cs="Quattrocento Sans" w:eastAsia="Quattrocento Sans" w:hAnsi="Quattrocento Sans"/>
          <w:b w:val="1"/>
          <w:color w:val="538135"/>
          <w:sz w:val="18"/>
          <w:szCs w:val="18"/>
        </w:rPr>
      </w:pPr>
      <w:r w:rsidDel="00000000" w:rsidR="00000000" w:rsidRPr="00000000">
        <w:rPr/>
        <w:drawing>
          <wp:inline distB="0" distT="0" distL="0" distR="0">
            <wp:extent cx="1824353" cy="1289293"/>
            <wp:effectExtent b="0" l="0" r="0" t="0"/>
            <wp:docPr descr="Fernando Alonso acaba 2024 con otro 'palo' a Aston Martin" id="2037140055" name="image6.jpg"/>
            <a:graphic>
              <a:graphicData uri="http://schemas.openxmlformats.org/drawingml/2006/picture">
                <pic:pic>
                  <pic:nvPicPr>
                    <pic:cNvPr descr="Fernando Alonso acaba 2024 con otro 'palo' a Aston Martin" id="0" name="image6.jpg"/>
                    <pic:cNvPicPr preferRelativeResize="0"/>
                  </pic:nvPicPr>
                  <pic:blipFill>
                    <a:blip r:embed="rId7"/>
                    <a:srcRect b="0" l="12033" r="8447" t="0"/>
                    <a:stretch>
                      <a:fillRect/>
                    </a:stretch>
                  </pic:blipFill>
                  <pic:spPr>
                    <a:xfrm>
                      <a:off x="0" y="0"/>
                      <a:ext cx="1824353" cy="1289293"/>
                    </a:xfrm>
                    <a:prstGeom prst="rect"/>
                    <a:ln/>
                  </pic:spPr>
                </pic:pic>
              </a:graphicData>
            </a:graphic>
          </wp:inline>
        </w:drawing>
      </w:r>
      <w:r w:rsidDel="00000000" w:rsidR="00000000" w:rsidRPr="00000000">
        <w:rPr>
          <w:rFonts w:ascii="Quattrocento Sans" w:cs="Quattrocento Sans" w:eastAsia="Quattrocento Sans" w:hAnsi="Quattrocento Sans"/>
          <w:b w:val="1"/>
          <w:color w:val="538135"/>
          <w:sz w:val="18"/>
          <w:szCs w:val="18"/>
          <w:rtl w:val="0"/>
        </w:rPr>
        <w:t xml:space="preserve">  </w:t>
      </w:r>
      <w:r w:rsidDel="00000000" w:rsidR="00000000" w:rsidRPr="00000000">
        <w:rPr/>
        <w:drawing>
          <wp:inline distB="0" distT="0" distL="0" distR="0">
            <wp:extent cx="1866900" cy="1272540"/>
            <wp:effectExtent b="0" l="0" r="0" t="0"/>
            <wp:docPr id="2037140057"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866900" cy="1272540"/>
                    </a:xfrm>
                    <a:prstGeom prst="rect"/>
                    <a:ln/>
                  </pic:spPr>
                </pic:pic>
              </a:graphicData>
            </a:graphic>
          </wp:inline>
        </w:drawing>
      </w:r>
      <w:r w:rsidDel="00000000" w:rsidR="00000000" w:rsidRPr="00000000">
        <w:rPr>
          <w:rFonts w:ascii="Quattrocento Sans" w:cs="Quattrocento Sans" w:eastAsia="Quattrocento Sans" w:hAnsi="Quattrocento Sans"/>
          <w:b w:val="1"/>
          <w:color w:val="538135"/>
          <w:sz w:val="18"/>
          <w:szCs w:val="18"/>
          <w:rtl w:val="0"/>
        </w:rPr>
        <w:t xml:space="preserve">  </w:t>
      </w:r>
      <w:r w:rsidDel="00000000" w:rsidR="00000000" w:rsidRPr="00000000">
        <w:rPr/>
        <w:drawing>
          <wp:inline distB="0" distT="0" distL="0" distR="0">
            <wp:extent cx="2051050" cy="1275715"/>
            <wp:effectExtent b="0" l="0" r="0" t="0"/>
            <wp:docPr id="2037140056"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051050" cy="127571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line="276" w:lineRule="auto"/>
        <w:jc w:val="center"/>
        <w:rPr>
          <w:rFonts w:ascii="Quattrocento Sans" w:cs="Quattrocento Sans" w:eastAsia="Quattrocento Sans" w:hAnsi="Quattrocento Sans"/>
          <w:b w:val="1"/>
          <w:color w:val="538135"/>
          <w:sz w:val="18"/>
          <w:szCs w:val="18"/>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B">
      <w:pPr>
        <w:jc w:val="both"/>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04 DIC. (JUEVES) – TRASLADO DE LLEGADA EN PRIVADO</w:t>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 la llegada a Dubai serán recibidos y se les dará la bienvenida al país, los llevarán al hotel en vehículo privado. Check-In a las 14:00 hrs.</w:t>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05 DIC. – EXCURSIÓN AL DESIERTO EN 4X4 COMPARTIDA CON CENA EN CAMPAMENTO</w:t>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Mañana libre para descansar del viaje. Sobre las 14.45 Hrs, recepción en el Lobby del Hotel, donde seremos recogidos por un Jeep 4x4 en asiento compartido (6 personas por Jeep), para así dar inicio a un emocionante Safari en el desierto más hermoso del Medio Oriente. Al caer el sol, nos trasladaremos a un campamento Beduino donde disfrutaremos de una cena BBQ acompañada de shows en vivo como la danza del vientre. Al finalizar volveremos al hotel.</w:t>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06 DIC. –TOUR DUBAI MEDIO DÍA EN REGULAR EN ESPAÑOL</w:t>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 las 08.30am, iniciaremos nuestro recorrido de medio día por la ciudad de Dubái, la primera parada será en la parte antigua de la ciudad, visitando el barrio de Bastakiya, donde podremos conocer la historia y cultura de esta nación. A continuación cruzaremos el Creek de Dubái con el “Abra”, famoso taxi de agua, para visitar los mercados de las especies y del oro. Luego realizaremos una parada en la “Unión House”, continuando hasta la Mezquita de Jumeirah. Luego atravesaremos la soleada playa de Jumeirah para ver así el lujoso hotel "Burj Al Arab". A continuación conduciremos a través de Sheikh Zayed Road, desde donde podremos apreciar los grandes rascacielos de la ciudad. Finalmente pasaremos por el Downtown de Dubái para una visita panorámica, donde se encuentra la torre más alta del mundo, el “Burj Khalifa” (entradas no incluidas junto al impresionante centro comercial Dubai Mall. Almuerzo no incluido.</w:t>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5">
      <w:pPr>
        <w:rPr>
          <w:rFonts w:ascii="Calibri" w:cs="Calibri" w:eastAsia="Calibri" w:hAnsi="Calibri"/>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 la tarde, Traslado en Regular hacia el Circuito de la F1 de Abu Dhabi + Entradas a la carrera (Grandstand Ticket) Sobre las 12.30 Hrs, salida para Abu Dhabi en vehículo compartido con conductor de habla inglesa, a la ciudad de Abu Dhabi, capital de los Emiratos Árabes Unidos y el más grande de los siete emiratos, conocida popularmente como la ciudad más rica del mundo, donde podremos disfrutar del </w:t>
      </w:r>
      <w:r w:rsidDel="00000000" w:rsidR="00000000" w:rsidRPr="00000000">
        <w:rPr>
          <w:rFonts w:ascii="Calibri" w:cs="Calibri" w:eastAsia="Calibri" w:hAnsi="Calibri"/>
          <w:color w:val="1f3864"/>
          <w:rtl w:val="0"/>
        </w:rPr>
        <w:t xml:space="preserve">Grand</w:t>
      </w:r>
      <w:r w:rsidDel="00000000" w:rsidR="00000000" w:rsidRPr="00000000">
        <w:rPr>
          <w:rFonts w:ascii="Calibri" w:cs="Calibri" w:eastAsia="Calibri" w:hAnsi="Calibri"/>
          <w:color w:val="1f3864"/>
          <w:rtl w:val="0"/>
        </w:rPr>
        <w:t xml:space="preserve"> Premio de Abu Dhabi, que tiene lugar sobre una de las pistas más atractivas y tecnológicas del mundo: el Circuito de Yas Marina, el cual fue diseñado por el reconocido Ingeniero y corredor de autos Hermann Tilke, diseñador de numerosos circuitos de la Fórmula 1. Al finalizar la carrera nos dirigiremos de regreso al hotel en Dubai. Noche en Dubai</w:t>
      </w:r>
    </w:p>
    <w:p w:rsidR="00000000" w:rsidDel="00000000" w:rsidP="00000000" w:rsidRDefault="00000000" w:rsidRPr="00000000" w14:paraId="0000001A">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07 DIC. – TRASLADO EN REGULAR HACIA EL CIRCUITO DE LA F1 DE ABU DHABI + ENTRADAS A LA CARRERA (GRANDSTAND TICKET)</w:t>
      </w:r>
    </w:p>
    <w:p w:rsidR="00000000" w:rsidDel="00000000" w:rsidP="00000000" w:rsidRDefault="00000000" w:rsidRPr="00000000" w14:paraId="0000001C">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Mañana libre para actividades opcionales. Sobre las 12.30 Hrs, recepción en el lobby del hotel para trasladarnos en auto compartido con conductor de habla inglesa, a la ciudad de Abu Dhabi, para disfrutar el segundo día de carreras del Grand Premio de Abu Dhabi. Al finalizar la carrera nos dirigiremos de regreso al hotel en Dubai. Noche en Dubai.</w:t>
      </w:r>
    </w:p>
    <w:p w:rsidR="00000000" w:rsidDel="00000000" w:rsidP="00000000" w:rsidRDefault="00000000" w:rsidRPr="00000000" w14:paraId="0000001D">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08 DIC. – TRASLADO EN PRIVADO AL AEROPUERTO.</w:t>
      </w:r>
    </w:p>
    <w:p w:rsidR="00000000" w:rsidDel="00000000" w:rsidP="00000000" w:rsidRDefault="00000000" w:rsidRPr="00000000" w14:paraId="0000001F">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Check-Out del hotel a las 12.00 Hrs. Posterior traslado de salida al Aeropuerto.</w:t>
      </w:r>
    </w:p>
    <w:p w:rsidR="00000000" w:rsidDel="00000000" w:rsidP="00000000" w:rsidRDefault="00000000" w:rsidRPr="00000000" w14:paraId="00000020">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1">
      <w:pPr>
        <w:rPr/>
      </w:pPr>
      <w:r w:rsidDel="00000000" w:rsidR="00000000" w:rsidRPr="00000000">
        <w:rPr>
          <w:rFonts w:ascii="Calibri" w:cs="Calibri" w:eastAsia="Calibri" w:hAnsi="Calibri"/>
          <w:b w:val="1"/>
          <w:color w:val="1f3864"/>
          <w:rtl w:val="0"/>
        </w:rPr>
        <w:t xml:space="preserve">¡FIN DE LOS SERVICIOS!</w:t>
      </w:r>
      <w:r w:rsidDel="00000000" w:rsidR="00000000" w:rsidRPr="00000000">
        <w:rPr>
          <w:rtl w:val="0"/>
        </w:rPr>
      </w:r>
    </w:p>
    <w:p w:rsidR="00000000" w:rsidDel="00000000" w:rsidP="00000000" w:rsidRDefault="00000000" w:rsidRPr="00000000" w14:paraId="00000022">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3">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4">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TARIFAS POR PERSONA EN DÓLARES</w:t>
      </w:r>
    </w:p>
    <w:p w:rsidR="00000000" w:rsidDel="00000000" w:rsidP="00000000" w:rsidRDefault="00000000" w:rsidRPr="00000000" w14:paraId="00000025">
      <w:pPr>
        <w:rPr>
          <w:rFonts w:ascii="Calibri" w:cs="Calibri" w:eastAsia="Calibri" w:hAnsi="Calibri"/>
          <w:b w:val="1"/>
          <w:color w:val="1f3864"/>
        </w:rPr>
      </w:pPr>
      <w:r w:rsidDel="00000000" w:rsidR="00000000" w:rsidRPr="00000000">
        <w:rPr>
          <w:rtl w:val="0"/>
        </w:rPr>
      </w:r>
    </w:p>
    <w:tbl>
      <w:tblPr>
        <w:tblStyle w:val="Table1"/>
        <w:tblW w:w="9922.0" w:type="dxa"/>
        <w:jc w:val="center"/>
        <w:tblLayout w:type="fixed"/>
        <w:tblLook w:val="0400"/>
      </w:tblPr>
      <w:tblGrid>
        <w:gridCol w:w="1846"/>
        <w:gridCol w:w="1260"/>
        <w:gridCol w:w="1260"/>
        <w:gridCol w:w="1260"/>
        <w:gridCol w:w="1260"/>
        <w:gridCol w:w="1260"/>
        <w:gridCol w:w="1776"/>
        <w:tblGridChange w:id="0">
          <w:tblGrid>
            <w:gridCol w:w="1846"/>
            <w:gridCol w:w="1260"/>
            <w:gridCol w:w="1260"/>
            <w:gridCol w:w="1260"/>
            <w:gridCol w:w="1260"/>
            <w:gridCol w:w="1260"/>
            <w:gridCol w:w="1776"/>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2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7">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1 PAX</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2 PAX</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3 - 4 PAX</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5 - 6 PAX</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7 - 10 PAX</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C">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NOCHE ADC. DBL</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D">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Hotel 4* o similar</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2.045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1.717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0">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1.687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1.603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1.579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175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4">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Hotel 5* o similar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2.181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1.789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1.757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1.675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1.649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207 USD</w:t>
            </w:r>
          </w:p>
        </w:tc>
      </w:tr>
    </w:tbl>
    <w:p w:rsidR="00000000" w:rsidDel="00000000" w:rsidP="00000000" w:rsidRDefault="00000000" w:rsidRPr="00000000" w14:paraId="0000003B">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C">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D">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3E">
      <w:pPr>
        <w:widowControl w:val="1"/>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4 Noches de hotel en Dubái en habitación doble con desayuno buffet diarios</w:t>
      </w:r>
    </w:p>
    <w:p w:rsidR="00000000" w:rsidDel="00000000" w:rsidP="00000000" w:rsidRDefault="00000000" w:rsidRPr="00000000" w14:paraId="0000003F">
      <w:pPr>
        <w:widowControl w:val="1"/>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de llegada y salida con conductor de habla inglés</w:t>
      </w:r>
    </w:p>
    <w:p w:rsidR="00000000" w:rsidDel="00000000" w:rsidP="00000000" w:rsidRDefault="00000000" w:rsidRPr="00000000" w14:paraId="00000040">
      <w:pPr>
        <w:widowControl w:val="1"/>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los días 06 y 07 de Dic. A la carrera de la F1 en Abu Dhabi en regular con conductor de habla inglés</w:t>
      </w:r>
    </w:p>
    <w:p w:rsidR="00000000" w:rsidDel="00000000" w:rsidP="00000000" w:rsidRDefault="00000000" w:rsidRPr="00000000" w14:paraId="00000041">
      <w:pPr>
        <w:widowControl w:val="1"/>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durante 02 días de carrera de la Fórmula 1 - Grandstand tickets</w:t>
      </w:r>
    </w:p>
    <w:p w:rsidR="00000000" w:rsidDel="00000000" w:rsidP="00000000" w:rsidRDefault="00000000" w:rsidRPr="00000000" w14:paraId="00000042">
      <w:pPr>
        <w:widowControl w:val="1"/>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Entrada al concierto durante los días del evento - Grandstand tickets</w:t>
      </w:r>
    </w:p>
    <w:p w:rsidR="00000000" w:rsidDel="00000000" w:rsidP="00000000" w:rsidRDefault="00000000" w:rsidRPr="00000000" w14:paraId="00000043">
      <w:pPr>
        <w:widowControl w:val="1"/>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Visita de Dubái, en regular con guía de habla hispana</w:t>
      </w:r>
    </w:p>
    <w:p w:rsidR="00000000" w:rsidDel="00000000" w:rsidP="00000000" w:rsidRDefault="00000000" w:rsidRPr="00000000" w14:paraId="00000044">
      <w:pPr>
        <w:widowControl w:val="1"/>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Excursión al desierto con cena barbacoa en regular (vehículos de máximo 6 personas)</w:t>
      </w:r>
    </w:p>
    <w:p w:rsidR="00000000" w:rsidDel="00000000" w:rsidP="00000000" w:rsidRDefault="00000000" w:rsidRPr="00000000" w14:paraId="00000045">
      <w:pPr>
        <w:widowControl w:val="1"/>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5% VAT</w:t>
      </w:r>
    </w:p>
    <w:p w:rsidR="00000000" w:rsidDel="00000000" w:rsidP="00000000" w:rsidRDefault="00000000" w:rsidRPr="00000000" w14:paraId="00000046">
      <w:pPr>
        <w:widowControl w:val="1"/>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 (Cobertura máxima USD 60.000).</w:t>
      </w:r>
    </w:p>
    <w:p w:rsidR="00000000" w:rsidDel="00000000" w:rsidP="00000000" w:rsidRDefault="00000000" w:rsidRPr="00000000" w14:paraId="00000047">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8">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9">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A">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4B">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Vuelos internacionales (Pregunta por nuestras tarifas preferenciales).</w:t>
      </w:r>
    </w:p>
    <w:p w:rsidR="00000000" w:rsidDel="00000000" w:rsidP="00000000" w:rsidRDefault="00000000" w:rsidRPr="00000000" w14:paraId="0000004C">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personales.</w:t>
      </w:r>
    </w:p>
    <w:p w:rsidR="00000000" w:rsidDel="00000000" w:rsidP="00000000" w:rsidRDefault="00000000" w:rsidRPr="00000000" w14:paraId="0000004D">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Visado de Emiratos Árabes.</w:t>
      </w:r>
    </w:p>
    <w:p w:rsidR="00000000" w:rsidDel="00000000" w:rsidP="00000000" w:rsidRDefault="00000000" w:rsidRPr="00000000" w14:paraId="0000004E">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Traslados de regreso desde Abu Dhabi al hotel en Dubai para pasajeros que deseen quedarse al concierto.</w:t>
      </w:r>
    </w:p>
    <w:p w:rsidR="00000000" w:rsidDel="00000000" w:rsidP="00000000" w:rsidRDefault="00000000" w:rsidRPr="00000000" w14:paraId="0000004F">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Excursiones opcionales y servicios no especificados como incluido.</w:t>
      </w:r>
    </w:p>
    <w:p w:rsidR="00000000" w:rsidDel="00000000" w:rsidP="00000000" w:rsidRDefault="00000000" w:rsidRPr="00000000" w14:paraId="00000050">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Propinas, Alimentos y bebidas no especificados.</w:t>
      </w:r>
    </w:p>
    <w:p w:rsidR="00000000" w:rsidDel="00000000" w:rsidP="00000000" w:rsidRDefault="00000000" w:rsidRPr="00000000" w14:paraId="00000051">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Impuesto Tourism Dírham Fee (Usd 4.5 Hoteles 4*) – (Usd 5.5 Hoteles 5*) por noche por habitación, el cual es de pago directo por el cliente, al momento del check-in.</w:t>
      </w:r>
    </w:p>
    <w:p w:rsidR="00000000" w:rsidDel="00000000" w:rsidP="00000000" w:rsidRDefault="00000000" w:rsidRPr="00000000" w14:paraId="00000052">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53">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4">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55">
      <w:pPr>
        <w:widowControl w:val="1"/>
        <w:numPr>
          <w:ilvl w:val="0"/>
          <w:numId w:val="1"/>
        </w:numPr>
        <w:tabs>
          <w:tab w:val="left" w:leader="none" w:pos="160"/>
        </w:tabs>
        <w:ind w:left="168" w:hanging="152"/>
        <w:jc w:val="both"/>
        <w:rPr>
          <w:rFonts w:ascii="Calibri" w:cs="Calibri" w:eastAsia="Calibri" w:hAnsi="Calibri"/>
          <w:color w:val="1f3864"/>
        </w:rPr>
      </w:pPr>
      <w:bookmarkStart w:colFirst="0" w:colLast="0" w:name="_heading=h.30j0zll" w:id="1"/>
      <w:bookmarkEnd w:id="1"/>
      <w:r w:rsidDel="00000000" w:rsidR="00000000" w:rsidRPr="00000000">
        <w:rPr>
          <w:rFonts w:ascii="Calibri" w:cs="Calibri" w:eastAsia="Calibri" w:hAnsi="Calibri"/>
          <w:color w:val="1f3864"/>
          <w:rtl w:val="0"/>
        </w:rPr>
        <w:t xml:space="preserve">La tarifa por persona en Dólares, se liquida a la TRM negociada. </w:t>
      </w:r>
    </w:p>
    <w:p w:rsidR="00000000" w:rsidDel="00000000" w:rsidP="00000000" w:rsidRDefault="00000000" w:rsidRPr="00000000" w14:paraId="00000056">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garantizar la reserva y las entradas al evento es necesario el pago del 60%.</w:t>
      </w:r>
    </w:p>
    <w:p w:rsidR="00000000" w:rsidDel="00000000" w:rsidP="00000000" w:rsidRDefault="00000000" w:rsidRPr="00000000" w14:paraId="00000057">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Promoción sujeta a disponibilidad al momento de la reserva.</w:t>
      </w:r>
    </w:p>
    <w:p w:rsidR="00000000" w:rsidDel="00000000" w:rsidP="00000000" w:rsidRDefault="00000000" w:rsidRPr="00000000" w14:paraId="00000058">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las visitas puede variar según el día de llegada a Dubai.</w:t>
      </w:r>
    </w:p>
    <w:p w:rsidR="00000000" w:rsidDel="00000000" w:rsidP="00000000" w:rsidRDefault="00000000" w:rsidRPr="00000000" w14:paraId="00000059">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entradas al evento no son reembolsables por parte del circuito y una vez emitidas no pueden ser canceladas.</w:t>
      </w:r>
    </w:p>
    <w:p w:rsidR="00000000" w:rsidDel="00000000" w:rsidP="00000000" w:rsidRDefault="00000000" w:rsidRPr="00000000" w14:paraId="0000005A">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 caso de no estar disponible el hotel propuesto, se confirmará otra opción de la misma categoría</w:t>
      </w:r>
    </w:p>
    <w:p w:rsidR="00000000" w:rsidDel="00000000" w:rsidP="00000000" w:rsidRDefault="00000000" w:rsidRPr="00000000" w14:paraId="0000005B">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Pago en destino: Tourism Dirham Fee de pago directo por el cliente - Usd 5.5 por noche.</w:t>
      </w:r>
    </w:p>
    <w:p w:rsidR="00000000" w:rsidDel="00000000" w:rsidP="00000000" w:rsidRDefault="00000000" w:rsidRPr="00000000" w14:paraId="0000005C">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Depósitos no reembolsables.</w:t>
      </w:r>
    </w:p>
    <w:p w:rsidR="00000000" w:rsidDel="00000000" w:rsidP="00000000" w:rsidRDefault="00000000" w:rsidRPr="00000000" w14:paraId="0000005D">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5E">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sujeta a cambio y disponibilidad sin previo aviso.</w:t>
      </w:r>
    </w:p>
    <w:p w:rsidR="00000000" w:rsidDel="00000000" w:rsidP="00000000" w:rsidRDefault="00000000" w:rsidRPr="00000000" w14:paraId="0000005F">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Cualquiera de estos planes se puede modificar y cotizar a medida según el interés de cada pasajero, este itinerario es referencial.</w:t>
      </w:r>
    </w:p>
    <w:p w:rsidR="00000000" w:rsidDel="00000000" w:rsidP="00000000" w:rsidRDefault="00000000" w:rsidRPr="00000000" w14:paraId="00000060">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70 años. Para conocer los detalles de los beneficios de tu asistencia, contáctanos o revisa la información en tu voucher. </w:t>
      </w:r>
      <w:r w:rsidDel="00000000" w:rsidR="00000000" w:rsidRPr="00000000">
        <w:rPr>
          <w:rFonts w:ascii="Calibri" w:cs="Calibri" w:eastAsia="Calibri" w:hAnsi="Calibri"/>
          <w:b w:val="1"/>
          <w:color w:val="1f3864"/>
          <w:rtl w:val="0"/>
        </w:rPr>
        <w:t xml:space="preserve">Consulta aquí las condiciones de esta asistencia: </w:t>
      </w:r>
      <w:hyperlink r:id="rId10">
        <w:r w:rsidDel="00000000" w:rsidR="00000000" w:rsidRPr="00000000">
          <w:rPr>
            <w:rFonts w:ascii="Calibri" w:cs="Calibri" w:eastAsia="Calibri" w:hAnsi="Calibri"/>
            <w:color w:val="0563c1"/>
            <w:u w:val="single"/>
            <w:rtl w:val="0"/>
          </w:rPr>
          <w:t xml:space="preserve">https://www.universal-assistance.com/files/condiciones_generales.pdf</w:t>
        </w:r>
      </w:hyperlink>
      <w:r w:rsidDel="00000000" w:rsidR="00000000" w:rsidRPr="00000000">
        <w:rPr>
          <w:rtl w:val="0"/>
        </w:rPr>
      </w:r>
    </w:p>
    <w:p w:rsidR="00000000" w:rsidDel="00000000" w:rsidP="00000000" w:rsidRDefault="00000000" w:rsidRPr="00000000" w14:paraId="00000061">
      <w:pPr>
        <w:ind w:left="8" w:right="520" w:firstLine="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2">
      <w:pPr>
        <w:ind w:left="8" w:right="520" w:firstLine="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63">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Todos los cambios están sujetos a las políticas de los operadores, nos reservamos el derecho de cobrar un cargo de gestión. </w:t>
      </w:r>
    </w:p>
    <w:p w:rsidR="00000000" w:rsidDel="00000000" w:rsidP="00000000" w:rsidRDefault="00000000" w:rsidRPr="00000000" w14:paraId="00000064">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5">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66">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7">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8">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9">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6A">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B">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C">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RECOMENDACIONES:</w:t>
      </w:r>
      <w:r w:rsidDel="00000000" w:rsidR="00000000" w:rsidRPr="00000000">
        <w:rPr>
          <w:rtl w:val="0"/>
        </w:rPr>
      </w:r>
    </w:p>
    <w:p w:rsidR="00000000" w:rsidDel="00000000" w:rsidP="00000000" w:rsidRDefault="00000000" w:rsidRPr="00000000" w14:paraId="0000006D">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Deben evitarse expresiones y actitudes en público o en privado que pudieran ser interpretadas como irrespetuosas desde el punto de vista religioso, cultural o político. </w:t>
      </w:r>
    </w:p>
    <w:p w:rsidR="00000000" w:rsidDel="00000000" w:rsidP="00000000" w:rsidRDefault="00000000" w:rsidRPr="00000000" w14:paraId="0000006E">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relaciones entre personas del mismo sexo no se encuentran permitidas ni aceptadas socialmente por lo que se recomienda evitar cualquier gesto de afecto en público. </w:t>
      </w:r>
    </w:p>
    <w:p w:rsidR="00000000" w:rsidDel="00000000" w:rsidP="00000000" w:rsidRDefault="00000000" w:rsidRPr="00000000" w14:paraId="0000006F">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emiratíes suelen vestir de manera conservadora y pueden ofenderse cuando la gente viste de manera inapropiada o no conforme con los valores islámicos. Las mujeres no están obligadas a llevar velo en EAU más que en los lugares de culto y aquellos donde se señale expresamente. </w:t>
      </w:r>
    </w:p>
    <w:p w:rsidR="00000000" w:rsidDel="00000000" w:rsidP="00000000" w:rsidRDefault="00000000" w:rsidRPr="00000000" w14:paraId="00000070">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Consulta más información aquí: </w:t>
      </w:r>
      <w:hyperlink r:id="rId11">
        <w:r w:rsidDel="00000000" w:rsidR="00000000" w:rsidRPr="00000000">
          <w:rPr>
            <w:rFonts w:ascii="Calibri" w:cs="Calibri" w:eastAsia="Calibri" w:hAnsi="Calibri"/>
            <w:color w:val="0563c1"/>
            <w:u w:val="single"/>
            <w:rtl w:val="0"/>
          </w:rPr>
          <w:t xml:space="preserve">https://www.exteriores.gob.es/es/ServiciosAlCiudadano/Paginas/Detalle-recomendaciones-de-viaje.aspx?trc=Emiratos+%C3%81rabes+Unidos</w:t>
        </w:r>
      </w:hyperlink>
      <w:r w:rsidDel="00000000" w:rsidR="00000000" w:rsidRPr="00000000">
        <w:rPr>
          <w:rtl w:val="0"/>
        </w:rPr>
      </w:r>
    </w:p>
    <w:p w:rsidR="00000000" w:rsidDel="00000000" w:rsidP="00000000" w:rsidRDefault="00000000" w:rsidRPr="00000000" w14:paraId="00000071">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2">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REQUISITOS:</w:t>
      </w:r>
      <w:r w:rsidDel="00000000" w:rsidR="00000000" w:rsidRPr="00000000">
        <w:rPr>
          <w:rtl w:val="0"/>
        </w:rPr>
      </w:r>
    </w:p>
    <w:p w:rsidR="00000000" w:rsidDel="00000000" w:rsidP="00000000" w:rsidRDefault="00000000" w:rsidRPr="00000000" w14:paraId="00000073">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w:t>
      </w:r>
    </w:p>
    <w:p w:rsidR="00000000" w:rsidDel="00000000" w:rsidP="00000000" w:rsidRDefault="00000000" w:rsidRPr="00000000" w14:paraId="00000074">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w:t>
      </w:r>
    </w:p>
    <w:p w:rsidR="00000000" w:rsidDel="00000000" w:rsidP="00000000" w:rsidRDefault="00000000" w:rsidRPr="00000000" w14:paraId="00000075">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Formulario de preinscripción obligatoria antes de salir de Colombia.</w:t>
      </w:r>
    </w:p>
    <w:p w:rsidR="00000000" w:rsidDel="00000000" w:rsidP="00000000" w:rsidRDefault="00000000" w:rsidRPr="00000000" w14:paraId="00000076">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demostrar solvencia económica.</w:t>
      </w:r>
    </w:p>
    <w:p w:rsidR="00000000" w:rsidDel="00000000" w:rsidP="00000000" w:rsidRDefault="00000000" w:rsidRPr="00000000" w14:paraId="00000077">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 </w:t>
      </w:r>
      <w:hyperlink r:id="rId12">
        <w:r w:rsidDel="00000000" w:rsidR="00000000" w:rsidRPr="00000000">
          <w:rPr>
            <w:rFonts w:ascii="Calibri" w:cs="Calibri" w:eastAsia="Calibri" w:hAnsi="Calibri"/>
            <w:color w:val="0563c1"/>
            <w:u w:val="single"/>
            <w:rtl w:val="0"/>
          </w:rPr>
          <w:t xml:space="preserve">https://apply.joinsherpa.com/travel-restrictions/AE-DU?affiliateId=sherpa&amp;language=es-XL&amp;originCountry=COL</w:t>
        </w:r>
      </w:hyperlink>
      <w:r w:rsidDel="00000000" w:rsidR="00000000" w:rsidRPr="00000000">
        <w:rPr>
          <w:rtl w:val="0"/>
        </w:rPr>
      </w:r>
    </w:p>
    <w:p w:rsidR="00000000" w:rsidDel="00000000" w:rsidP="00000000" w:rsidRDefault="00000000" w:rsidRPr="00000000" w14:paraId="00000078">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br w:type="textWrapping"/>
      </w:r>
      <w:r w:rsidDel="00000000" w:rsidR="00000000" w:rsidRPr="00000000">
        <w:rPr>
          <w:rFonts w:ascii="Calibri" w:cs="Calibri" w:eastAsia="Calibri" w:hAnsi="Calibri"/>
          <w:b w:val="1"/>
          <w:color w:val="1f3864"/>
          <w:rtl w:val="0"/>
        </w:rPr>
        <w:t xml:space="preserve">CLÁUSULA DE RESPONSABILIDAD: </w:t>
      </w:r>
      <w:hyperlink r:id="rId13">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79">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A">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o prestación de los servicios por falta de los requisitos completos. Todos los gastos generados serán por cuenta del viajero y se aplicarán las condiciones establecidas.</w:t>
      </w:r>
    </w:p>
    <w:sectPr>
      <w:headerReference r:id="rId14" w:type="default"/>
      <w:headerReference r:id="rId15" w:type="first"/>
      <w:headerReference r:id="rId16" w:type="even"/>
      <w:footerReference r:id="rId17" w:type="default"/>
      <w:footerReference r:id="rId18" w:type="first"/>
      <w:footerReference r:id="rId19" w:type="even"/>
      <w:pgSz w:h="15840" w:w="12240" w:orient="portrait"/>
      <w:pgMar w:bottom="720" w:top="720" w:left="1418" w:right="1325"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-952497</wp:posOffset>
          </wp:positionH>
          <wp:positionV relativeFrom="paragraph">
            <wp:posOffset>752475</wp:posOffset>
          </wp:positionV>
          <wp:extent cx="7810500" cy="999525"/>
          <wp:effectExtent b="0" l="0" r="0" t="0"/>
          <wp:wrapNone/>
          <wp:docPr id="203714005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10500" cy="99952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-1344929</wp:posOffset>
          </wp:positionH>
          <wp:positionV relativeFrom="paragraph">
            <wp:posOffset>-354964</wp:posOffset>
          </wp:positionV>
          <wp:extent cx="2711450" cy="1452928"/>
          <wp:effectExtent b="0" l="0" r="0" t="0"/>
          <wp:wrapNone/>
          <wp:docPr id="2037140060"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2711450" cy="1452928"/>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-1057272</wp:posOffset>
          </wp:positionH>
          <wp:positionV relativeFrom="paragraph">
            <wp:posOffset>-450213</wp:posOffset>
          </wp:positionV>
          <wp:extent cx="8016875" cy="955040"/>
          <wp:effectExtent b="0" l="0" r="0" t="0"/>
          <wp:wrapNone/>
          <wp:docPr id="2037140059"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-563879</wp:posOffset>
          </wp:positionH>
          <wp:positionV relativeFrom="paragraph">
            <wp:posOffset>3222625</wp:posOffset>
          </wp:positionV>
          <wp:extent cx="361950" cy="2654300"/>
          <wp:effectExtent b="0" l="0" r="0" t="0"/>
          <wp:wrapNone/>
          <wp:docPr id="2037140058"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361950" cy="265430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6096"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65AEE"/>
    <w:pPr>
      <w:autoSpaceDE w:val="0"/>
      <w:autoSpaceDN w:val="0"/>
    </w:pPr>
  </w:style>
  <w:style w:type="paragraph" w:styleId="Ttulo1">
    <w:name w:val="heading 1"/>
    <w:basedOn w:val="Normal"/>
    <w:link w:val="Ttulo1Car"/>
    <w:uiPriority w:val="9"/>
    <w:qFormat w:val="1"/>
    <w:rsid w:val="00E65AEE"/>
    <w:pPr>
      <w:ind w:left="1302"/>
      <w:outlineLvl w:val="0"/>
    </w:pPr>
    <w:rPr>
      <w:b w:val="1"/>
      <w:bCs w:val="1"/>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1"/>
    <w:tblPr>
      <w:tblStyleRowBandSize w:val="1"/>
      <w:tblStyleColBandSize w:val="1"/>
    </w:tblPr>
  </w:style>
  <w:style w:type="table" w:styleId="a0" w:customStyle="1">
    <w:basedOn w:val="TableNormal1"/>
    <w:tblPr>
      <w:tblStyleRowBandSize w:val="1"/>
      <w:tblStyleColBandSize w:val="1"/>
    </w:tblPr>
  </w:style>
  <w:style w:type="table" w:styleId="a1" w:customStyle="1">
    <w:basedOn w:val="TableNormal1"/>
    <w:tblPr>
      <w:tblStyleRowBandSize w:val="1"/>
      <w:tblStyleColBandSize w:val="1"/>
    </w:tblPr>
  </w:style>
  <w:style w:type="table" w:styleId="a2" w:customStyle="1">
    <w:basedOn w:val="TableNormal1"/>
    <w:tblPr>
      <w:tblStyleRowBandSize w:val="1"/>
      <w:tblStyleColBandSize w:val="1"/>
    </w:tblPr>
  </w:style>
  <w:style w:type="paragraph" w:styleId="NormalWeb">
    <w:name w:val="Normal (Web)"/>
    <w:basedOn w:val="Normal"/>
    <w:uiPriority w:val="99"/>
    <w:unhideWhenUsed w:val="1"/>
    <w:rsid w:val="00B77E97"/>
    <w:pPr>
      <w:widowControl w:val="1"/>
      <w:autoSpaceDE w:val="1"/>
      <w:autoSpaceDN w:val="1"/>
      <w:spacing w:after="100" w:afterAutospacing="1" w:before="100" w:beforeAutospacing="1"/>
    </w:pPr>
    <w:rPr>
      <w:rFonts w:ascii="Times New Roman" w:cs="Times New Roman" w:eastAsia="Times New Roman" w:hAnsi="Times New Roman"/>
      <w:sz w:val="24"/>
      <w:szCs w:val="24"/>
      <w:lang w:val="es-CO"/>
    </w:rPr>
  </w:style>
  <w:style w:type="character" w:styleId="Mencinsinresolver">
    <w:name w:val="Unresolved Mention"/>
    <w:basedOn w:val="Fuentedeprrafopredeter"/>
    <w:uiPriority w:val="99"/>
    <w:semiHidden w:val="1"/>
    <w:unhideWhenUsed w:val="1"/>
    <w:rsid w:val="00B77E97"/>
    <w:rPr>
      <w:color w:val="605e5c"/>
      <w:shd w:color="auto" w:fill="e1dfdd" w:val="clear"/>
    </w:rPr>
  </w:style>
  <w:style w:type="table" w:styleId="a3" w:customStyle="1">
    <w:basedOn w:val="TableNormal0"/>
    <w:tblPr>
      <w:tblStyleRowBandSize w:val="1"/>
      <w:tblStyleColBandSize w:val="1"/>
      <w:tblCellMar>
        <w:left w:w="70.0" w:type="dxa"/>
        <w:right w:w="70.0" w:type="dxa"/>
      </w:tblCellMar>
    </w:tblPr>
  </w:style>
  <w:style w:type="table" w:styleId="a4"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exteriores.gob.es/es/ServiciosAlCiudadano/Paginas/Detalle-recomendaciones-de-viaje.aspx?trc=Emiratos+%C3%81rabes+Unidos" TargetMode="External"/><Relationship Id="rId10" Type="http://schemas.openxmlformats.org/officeDocument/2006/relationships/hyperlink" Target="https://www.universal-assistance.com/files/condiciones_generales.pdf" TargetMode="External"/><Relationship Id="rId13" Type="http://schemas.openxmlformats.org/officeDocument/2006/relationships/hyperlink" Target="https://www.tropitours.co/es/clausula-de-responsabilidad" TargetMode="External"/><Relationship Id="rId12" Type="http://schemas.openxmlformats.org/officeDocument/2006/relationships/hyperlink" Target="https://apply.joinsherpa.com/travel-restrictions/AE-DU?affiliateId=sherpa&amp;language=es-XL&amp;originCountry=CO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eader" Target="header3.xml"/><Relationship Id="rId14" Type="http://schemas.openxmlformats.org/officeDocument/2006/relationships/header" Target="header2.xml"/><Relationship Id="rId17" Type="http://schemas.openxmlformats.org/officeDocument/2006/relationships/footer" Target="foot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image" Target="media/image6.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0" Type="http://schemas.openxmlformats.org/officeDocument/2006/relationships/font" Target="fonts/Carlito-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1.png"/><Relationship Id="rId3"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bNIjzXC1zfiVZXZGRLx2u/KaGw==">CgMxLjAyCGguZ2pkZ3hzMgloLjMwajB6bGw4AHIhMV9Nd3A5eGR0aU1YejlXdlBLVnRnVFNrME1pNEEwakZR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2024-04-15T14:41:00Z</dcterms:created>
  <dc:creator>Eliana Gomez</dc:creator>
</cp:coreProperties>
</file>