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FINAL COPA LIBERTADORES 2025</w:t>
      </w:r>
    </w:p>
    <w:p w:rsidR="00000000" w:rsidDel="00000000" w:rsidP="00000000" w:rsidRDefault="00000000" w:rsidRPr="00000000" w14:paraId="00000002">
      <w:pPr>
        <w:spacing w:after="0" w:line="240" w:lineRule="auto"/>
        <w:jc w:val="center"/>
        <w:rPr>
          <w:b w:val="1"/>
          <w:color w:val="002060"/>
          <w:sz w:val="48"/>
          <w:szCs w:val="48"/>
        </w:rPr>
      </w:pPr>
      <w:r w:rsidDel="00000000" w:rsidR="00000000" w:rsidRPr="00000000">
        <w:rPr>
          <w:b w:val="1"/>
          <w:color w:val="002060"/>
          <w:sz w:val="48"/>
          <w:szCs w:val="48"/>
          <w:rtl w:val="0"/>
        </w:rPr>
        <w:t xml:space="preserve">2N/3D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rPr>
          <w:b w:val="1"/>
          <w:color w:val="1f3864"/>
        </w:rPr>
      </w:pPr>
      <w:bookmarkStart w:colFirst="0" w:colLast="0" w:name="_heading=h.30j0zll" w:id="0"/>
      <w:bookmarkEnd w:id="0"/>
      <w:r w:rsidDel="00000000" w:rsidR="00000000" w:rsidRPr="00000000">
        <w:rPr>
          <w:b w:val="1"/>
          <w:color w:val="1f3864"/>
          <w:rtl w:val="0"/>
        </w:rPr>
        <w:t xml:space="preserve">OPERACIÓN: </w:t>
      </w:r>
      <w:r w:rsidDel="00000000" w:rsidR="00000000" w:rsidRPr="00000000">
        <w:rPr>
          <w:color w:val="1f3864"/>
          <w:rtl w:val="0"/>
        </w:rPr>
        <w:t xml:space="preserve">Mínimo 2 pasajeros.</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 </w:t>
      </w:r>
      <w:r w:rsidDel="00000000" w:rsidR="00000000" w:rsidRPr="00000000">
        <w:rPr>
          <w:color w:val="1f3864"/>
          <w:rtl w:val="0"/>
        </w:rPr>
        <w:t xml:space="preserve">Noviembre del 28 al 30 de 2025.</w:t>
      </w:r>
    </w:p>
    <w:p w:rsidR="00000000" w:rsidDel="00000000" w:rsidP="00000000" w:rsidRDefault="00000000" w:rsidRPr="00000000" w14:paraId="00000006">
      <w:pPr>
        <w:pBdr>
          <w:bottom w:color="000000" w:space="1" w:sz="6" w:val="single"/>
        </w:pBdr>
        <w:rPr>
          <w:color w:val="1f3864"/>
          <w:sz w:val="8"/>
          <w:szCs w:val="8"/>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drawing>
          <wp:inline distB="0" distT="0" distL="0" distR="0">
            <wp:extent cx="1698200" cy="1296035"/>
            <wp:effectExtent b="0" l="0" r="0" t="0"/>
            <wp:docPr descr="Copa Libertadores 2024: todo lo que hay que saber de las finales" id="1921738087" name="image6.jpg"/>
            <a:graphic>
              <a:graphicData uri="http://schemas.openxmlformats.org/drawingml/2006/picture">
                <pic:pic>
                  <pic:nvPicPr>
                    <pic:cNvPr descr="Copa Libertadores 2024: todo lo que hay que saber de las finales" id="0" name="image6.jpg"/>
                    <pic:cNvPicPr preferRelativeResize="0"/>
                  </pic:nvPicPr>
                  <pic:blipFill>
                    <a:blip r:embed="rId7"/>
                    <a:srcRect b="0" l="12000" r="14361" t="0"/>
                    <a:stretch>
                      <a:fillRect/>
                    </a:stretch>
                  </pic:blipFill>
                  <pic:spPr>
                    <a:xfrm>
                      <a:off x="0" y="0"/>
                      <a:ext cx="1698200" cy="1296035"/>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69745" cy="1295214"/>
            <wp:effectExtent b="0" l="0" r="0" t="0"/>
            <wp:docPr descr="Así será el sorteo de la ronda de grupos de la Copa Libertadores" id="1921738089" name="image5.jpg"/>
            <a:graphic>
              <a:graphicData uri="http://schemas.openxmlformats.org/drawingml/2006/picture">
                <pic:pic>
                  <pic:nvPicPr>
                    <pic:cNvPr descr="Así será el sorteo de la ronda de grupos de la Copa Libertadores" id="0" name="image5.jpg"/>
                    <pic:cNvPicPr preferRelativeResize="0"/>
                  </pic:nvPicPr>
                  <pic:blipFill>
                    <a:blip r:embed="rId8"/>
                    <a:srcRect b="0" l="11781" r="11935" t="0"/>
                    <a:stretch>
                      <a:fillRect/>
                    </a:stretch>
                  </pic:blipFill>
                  <pic:spPr>
                    <a:xfrm>
                      <a:off x="0" y="0"/>
                      <a:ext cx="1769745" cy="1295214"/>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838912" cy="1282739"/>
            <wp:effectExtent b="0" l="0" r="0" t="0"/>
            <wp:docPr descr="La final de la Copa Libertadores de 2025 se jugará en Lima" id="1921738088" name="image2.jpg"/>
            <a:graphic>
              <a:graphicData uri="http://schemas.openxmlformats.org/drawingml/2006/picture">
                <pic:pic>
                  <pic:nvPicPr>
                    <pic:cNvPr descr="La final de la Copa Libertadores de 2025 se jugará en Lima" id="0" name="image2.jpg"/>
                    <pic:cNvPicPr preferRelativeResize="0"/>
                  </pic:nvPicPr>
                  <pic:blipFill>
                    <a:blip r:embed="rId9"/>
                    <a:srcRect b="0" l="9664" r="4315" t="0"/>
                    <a:stretch>
                      <a:fillRect/>
                    </a:stretch>
                  </pic:blipFill>
                  <pic:spPr>
                    <a:xfrm>
                      <a:off x="0" y="0"/>
                      <a:ext cx="1838912" cy="1282739"/>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A">
      <w:pPr>
        <w:spacing w:after="0" w:line="240" w:lineRule="auto"/>
        <w:jc w:val="center"/>
        <w:rPr>
          <w:b w:val="1"/>
          <w:color w:val="002060"/>
        </w:rPr>
      </w:pPr>
      <w:r w:rsidDel="00000000" w:rsidR="00000000" w:rsidRPr="00000000">
        <w:rPr>
          <w:i w:val="1"/>
          <w:color w:val="002060"/>
          <w:rtl w:val="0"/>
        </w:rPr>
        <w:t xml:space="preserve">Viaja a Lima y siente la pasión de la Copa Libertadores 2025. ¡Tu experiencia te espera!</w:t>
      </w:r>
      <w:r w:rsidDel="00000000" w:rsidR="00000000" w:rsidRPr="00000000">
        <w:rPr>
          <w:rtl w:val="0"/>
        </w:rPr>
      </w:r>
    </w:p>
    <w:p w:rsidR="00000000" w:rsidDel="00000000" w:rsidP="00000000" w:rsidRDefault="00000000" w:rsidRPr="00000000" w14:paraId="0000000B">
      <w:pPr>
        <w:spacing w:after="0" w:line="240" w:lineRule="auto"/>
        <w:jc w:val="both"/>
        <w:rPr>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color w:val="002060"/>
        </w:rPr>
      </w:pPr>
      <w:r w:rsidDel="00000000" w:rsidR="00000000" w:rsidRPr="00000000">
        <w:rPr>
          <w:b w:val="1"/>
          <w:color w:val="002060"/>
          <w:rtl w:val="0"/>
        </w:rPr>
        <w:t xml:space="preserve">DÍA 1: EL 28 DE NOVIEMBRE</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El cliente llega al Aeropuerto Internacional Jorge Chávez (LIM), donde lo espera un traslado en servicio regular hacia el hotel seleccionado. Se hospeda por dos noches y dispone del resto del día libre para descansar o explorar la ciudad por su cuenta.</w:t>
      </w:r>
    </w:p>
    <w:p w:rsidR="00000000" w:rsidDel="00000000" w:rsidP="00000000" w:rsidRDefault="00000000" w:rsidRPr="00000000" w14:paraId="0000000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color w:val="002060"/>
        </w:rPr>
      </w:pPr>
      <w:r w:rsidDel="00000000" w:rsidR="00000000" w:rsidRPr="00000000">
        <w:rPr>
          <w:b w:val="1"/>
          <w:color w:val="002060"/>
          <w:rtl w:val="0"/>
        </w:rPr>
        <w:t xml:space="preserve">DÍA 2: EL 29 DE NOVIEMBRE</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Comienza el día con desayuno en el hotel. Durante la mañana y parte de la tarde, tiene tiempo libre para actividades personales. Más tarde, se realiza el traslado en servicio regular desde el hotel hacia el estadio para asistir a la Final de la Copa Libertadores 2025, con entrada incluida en Categoría 3. Al finalizar el partido, regresó al hotel en traslado regular.</w:t>
      </w:r>
    </w:p>
    <w:p w:rsidR="00000000" w:rsidDel="00000000" w:rsidP="00000000" w:rsidRDefault="00000000" w:rsidRPr="00000000" w14:paraId="00000011">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color w:val="002060"/>
        </w:rPr>
      </w:pPr>
      <w:r w:rsidDel="00000000" w:rsidR="00000000" w:rsidRPr="00000000">
        <w:rPr>
          <w:b w:val="1"/>
          <w:color w:val="002060"/>
          <w:rtl w:val="0"/>
        </w:rPr>
        <w:t xml:space="preserve">DÍA 3: EL 30 DE NOVIEMBRE</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Después del desayuno, el cliente es trasladado en servicio regular desde el hotel hacia el aeropuerto de Lima (LIM) para tomar su vuelo de regreso.</w:t>
      </w:r>
    </w:p>
    <w:p w:rsidR="00000000" w:rsidDel="00000000" w:rsidP="00000000" w:rsidRDefault="00000000" w:rsidRPr="00000000" w14:paraId="00000014">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5">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1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7">
      <w:pPr>
        <w:spacing w:after="0" w:line="240" w:lineRule="auto"/>
        <w:jc w:val="center"/>
        <w:rPr>
          <w:i w:val="1"/>
          <w:color w:val="002060"/>
          <w:u w:val="single"/>
        </w:rPr>
      </w:pPr>
      <w:r w:rsidDel="00000000" w:rsidR="00000000" w:rsidRPr="00000000">
        <w:rPr>
          <w:i w:val="1"/>
          <w:color w:val="002060"/>
          <w:u w:val="single"/>
          <w:rtl w:val="0"/>
        </w:rPr>
        <w:t xml:space="preserve">Este itinerario es orientativo y puede sufrir modificaciones por razones operativas o logísticas.</w:t>
      </w:r>
    </w:p>
    <w:p w:rsidR="00000000" w:rsidDel="00000000" w:rsidP="00000000" w:rsidRDefault="00000000" w:rsidRPr="00000000" w14:paraId="00000018">
      <w:pPr>
        <w:spacing w:after="0" w:line="240" w:lineRule="auto"/>
        <w:jc w:val="both"/>
        <w:rPr>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A">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B">
      <w:pPr>
        <w:spacing w:after="0" w:line="240" w:lineRule="auto"/>
        <w:jc w:val="both"/>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 llegada en servicio regular: aeropuerto LIM - hotel seleccionado (noviembre 28, 2025).</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Alojamiento 2 noches en Lima en el hotel seleccionado.</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Desayuno diario en el hotel.</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Traslados en servicio regular: hotel - estadio - hotel.</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Entrada a la final de Copa Libertadores en categoría 3 (noviembre 29, 2025).</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Traslado de salida en servicio regular: hotel seleccionado - aeropuerto LIM (noviembre 30, 2025).</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2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4">
      <w:pPr>
        <w:spacing w:after="0" w:line="240" w:lineRule="auto"/>
        <w:jc w:val="both"/>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internacionales o domésticos y tasas de aeropuerto.</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Transporte, visitas, excursiones, alimentación, etc., no mencionadas en el itinerario</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personales tales como bebidas, lavandería, llamadas telefónicas, faxes, WI-FI, Masajes/Spa, etc.</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Propina para choferes, guías, camareros en los restaurantes, etc.</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2A">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2B">
      <w:pPr>
        <w:spacing w:after="0" w:line="240" w:lineRule="auto"/>
        <w:jc w:val="center"/>
        <w:rPr>
          <w:b w:val="1"/>
          <w:color w:val="002060"/>
        </w:rPr>
      </w:pPr>
      <w:r w:rsidDel="00000000" w:rsidR="00000000" w:rsidRPr="00000000">
        <w:rPr>
          <w:b w:val="1"/>
          <w:color w:val="002060"/>
          <w:rtl w:val="0"/>
        </w:rPr>
        <w:t xml:space="preserve">TARIFA EN DÓLARES POR PERSONA 2025</w:t>
      </w:r>
    </w:p>
    <w:p w:rsidR="00000000" w:rsidDel="00000000" w:rsidP="00000000" w:rsidRDefault="00000000" w:rsidRPr="00000000" w14:paraId="0000002C">
      <w:pPr>
        <w:spacing w:after="0" w:line="240" w:lineRule="auto"/>
        <w:jc w:val="center"/>
        <w:rPr>
          <w:b w:val="1"/>
          <w:color w:val="002060"/>
        </w:rPr>
      </w:pPr>
      <w:r w:rsidDel="00000000" w:rsidR="00000000" w:rsidRPr="00000000">
        <w:rPr>
          <w:rtl w:val="0"/>
        </w:rPr>
      </w:r>
    </w:p>
    <w:tbl>
      <w:tblPr>
        <w:tblStyle w:val="Table1"/>
        <w:tblW w:w="7078.0" w:type="dxa"/>
        <w:jc w:val="center"/>
        <w:tblLayout w:type="fixed"/>
        <w:tblLook w:val="0400"/>
      </w:tblPr>
      <w:tblGrid>
        <w:gridCol w:w="3394"/>
        <w:gridCol w:w="1841"/>
        <w:gridCol w:w="1843"/>
        <w:tblGridChange w:id="0">
          <w:tblGrid>
            <w:gridCol w:w="3394"/>
            <w:gridCol w:w="1841"/>
            <w:gridCol w:w="1843"/>
          </w:tblGrid>
        </w:tblGridChange>
      </w:tblGrid>
      <w:tr>
        <w:trPr>
          <w:cantSplit w:val="0"/>
          <w:trHeight w:val="39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color w:val="ffffff"/>
              </w:rPr>
            </w:pPr>
            <w:r w:rsidDel="00000000" w:rsidR="00000000" w:rsidRPr="00000000">
              <w:rPr>
                <w:b w:val="1"/>
                <w:color w:val="ffffff"/>
                <w:rtl w:val="0"/>
              </w:rPr>
              <w:t xml:space="preserve">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E">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F">
            <w:pPr>
              <w:spacing w:after="0" w:line="240" w:lineRule="auto"/>
              <w:jc w:val="center"/>
              <w:rPr>
                <w:b w:val="1"/>
                <w:color w:val="ffffff"/>
              </w:rPr>
            </w:pPr>
            <w:r w:rsidDel="00000000" w:rsidR="00000000" w:rsidRPr="00000000">
              <w:rPr>
                <w:b w:val="1"/>
                <w:color w:val="ffffff"/>
                <w:rtl w:val="0"/>
              </w:rPr>
              <w:t xml:space="preserve">DOBLE</w:t>
            </w:r>
          </w:p>
        </w:tc>
      </w:tr>
      <w:tr>
        <w:trPr>
          <w:cantSplit w:val="0"/>
          <w:trHeight w:val="53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color w:val="002060"/>
              </w:rPr>
            </w:pPr>
            <w:r w:rsidDel="00000000" w:rsidR="00000000" w:rsidRPr="00000000">
              <w:rPr>
                <w:color w:val="002060"/>
                <w:rtl w:val="0"/>
              </w:rPr>
              <w:t xml:space="preserve">W2 Apartments (Edificio Diez Canseco)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1.565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b w:val="1"/>
                <w:color w:val="002060"/>
              </w:rPr>
            </w:pPr>
            <w:r w:rsidDel="00000000" w:rsidR="00000000" w:rsidRPr="00000000">
              <w:rPr>
                <w:b w:val="1"/>
                <w:color w:val="002060"/>
                <w:rtl w:val="0"/>
              </w:rPr>
              <w:t xml:space="preserve">1.415 USD</w:t>
            </w:r>
          </w:p>
        </w:tc>
      </w:tr>
      <w:tr>
        <w:trPr>
          <w:cantSplit w:val="0"/>
          <w:trHeight w:val="5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3">
            <w:pPr>
              <w:spacing w:after="0" w:line="240" w:lineRule="auto"/>
              <w:jc w:val="center"/>
              <w:rPr>
                <w:color w:val="002060"/>
              </w:rPr>
            </w:pPr>
            <w:r w:rsidDel="00000000" w:rsidR="00000000" w:rsidRPr="00000000">
              <w:rPr>
                <w:color w:val="002060"/>
                <w:rtl w:val="0"/>
              </w:rPr>
              <w:t xml:space="preserve">Dazzler by Wyndham Lima San Isidro 4* o similar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2.109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1.555 USD</w:t>
            </w:r>
          </w:p>
        </w:tc>
      </w:tr>
      <w:tr>
        <w:trPr>
          <w:cantSplit w:val="0"/>
          <w:trHeight w:val="53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Sonesta Hotel El Olivar 4* o similar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2.640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center"/>
              <w:rPr>
                <w:color w:val="002060"/>
              </w:rPr>
            </w:pPr>
            <w:r w:rsidDel="00000000" w:rsidR="00000000" w:rsidRPr="00000000">
              <w:rPr>
                <w:color w:val="002060"/>
                <w:rtl w:val="0"/>
              </w:rPr>
              <w:t xml:space="preserve">1.805 USD</w:t>
            </w:r>
          </w:p>
        </w:tc>
      </w:tr>
      <w:tr>
        <w:trPr>
          <w:cantSplit w:val="0"/>
          <w:trHeight w:val="53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DoubleTree by Hilton Lima Miraflores El Pardo 5* o similar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3.109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2.275 USD</w:t>
            </w:r>
          </w:p>
        </w:tc>
      </w:tr>
    </w:tbl>
    <w:p w:rsidR="00000000" w:rsidDel="00000000" w:rsidP="00000000" w:rsidRDefault="00000000" w:rsidRPr="00000000" w14:paraId="0000003C">
      <w:pPr>
        <w:spacing w:after="0" w:line="240" w:lineRule="auto"/>
        <w:jc w:val="center"/>
        <w:rPr>
          <w:i w:val="1"/>
          <w:color w:val="002060"/>
        </w:rPr>
      </w:pPr>
      <w:r w:rsidDel="00000000" w:rsidR="00000000" w:rsidRPr="00000000">
        <w:rPr>
          <w:i w:val="1"/>
          <w:color w:val="002060"/>
          <w:rtl w:val="0"/>
        </w:rPr>
        <w:t xml:space="preserve">***Tarifas Por Persona En Dólares Americanos. Sujetas A Disponibilidad***</w:t>
      </w:r>
    </w:p>
    <w:p w:rsidR="00000000" w:rsidDel="00000000" w:rsidP="00000000" w:rsidRDefault="00000000" w:rsidRPr="00000000" w14:paraId="0000003D">
      <w:pPr>
        <w:spacing w:after="0" w:line="240" w:lineRule="auto"/>
        <w:jc w:val="center"/>
        <w:rPr>
          <w:i w:val="1"/>
          <w:color w:val="002060"/>
        </w:rPr>
      </w:pPr>
      <w:r w:rsidDel="00000000" w:rsidR="00000000" w:rsidRPr="00000000">
        <w:rPr>
          <w:rtl w:val="0"/>
        </w:rPr>
      </w:r>
    </w:p>
    <w:tbl>
      <w:tblPr>
        <w:tblStyle w:val="Table2"/>
        <w:tblW w:w="5380.0" w:type="dxa"/>
        <w:jc w:val="center"/>
        <w:tblLayout w:type="fixed"/>
        <w:tblLook w:val="0400"/>
      </w:tblPr>
      <w:tblGrid>
        <w:gridCol w:w="3100"/>
        <w:gridCol w:w="2280"/>
        <w:tblGridChange w:id="0">
          <w:tblGrid>
            <w:gridCol w:w="3100"/>
            <w:gridCol w:w="2280"/>
          </w:tblGrid>
        </w:tblGridChange>
      </w:tblGrid>
      <w:tr>
        <w:trPr>
          <w:cantSplit w:val="0"/>
          <w:trHeight w:val="285" w:hRule="atLeast"/>
          <w:tblHeader w:val="0"/>
        </w:trPr>
        <w:tc>
          <w:tcPr>
            <w:gridSpan w:val="2"/>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E">
            <w:pPr>
              <w:spacing w:after="0" w:line="240" w:lineRule="auto"/>
              <w:jc w:val="center"/>
              <w:rPr>
                <w:b w:val="1"/>
                <w:color w:val="ffffff"/>
              </w:rPr>
            </w:pPr>
            <w:r w:rsidDel="00000000" w:rsidR="00000000" w:rsidRPr="00000000">
              <w:rPr>
                <w:b w:val="1"/>
                <w:color w:val="ffffff"/>
                <w:rtl w:val="0"/>
              </w:rPr>
              <w:t xml:space="preserve">SUPLEMENTO POR CAMBIO DE ENTRADAS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sz w:val="20"/>
                <w:szCs w:val="20"/>
              </w:rPr>
            </w:pPr>
            <w:r w:rsidDel="00000000" w:rsidR="00000000" w:rsidRPr="00000000">
              <w:rPr>
                <w:color w:val="002060"/>
                <w:sz w:val="20"/>
                <w:szCs w:val="20"/>
                <w:rtl w:val="0"/>
              </w:rPr>
              <w:t xml:space="preserve">Categoría 1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81 USD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002060"/>
                <w:sz w:val="20"/>
                <w:szCs w:val="20"/>
              </w:rPr>
            </w:pPr>
            <w:r w:rsidDel="00000000" w:rsidR="00000000" w:rsidRPr="00000000">
              <w:rPr>
                <w:color w:val="002060"/>
                <w:sz w:val="20"/>
                <w:szCs w:val="20"/>
                <w:rtl w:val="0"/>
              </w:rPr>
              <w:t xml:space="preserve">Categoría 2</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468 USD</w:t>
            </w:r>
          </w:p>
        </w:tc>
      </w:tr>
    </w:tbl>
    <w:p w:rsidR="00000000" w:rsidDel="00000000" w:rsidP="00000000" w:rsidRDefault="00000000" w:rsidRPr="00000000" w14:paraId="00000044">
      <w:pPr>
        <w:spacing w:after="0" w:line="240" w:lineRule="auto"/>
        <w:jc w:val="center"/>
        <w:rPr>
          <w:i w:val="1"/>
          <w:color w:val="002060"/>
        </w:rPr>
      </w:pPr>
      <w:r w:rsidDel="00000000" w:rsidR="00000000" w:rsidRPr="00000000">
        <w:rPr>
          <w:i w:val="1"/>
          <w:color w:val="002060"/>
          <w:rtl w:val="0"/>
        </w:rPr>
        <w:t xml:space="preserve">** Precios A Reconfirmar Al Momento De La Reserva**</w:t>
      </w:r>
    </w:p>
    <w:p w:rsidR="00000000" w:rsidDel="00000000" w:rsidP="00000000" w:rsidRDefault="00000000" w:rsidRPr="00000000" w14:paraId="00000045">
      <w:pPr>
        <w:spacing w:after="0" w:line="240" w:lineRule="auto"/>
        <w:rPr>
          <w:b w:val="1"/>
          <w:color w:val="002060"/>
        </w:rPr>
      </w:pPr>
      <w:r w:rsidDel="00000000" w:rsidR="00000000" w:rsidRPr="00000000">
        <w:rPr>
          <w:rtl w:val="0"/>
        </w:rPr>
      </w:r>
    </w:p>
    <w:p w:rsidR="00000000" w:rsidDel="00000000" w:rsidP="00000000" w:rsidRDefault="00000000" w:rsidRPr="00000000" w14:paraId="00000046">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after="0" w:line="240" w:lineRule="auto"/>
        <w:rPr>
          <w:b w:val="1"/>
          <w:color w:val="002060"/>
        </w:rPr>
      </w:pPr>
      <w:r w:rsidDel="00000000" w:rsidR="00000000" w:rsidRPr="00000000">
        <w:rPr>
          <w:b w:val="1"/>
          <w:color w:val="002060"/>
          <w:rtl w:val="0"/>
        </w:rPr>
        <w:t xml:space="preserve">QUÉ TRAER:</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pacing w:after="0" w:lineRule="auto"/>
        <w:ind w:left="851" w:hanging="425"/>
        <w:rPr>
          <w:color w:val="002060"/>
        </w:rPr>
      </w:pPr>
      <w:r w:rsidDel="00000000" w:rsidR="00000000" w:rsidRPr="00000000">
        <w:rPr>
          <w:color w:val="002060"/>
          <w:rtl w:val="0"/>
        </w:rPr>
        <w:t xml:space="preserve">Camisetas de manga corta.</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Rule="auto"/>
        <w:ind w:left="851" w:hanging="425"/>
        <w:jc w:val="both"/>
        <w:rPr>
          <w:color w:val="002060"/>
        </w:rPr>
      </w:pPr>
      <w:r w:rsidDel="00000000" w:rsidR="00000000" w:rsidRPr="00000000">
        <w:rPr>
          <w:color w:val="002060"/>
          <w:rtl w:val="0"/>
        </w:rPr>
        <w:t xml:space="preserve">Camisa de manga larga. La radiación solar en la altura es alta. Proteja su piel.</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pacing w:after="0" w:lineRule="auto"/>
        <w:ind w:left="851" w:hanging="425"/>
        <w:jc w:val="both"/>
        <w:rPr>
          <w:color w:val="002060"/>
        </w:rPr>
      </w:pPr>
      <w:r w:rsidDel="00000000" w:rsidR="00000000" w:rsidRPr="00000000">
        <w:rPr>
          <w:color w:val="002060"/>
          <w:rtl w:val="0"/>
        </w:rPr>
        <w:t xml:space="preserve">Bloqueador solar.</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pacing w:after="0" w:lineRule="auto"/>
        <w:ind w:left="851" w:hanging="425"/>
        <w:jc w:val="both"/>
        <w:rPr>
          <w:color w:val="002060"/>
        </w:rPr>
      </w:pPr>
      <w:r w:rsidDel="00000000" w:rsidR="00000000" w:rsidRPr="00000000">
        <w:rPr>
          <w:color w:val="002060"/>
          <w:rtl w:val="0"/>
        </w:rPr>
        <w:t xml:space="preserve">Lentes de sol.</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pacing w:after="0" w:lineRule="auto"/>
        <w:ind w:left="851" w:hanging="425"/>
        <w:jc w:val="both"/>
        <w:rPr>
          <w:color w:val="002060"/>
        </w:rPr>
      </w:pPr>
      <w:r w:rsidDel="00000000" w:rsidR="00000000" w:rsidRPr="00000000">
        <w:rPr>
          <w:color w:val="002060"/>
          <w:rtl w:val="0"/>
        </w:rPr>
        <w:t xml:space="preserve">Gorra o sombrero. En los mercados artesanales también puede adquirirlo y contribuir con la economía local.</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after="0" w:lineRule="auto"/>
        <w:ind w:left="851" w:hanging="425"/>
        <w:jc w:val="both"/>
        <w:rPr>
          <w:color w:val="002060"/>
        </w:rPr>
      </w:pPr>
      <w:r w:rsidDel="00000000" w:rsidR="00000000" w:rsidRPr="00000000">
        <w:rPr>
          <w:color w:val="002060"/>
          <w:rtl w:val="0"/>
        </w:rPr>
        <w:t xml:space="preserve">Ropa de abrigo para la noche. Bufanda.</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Rule="auto"/>
        <w:ind w:left="851" w:hanging="425"/>
        <w:rPr>
          <w:color w:val="002060"/>
        </w:rPr>
      </w:pPr>
      <w:r w:rsidDel="00000000" w:rsidR="00000000" w:rsidRPr="00000000">
        <w:rPr>
          <w:color w:val="002060"/>
          <w:rtl w:val="0"/>
        </w:rPr>
        <w:t xml:space="preserve">Ropa de baño.</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Rule="auto"/>
        <w:ind w:left="851" w:hanging="425"/>
        <w:jc w:val="both"/>
        <w:rPr>
          <w:color w:val="002060"/>
        </w:rPr>
      </w:pPr>
      <w:r w:rsidDel="00000000" w:rsidR="00000000" w:rsidRPr="00000000">
        <w:rPr>
          <w:color w:val="002060"/>
          <w:rtl w:val="0"/>
        </w:rPr>
        <w:t xml:space="preserve">Calzado confortable para caminar. Zapatillas de trekking.</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Rule="auto"/>
        <w:ind w:left="851" w:hanging="425"/>
        <w:jc w:val="both"/>
        <w:rPr>
          <w:color w:val="002060"/>
        </w:rPr>
      </w:pPr>
      <w:r w:rsidDel="00000000" w:rsidR="00000000" w:rsidRPr="00000000">
        <w:rPr>
          <w:color w:val="002060"/>
          <w:rtl w:val="0"/>
        </w:rPr>
        <w:t xml:space="preserve">Impermeable para lluvia, en la estación de noviembre a marzo. Evite adquirir impermeables de un solo uso.</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Rule="auto"/>
        <w:ind w:left="851" w:hanging="425"/>
        <w:jc w:val="both"/>
        <w:rPr>
          <w:b w:val="1"/>
          <w:color w:val="002060"/>
        </w:rPr>
      </w:pPr>
      <w:r w:rsidDel="00000000" w:rsidR="00000000" w:rsidRPr="00000000">
        <w:rPr>
          <w:color w:val="002060"/>
          <w:rtl w:val="0"/>
        </w:rPr>
        <w:t xml:space="preserve">Botella reusable para agua. Varios hoteles cuentan con filtros de agua disponibles para rellenar sus botellas reusables. Apoyamos la reducción de uso de botellas plásticas de un solo uso.</w:t>
      </w:r>
      <w:r w:rsidDel="00000000" w:rsidR="00000000" w:rsidRPr="00000000">
        <w:rPr>
          <w:rtl w:val="0"/>
        </w:rPr>
      </w:r>
    </w:p>
    <w:p w:rsidR="00000000" w:rsidDel="00000000" w:rsidP="00000000" w:rsidRDefault="00000000" w:rsidRPr="00000000" w14:paraId="00000052">
      <w:pPr>
        <w:spacing w:after="0" w:lineRule="auto"/>
        <w:jc w:val="both"/>
        <w:rPr>
          <w:b w:val="1"/>
          <w:color w:val="1f3864"/>
        </w:rPr>
      </w:pPr>
      <w:r w:rsidDel="00000000" w:rsidR="00000000" w:rsidRPr="00000000">
        <w:rPr>
          <w:rtl w:val="0"/>
        </w:rPr>
      </w:r>
    </w:p>
    <w:p w:rsidR="00000000" w:rsidDel="00000000" w:rsidP="00000000" w:rsidRDefault="00000000" w:rsidRPr="00000000" w14:paraId="00000053">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54">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55">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56">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57">
      <w:pPr>
        <w:numPr>
          <w:ilvl w:val="0"/>
          <w:numId w:val="4"/>
        </w:numPr>
        <w:tabs>
          <w:tab w:val="left" w:leader="none" w:pos="567"/>
        </w:tabs>
        <w:spacing w:after="0" w:line="240" w:lineRule="auto"/>
        <w:ind w:left="567" w:hanging="425"/>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58">
      <w:pPr>
        <w:numPr>
          <w:ilvl w:val="0"/>
          <w:numId w:val="4"/>
        </w:numPr>
        <w:tabs>
          <w:tab w:val="left" w:leader="none" w:pos="567"/>
        </w:tabs>
        <w:spacing w:after="0" w:line="240" w:lineRule="auto"/>
        <w:ind w:left="567" w:hanging="425"/>
        <w:jc w:val="both"/>
        <w:rPr>
          <w:b w:val="1"/>
          <w:color w:val="1f3864"/>
        </w:rPr>
      </w:pPr>
      <w:r w:rsidDel="00000000" w:rsidR="00000000" w:rsidRPr="00000000">
        <w:rPr>
          <w:color w:val="1f3864"/>
          <w:rtl w:val="0"/>
        </w:rPr>
        <w:t xml:space="preserve">La fecha y sede de los festivales pueden variar, Tropitours.co no es responsable por los cambios que pueda realizar la organización.</w:t>
      </w:r>
      <w:r w:rsidDel="00000000" w:rsidR="00000000" w:rsidRPr="00000000">
        <w:rPr>
          <w:rtl w:val="0"/>
        </w:rPr>
      </w:r>
    </w:p>
    <w:p w:rsidR="00000000" w:rsidDel="00000000" w:rsidP="00000000" w:rsidRDefault="00000000" w:rsidRPr="00000000" w14:paraId="00000059">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Los tickets adquiridos para eventos deportivos serán entregados o enviados al pasajero en un plazo de hasta 3 horas antes del inicio del evento.</w:t>
      </w:r>
    </w:p>
    <w:p w:rsidR="00000000" w:rsidDel="00000000" w:rsidP="00000000" w:rsidRDefault="00000000" w:rsidRPr="00000000" w14:paraId="0000005A">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Se recomienda que el cliente confirme la recepción de los tickets a través del medio de envío disponible para garantizar su correcta entrega antes del evento.</w:t>
      </w:r>
    </w:p>
    <w:p w:rsidR="00000000" w:rsidDel="00000000" w:rsidP="00000000" w:rsidRDefault="00000000" w:rsidRPr="00000000" w14:paraId="0000005B">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Solo se garantiza zona y/o categoría, sin sector, sin fila, sin asientos ni ubicación específica salvo los casos que se especifique lo contrario.</w:t>
      </w:r>
    </w:p>
    <w:p w:rsidR="00000000" w:rsidDel="00000000" w:rsidP="00000000" w:rsidRDefault="00000000" w:rsidRPr="00000000" w14:paraId="0000005C">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5D">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5E">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5F">
      <w:pPr>
        <w:numPr>
          <w:ilvl w:val="0"/>
          <w:numId w:val="4"/>
        </w:numPr>
        <w:tabs>
          <w:tab w:val="left" w:leader="none" w:pos="567"/>
        </w:tabs>
        <w:spacing w:after="0" w:line="240" w:lineRule="auto"/>
        <w:ind w:left="567" w:hanging="425"/>
        <w:jc w:val="both"/>
        <w:rPr>
          <w:color w:val="1f3864"/>
        </w:rPr>
      </w:pPr>
      <w:r w:rsidDel="00000000" w:rsidR="00000000" w:rsidRPr="00000000">
        <w:rPr>
          <w:color w:val="1f3864"/>
          <w:rtl w:val="0"/>
        </w:rPr>
        <w:t xml:space="preserve">La asistencia médica está sujeta a un suplemento adicional para personas mayores de 75 años. Consulta aquí las condiciones de esta asistencia: </w:t>
      </w:r>
      <w:hyperlink r:id="rId10">
        <w:r w:rsidDel="00000000" w:rsidR="00000000" w:rsidRPr="00000000">
          <w:rPr>
            <w:color w:val="467886"/>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60">
      <w:pPr>
        <w:tabs>
          <w:tab w:val="left" w:leader="none" w:pos="567"/>
        </w:tabs>
        <w:spacing w:after="0" w:line="240" w:lineRule="auto"/>
        <w:ind w:left="567" w:firstLine="0"/>
        <w:jc w:val="both"/>
        <w:rPr>
          <w:color w:val="1f3864"/>
        </w:rPr>
      </w:pPr>
      <w:r w:rsidDel="00000000" w:rsidR="00000000" w:rsidRPr="00000000">
        <w:rPr>
          <w:rtl w:val="0"/>
        </w:rPr>
      </w:r>
    </w:p>
    <w:p w:rsidR="00000000" w:rsidDel="00000000" w:rsidP="00000000" w:rsidRDefault="00000000" w:rsidRPr="00000000" w14:paraId="00000061">
      <w:pPr>
        <w:spacing w:after="0" w:lineRule="auto"/>
        <w:ind w:right="52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62">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63">
      <w:pPr>
        <w:ind w:right="520"/>
        <w:jc w:val="both"/>
        <w:rPr>
          <w:b w:val="1"/>
          <w:color w:val="1f3864"/>
        </w:rPr>
      </w:pPr>
      <w:r w:rsidDel="00000000" w:rsidR="00000000" w:rsidRPr="00000000">
        <w:rPr>
          <w:b w:val="1"/>
          <w:color w:val="1f3864"/>
          <w:rtl w:val="0"/>
        </w:rPr>
        <w:br w:type="textWrapping"/>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r w:rsidDel="00000000" w:rsidR="00000000" w:rsidRPr="00000000">
        <w:rPr>
          <w:rtl w:val="0"/>
        </w:rPr>
      </w:r>
    </w:p>
    <w:p w:rsidR="00000000" w:rsidDel="00000000" w:rsidP="00000000" w:rsidRDefault="00000000" w:rsidRPr="00000000" w14:paraId="00000064">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065">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Pasaporte con vigencia de mínimo 6 meses a partir de la fecha de viaje.</w:t>
      </w:r>
      <w:r w:rsidDel="00000000" w:rsidR="00000000" w:rsidRPr="00000000">
        <w:rPr>
          <w:rtl w:val="0"/>
        </w:rPr>
      </w:r>
    </w:p>
    <w:p w:rsidR="00000000" w:rsidDel="00000000" w:rsidP="00000000" w:rsidRDefault="00000000" w:rsidRPr="00000000" w14:paraId="00000066">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Tiquete aéreo ida y regreso.</w:t>
      </w:r>
      <w:r w:rsidDel="00000000" w:rsidR="00000000" w:rsidRPr="00000000">
        <w:rPr>
          <w:rtl w:val="0"/>
        </w:rPr>
      </w:r>
    </w:p>
    <w:p w:rsidR="00000000" w:rsidDel="00000000" w:rsidP="00000000" w:rsidRDefault="00000000" w:rsidRPr="00000000" w14:paraId="00000067">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Voucher de alojamiento y demostrar solvencia económica.</w:t>
      </w:r>
      <w:r w:rsidDel="00000000" w:rsidR="00000000" w:rsidRPr="00000000">
        <w:rPr>
          <w:rtl w:val="0"/>
        </w:rPr>
      </w:r>
    </w:p>
    <w:p w:rsidR="00000000" w:rsidDel="00000000" w:rsidP="00000000" w:rsidRDefault="00000000" w:rsidRPr="00000000" w14:paraId="00000068">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w:t>
      </w:r>
      <w:hyperlink r:id="rId11">
        <w:r w:rsidDel="00000000" w:rsidR="00000000" w:rsidRPr="00000000">
          <w:rPr>
            <w:color w:val="1155cc"/>
            <w:u w:val="single"/>
            <w:rtl w:val="0"/>
          </w:rPr>
          <w:t xml:space="preserve">https://apply.joinsherpa.com/travel-restrictions/PER?affiliateId=sherpa&amp;language=es-XL&amp;originCountry=COL</w:t>
        </w:r>
      </w:hyperlink>
      <w:r w:rsidDel="00000000" w:rsidR="00000000" w:rsidRPr="00000000">
        <w:rPr>
          <w:rtl w:val="0"/>
        </w:rPr>
      </w:r>
    </w:p>
    <w:p w:rsidR="00000000" w:rsidDel="00000000" w:rsidP="00000000" w:rsidRDefault="00000000" w:rsidRPr="00000000" w14:paraId="00000069">
      <w:pPr>
        <w:widowControl w:val="0"/>
        <w:spacing w:after="0" w:line="240" w:lineRule="auto"/>
        <w:ind w:right="520"/>
        <w:jc w:val="both"/>
        <w:rPr>
          <w:b w:val="1"/>
          <w:color w:val="1f3864"/>
          <w:sz w:val="21"/>
          <w:szCs w:val="21"/>
        </w:rPr>
      </w:pPr>
      <w:r w:rsidDel="00000000" w:rsidR="00000000" w:rsidRPr="00000000">
        <w:rPr>
          <w:rtl w:val="0"/>
        </w:rPr>
      </w:r>
    </w:p>
    <w:p w:rsidR="00000000" w:rsidDel="00000000" w:rsidP="00000000" w:rsidRDefault="00000000" w:rsidRPr="00000000" w14:paraId="0000006A">
      <w:pPr>
        <w:widowControl w:val="0"/>
        <w:spacing w:after="0" w:line="240" w:lineRule="auto"/>
        <w:ind w:right="520"/>
        <w:rPr>
          <w:b w:val="1"/>
          <w:color w:val="1f3864"/>
        </w:rPr>
      </w:pPr>
      <w:r w:rsidDel="00000000" w:rsidR="00000000" w:rsidRPr="00000000">
        <w:rPr>
          <w:b w:val="1"/>
          <w:color w:val="1f3864"/>
          <w:sz w:val="21"/>
          <w:szCs w:val="21"/>
          <w:rtl w:val="0"/>
        </w:rPr>
        <w:t xml:space="preserve">CLÁUSULA DE RESPONSABILIDAD: </w:t>
      </w:r>
      <w:hyperlink r:id="rId12">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6B">
      <w:pPr>
        <w:spacing w:after="0" w:lineRule="auto"/>
        <w:ind w:left="142" w:right="520" w:firstLine="0"/>
        <w:jc w:val="both"/>
        <w:rPr>
          <w:color w:val="1f3864"/>
        </w:rPr>
      </w:pPr>
      <w:r w:rsidDel="00000000" w:rsidR="00000000" w:rsidRPr="00000000">
        <w:rPr>
          <w:rtl w:val="0"/>
        </w:rPr>
      </w:r>
    </w:p>
    <w:p w:rsidR="00000000" w:rsidDel="00000000" w:rsidP="00000000" w:rsidRDefault="00000000" w:rsidRPr="00000000" w14:paraId="0000006C">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-219074</wp:posOffset>
          </wp:positionV>
          <wp:extent cx="7787333" cy="1014186"/>
          <wp:effectExtent b="0" l="0" r="0" t="0"/>
          <wp:wrapNone/>
          <wp:docPr id="192173808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787333" cy="101418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-1143634</wp:posOffset>
          </wp:positionH>
          <wp:positionV relativeFrom="paragraph">
            <wp:posOffset>-298449</wp:posOffset>
          </wp:positionV>
          <wp:extent cx="2168304" cy="1471100"/>
          <wp:effectExtent b="0" l="0" r="0" t="0"/>
          <wp:wrapNone/>
          <wp:docPr id="1921738091" name="image7.png"/>
          <a:graphic>
            <a:graphicData uri="http://schemas.openxmlformats.org/drawingml/2006/picture">
              <pic:pic>
                <pic:nvPicPr>
                  <pic:cNvPr id="0" name="image7.png"/>
                  <pic:cNvPicPr preferRelativeResize="0"/>
                </pic:nvPicPr>
                <pic:blipFill>
                  <a:blip r:embed="rId1"/>
                  <a:srcRect b="102" l="15420" r="14038" t="10583"/>
                  <a:stretch>
                    <a:fillRect/>
                  </a:stretch>
                </pic:blipFill>
                <pic:spPr>
                  <a:xfrm>
                    <a:off x="0" y="0"/>
                    <a:ext cx="2168304" cy="147110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-584834</wp:posOffset>
          </wp:positionH>
          <wp:positionV relativeFrom="paragraph">
            <wp:posOffset>3771900</wp:posOffset>
          </wp:positionV>
          <wp:extent cx="361950" cy="2311400"/>
          <wp:effectExtent b="0" l="0" r="0" t="0"/>
          <wp:wrapNone/>
          <wp:docPr id="192173809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361950" cy="23114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-1104897</wp:posOffset>
          </wp:positionH>
          <wp:positionV relativeFrom="paragraph">
            <wp:posOffset>-457197</wp:posOffset>
          </wp:positionV>
          <wp:extent cx="8016875" cy="955040"/>
          <wp:effectExtent b="0" l="0" r="0" t="0"/>
          <wp:wrapSquare wrapText="bothSides" distB="0" distT="0" distL="114300" distR="114300"/>
          <wp:docPr id="1921738090"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8016875" cy="9550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character" w:styleId="Mencinsinresolver">
    <w:name w:val="Unresolved Mention"/>
    <w:basedOn w:val="Fuentedeprrafopredeter"/>
    <w:uiPriority w:val="99"/>
    <w:semiHidden w:val="1"/>
    <w:unhideWhenUsed w:val="1"/>
    <w:rsid w:val="00F43C2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PER?affiliateId=sherpa&amp;language=es-XL&amp;originCountry=COL" TargetMode="External"/><Relationship Id="rId10" Type="http://schemas.openxmlformats.org/officeDocument/2006/relationships/hyperlink" Target="https://drive.google.com/drive/folders/1_9FFRd5gGfajxU-PxHxnRkxOfe6-a_Im"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gR+e/nuYLAoFp27SGETgqDeA==">CgMxLjAyCWguMzBqMHpsbDgAciExOF9VVzloR19vbUI3d0VLR0VXeUt5bF9NTVB6SEZfcGk=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2024-04-30T14:44:00Z</dcterms:created>
  <dc:creator>Bea Nuñez Sabido</dc:creator>
</cp:coreProperties>
</file>