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FIN DE AÑO INVERNAL</w:t>
        <w:br w:type="textWrapping"/>
        <w:t xml:space="preserve">8D/7N</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color w:val="1f3864"/>
          <w:rtl w:val="0"/>
        </w:rPr>
        <w:t xml:space="preserve">(Toronto, Niágara, Mil Islas, Ottawa, Quebec, Costa Bauprés y Montreal)</w:t>
      </w:r>
      <w:r w:rsidDel="00000000" w:rsidR="00000000" w:rsidRPr="00000000">
        <w:rPr>
          <w:rtl w:val="0"/>
        </w:rPr>
      </w:r>
    </w:p>
    <w:p w:rsidR="00000000" w:rsidDel="00000000" w:rsidP="00000000" w:rsidRDefault="00000000" w:rsidRPr="00000000" w14:paraId="00000003">
      <w:pPr>
        <w:spacing w:after="0" w:line="240" w:lineRule="auto"/>
        <w:rPr>
          <w:color w:val="00206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ÚNICA SALIDA: </w:t>
      </w:r>
      <w:r w:rsidDel="00000000" w:rsidR="00000000" w:rsidRPr="00000000">
        <w:rPr>
          <w:color w:val="1f3864"/>
          <w:rtl w:val="0"/>
        </w:rPr>
        <w:t xml:space="preserve">27 de Diciembre del 2025 al 03 de Enero de 2026. (Min. 2 Pax)</w:t>
      </w:r>
    </w:p>
    <w:p w:rsidR="00000000" w:rsidDel="00000000" w:rsidP="00000000" w:rsidRDefault="00000000" w:rsidRPr="00000000" w14:paraId="00000005">
      <w:pPr>
        <w:pBdr>
          <w:bottom w:color="000000" w:space="7" w:sz="6" w:val="single"/>
        </w:pBdr>
        <w:rPr>
          <w:color w:val="1f3864"/>
          <w:sz w:val="2"/>
          <w:szCs w:val="2"/>
        </w:rPr>
      </w:pPr>
      <w:bookmarkStart w:colFirst="0" w:colLast="0" w:name="_heading=h.30j0zll" w:id="0"/>
      <w:bookmarkEnd w:id="0"/>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b w:val="1"/>
          <w:color w:val="002060"/>
          <w:rtl w:val="0"/>
        </w:rPr>
        <w:t xml:space="preserve">  </w:t>
      </w:r>
      <w:r w:rsidDel="00000000" w:rsidR="00000000" w:rsidRPr="00000000">
        <w:rPr/>
        <w:drawing>
          <wp:inline distB="0" distT="0" distL="0" distR="0">
            <wp:extent cx="1808753" cy="1148327"/>
            <wp:effectExtent b="0" l="0" r="0" t="0"/>
            <wp:docPr descr="Actividades para recibir el 2025 en Toronto | TorontoHispano.com" id="2145596382" name="image1.jpg"/>
            <a:graphic>
              <a:graphicData uri="http://schemas.openxmlformats.org/drawingml/2006/picture">
                <pic:pic>
                  <pic:nvPicPr>
                    <pic:cNvPr descr="Actividades para recibir el 2025 en Toronto | TorontoHispano.com" id="0" name="image1.jpg"/>
                    <pic:cNvPicPr preferRelativeResize="0"/>
                  </pic:nvPicPr>
                  <pic:blipFill>
                    <a:blip r:embed="rId7"/>
                    <a:srcRect b="0" l="0" r="0" t="0"/>
                    <a:stretch>
                      <a:fillRect/>
                    </a:stretch>
                  </pic:blipFill>
                  <pic:spPr>
                    <a:xfrm>
                      <a:off x="0" y="0"/>
                      <a:ext cx="1808753" cy="1148327"/>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27142" cy="1153968"/>
            <wp:effectExtent b="0" l="0" r="0" t="0"/>
            <wp:docPr descr="Qué hacer en Canadá en invierno? - Alan x el Mundo" id="2145596384" name="image6.jpg"/>
            <a:graphic>
              <a:graphicData uri="http://schemas.openxmlformats.org/drawingml/2006/picture">
                <pic:pic>
                  <pic:nvPicPr>
                    <pic:cNvPr descr="Qué hacer en Canadá en invierno? - Alan x el Mundo" id="0" name="image6.jpg"/>
                    <pic:cNvPicPr preferRelativeResize="0"/>
                  </pic:nvPicPr>
                  <pic:blipFill>
                    <a:blip r:embed="rId8"/>
                    <a:srcRect b="0" l="0" r="0" t="0"/>
                    <a:stretch>
                      <a:fillRect/>
                    </a:stretch>
                  </pic:blipFill>
                  <pic:spPr>
                    <a:xfrm>
                      <a:off x="0" y="0"/>
                      <a:ext cx="1727142" cy="1153968"/>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58636" cy="1171628"/>
            <wp:effectExtent b="0" l="0" r="0" t="0"/>
            <wp:docPr descr="Estos son los mejores eventos para celebrar el Canadá Day en Toronto | La  Portada Canadá" id="2145596383" name="image5.jpg"/>
            <a:graphic>
              <a:graphicData uri="http://schemas.openxmlformats.org/drawingml/2006/picture">
                <pic:pic>
                  <pic:nvPicPr>
                    <pic:cNvPr descr="Estos son los mejores eventos para celebrar el Canadá Day en Toronto | La  Portada Canadá" id="0" name="image5.jpg"/>
                    <pic:cNvPicPr preferRelativeResize="0"/>
                  </pic:nvPicPr>
                  <pic:blipFill>
                    <a:blip r:embed="rId9"/>
                    <a:srcRect b="0" l="0" r="0" t="0"/>
                    <a:stretch>
                      <a:fillRect/>
                    </a:stretch>
                  </pic:blipFill>
                  <pic:spPr>
                    <a:xfrm>
                      <a:off x="0" y="0"/>
                      <a:ext cx="1758636" cy="117162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br w:type="textWrapping"/>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 TORONTO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Llegada y traslado al hotel. Alojamiento.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2 TORONTO / NIÁGARA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Visita de la ciudad: el centro financiero, el antiguo y nuevo Ayuntamiento, la avenida University con sus hospitales más importantes e instituciones tradicionales, el Parlamento provincial, el distinguido barrio Yorkville y el barrio chino. Parada fotográfica para admirar la Torre CN. Salida hacia Niágara. En ruta, parada en un viñedo para una degustación del famoso vino de hielo (ice wine) y en Niagara-on-the-lake. Continuación hacia las majestuosas y famosas cataratas con parada en el mirador Table Rock. Alojamiento.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3 NIÁGARA / MIL ISLAS / OTTAWA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Ottawa. En camino recorreremos una parte de la panorámica y antigua ruta 2 atravesando la región de 1000 islas, que los indígenas llamaban “el Jardín de los Espíritus”. Continuación hacia la capital del país que sorprenderá por su bella arquitectura y geografía en el margen del río Ottawa. Al llegar, visita panorámica: la Catedral, la residencia del primer ministro, del Gobernador-General que representa a la Reina Elizabeth II, el canal Rideau que se transforma en una inmensa pista de patinaje que muchos utilizan para ir a trabajar patinando. Alojamiento.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4 OTTAWA / QUEBEC (MEDIA PENSIÓN)</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Quebec. En ruta, visita de una plantación de arces con almuerzo típico en la Cabaña de Miel de Arce Chez Dany. Alojamiento.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5">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5 QUEBEC / COSTA BEAUPRÉ / QUEBEC</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la Costa de Beaupré, en donde se recorre el camino real donde se encuentran las casas rurales más antiguas de Canadá, la famosa Basílica de Santa Ana de Beaupré y las cataratas Montmorency que con sus 83 metros de altura son más altas que las de Niágara. Regreso a Quebec y visita de ciudad: la ciudad amurallada, la parte alta y baja, la plaza de Armas, la plaza Royal y el parlamento de la provincia entre otros. Alojamiento.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6 QUEBEC / MONTREAL</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Montreal. A la llegada, visita Montreal: el Estadio Olímpico (parada fotográfica), la calle St-Laurent, el barrio de la Milla Cuadrada de Oro y el parque de Monte Real. Camino del Viejo Montreal, visita del barrio Plateau Mont Royal y la basílica de Notre Dame. Alojamiento.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7 MONTREAL</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Tiempo libre. Alojamiento.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8 MONTREAL</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Traslado al aeropuerto.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Fonts w:ascii="Times New Roman" w:cs="Times New Roman" w:eastAsia="Times New Roman" w:hAnsi="Times New Roman"/>
          <w:b w:val="1"/>
          <w:color w:val="002060"/>
          <w:sz w:val="24"/>
          <w:szCs w:val="24"/>
          <w:rtl w:val="0"/>
        </w:rPr>
        <w:t xml:space="preserve">¡</w:t>
      </w:r>
      <w:r w:rsidDel="00000000" w:rsidR="00000000" w:rsidRPr="00000000">
        <w:rPr>
          <w:b w:val="1"/>
          <w:color w:val="002060"/>
          <w:sz w:val="24"/>
          <w:szCs w:val="24"/>
          <w:rtl w:val="0"/>
        </w:rPr>
        <w:t xml:space="preserve">FIN DE NUESTROS SERVICIOS!</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25">
      <w:pPr>
        <w:spacing w:after="0" w:line="240" w:lineRule="auto"/>
        <w:jc w:val="center"/>
        <w:rPr>
          <w:b w:val="1"/>
          <w:color w:val="002060"/>
        </w:rPr>
      </w:pPr>
      <w:r w:rsidDel="00000000" w:rsidR="00000000" w:rsidRPr="00000000">
        <w:rPr>
          <w:b w:val="1"/>
          <w:color w:val="002060"/>
          <w:rtl w:val="0"/>
        </w:rPr>
        <w:t xml:space="preserve">TARIFA EN DÓLARES POR PASAJERO DESDE</w:t>
        <w:br w:type="textWrapping"/>
      </w:r>
    </w:p>
    <w:tbl>
      <w:tblPr>
        <w:tblStyle w:val="Table1"/>
        <w:tblW w:w="5485.0" w:type="dxa"/>
        <w:jc w:val="center"/>
        <w:tblLayout w:type="fixed"/>
        <w:tblLook w:val="0400"/>
      </w:tblPr>
      <w:tblGrid>
        <w:gridCol w:w="1865"/>
        <w:gridCol w:w="1860"/>
        <w:gridCol w:w="1760"/>
        <w:tblGridChange w:id="0">
          <w:tblGrid>
            <w:gridCol w:w="1865"/>
            <w:gridCol w:w="1860"/>
            <w:gridCol w:w="176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6">
            <w:pPr>
              <w:spacing w:after="0" w:line="240" w:lineRule="auto"/>
              <w:jc w:val="center"/>
              <w:rPr>
                <w:b w:val="1"/>
                <w:color w:val="ffffff"/>
              </w:rPr>
            </w:pPr>
            <w:r w:rsidDel="00000000" w:rsidR="00000000" w:rsidRPr="00000000">
              <w:rPr>
                <w:b w:val="1"/>
                <w:color w:val="ffffff"/>
                <w:rtl w:val="0"/>
              </w:rPr>
              <w:t xml:space="preserve">FECHAS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7">
            <w:pPr>
              <w:spacing w:after="0" w:line="240" w:lineRule="auto"/>
              <w:jc w:val="center"/>
              <w:rPr>
                <w:b w:val="1"/>
                <w:color w:val="ffffff"/>
              </w:rPr>
            </w:pPr>
            <w:r w:rsidDel="00000000" w:rsidR="00000000" w:rsidRPr="00000000">
              <w:rPr>
                <w:b w:val="1"/>
                <w:color w:val="ffffff"/>
                <w:rtl w:val="0"/>
              </w:rPr>
              <w:t xml:space="preserve">DBL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color w:val="ffffff"/>
              </w:rPr>
            </w:pPr>
            <w:r w:rsidDel="00000000" w:rsidR="00000000" w:rsidRPr="00000000">
              <w:rPr>
                <w:b w:val="1"/>
                <w:color w:val="ffffff"/>
                <w:rtl w:val="0"/>
              </w:rPr>
              <w:t xml:space="preserve">TPL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b w:val="1"/>
                <w:color w:val="002060"/>
                <w:u w:val="single"/>
              </w:rPr>
            </w:pPr>
            <w:r w:rsidDel="00000000" w:rsidR="00000000" w:rsidRPr="00000000">
              <w:rPr>
                <w:b w:val="1"/>
                <w:color w:val="002060"/>
                <w:u w:val="single"/>
                <w:rtl w:val="0"/>
              </w:rPr>
              <w:t xml:space="preserve">CAT 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2.005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b w:val="1"/>
                <w:color w:val="002060"/>
              </w:rPr>
            </w:pPr>
            <w:r w:rsidDel="00000000" w:rsidR="00000000" w:rsidRPr="00000000">
              <w:rPr>
                <w:b w:val="1"/>
                <w:color w:val="002060"/>
                <w:rtl w:val="0"/>
              </w:rPr>
              <w:t xml:space="preserve">1.747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center"/>
              <w:rPr>
                <w:b w:val="1"/>
                <w:color w:val="002060"/>
                <w:u w:val="single"/>
              </w:rPr>
            </w:pPr>
            <w:r w:rsidDel="00000000" w:rsidR="00000000" w:rsidRPr="00000000">
              <w:rPr>
                <w:b w:val="1"/>
                <w:color w:val="002060"/>
                <w:u w:val="single"/>
                <w:rtl w:val="0"/>
              </w:rPr>
              <w:t xml:space="preserve">CAT B</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2.483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2.179 USD</w:t>
            </w:r>
          </w:p>
        </w:tc>
      </w:tr>
    </w:tbl>
    <w:p w:rsidR="00000000" w:rsidDel="00000000" w:rsidP="00000000" w:rsidRDefault="00000000" w:rsidRPr="00000000" w14:paraId="0000002F">
      <w:pPr>
        <w:spacing w:after="0" w:line="240" w:lineRule="auto"/>
        <w:jc w:val="center"/>
        <w:rPr>
          <w:i w:val="1"/>
          <w:color w:val="002060"/>
          <w:u w:val="single"/>
        </w:rPr>
      </w:pPr>
      <w:r w:rsidDel="00000000" w:rsidR="00000000" w:rsidRPr="00000000">
        <w:rPr>
          <w:i w:val="1"/>
          <w:color w:val="002060"/>
          <w:u w:val="single"/>
          <w:rtl w:val="0"/>
        </w:rPr>
        <w:t xml:space="preserve">Tarifas dinámicas, sujetas a cambio y disponibilidad.</w:t>
      </w:r>
    </w:p>
    <w:p w:rsidR="00000000" w:rsidDel="00000000" w:rsidP="00000000" w:rsidRDefault="00000000" w:rsidRPr="00000000" w14:paraId="00000030">
      <w:pPr>
        <w:rPr>
          <w:b w:val="1"/>
          <w:color w:val="002060"/>
        </w:rPr>
      </w:pPr>
      <w:r w:rsidDel="00000000" w:rsidR="00000000" w:rsidRPr="00000000">
        <w:rPr>
          <w:rtl w:val="0"/>
        </w:rPr>
      </w:r>
    </w:p>
    <w:p w:rsidR="00000000" w:rsidDel="00000000" w:rsidP="00000000" w:rsidRDefault="00000000" w:rsidRPr="00000000" w14:paraId="00000031">
      <w:pPr>
        <w:jc w:val="center"/>
        <w:rPr>
          <w:b w:val="1"/>
          <w:color w:val="002060"/>
        </w:rPr>
      </w:pPr>
      <w:r w:rsidDel="00000000" w:rsidR="00000000" w:rsidRPr="00000000">
        <w:rPr>
          <w:b w:val="1"/>
          <w:color w:val="002060"/>
          <w:rtl w:val="0"/>
        </w:rPr>
        <w:t xml:space="preserve">HOTELES PREVISTOS O SIMILARES</w:t>
      </w:r>
    </w:p>
    <w:tbl>
      <w:tblPr>
        <w:tblStyle w:val="Table2"/>
        <w:tblW w:w="9062.0" w:type="dxa"/>
        <w:jc w:val="center"/>
        <w:tblLayout w:type="fixed"/>
        <w:tblLook w:val="0400"/>
      </w:tblPr>
      <w:tblGrid>
        <w:gridCol w:w="1408"/>
        <w:gridCol w:w="4252"/>
        <w:gridCol w:w="3402"/>
        <w:tblGridChange w:id="0">
          <w:tblGrid>
            <w:gridCol w:w="1408"/>
            <w:gridCol w:w="4252"/>
            <w:gridCol w:w="3402"/>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HOTELES 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color w:val="ffffff"/>
              </w:rPr>
            </w:pPr>
            <w:r w:rsidDel="00000000" w:rsidR="00000000" w:rsidRPr="00000000">
              <w:rPr>
                <w:b w:val="1"/>
                <w:color w:val="ffffff"/>
                <w:rtl w:val="0"/>
              </w:rPr>
              <w:t xml:space="preserve">HOTELES B</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Toronto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Chelsea (Turista 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Chelsea (Turista S)</w:t>
            </w:r>
          </w:p>
        </w:tc>
      </w:tr>
      <w:tr>
        <w:trPr>
          <w:cantSplit w:val="0"/>
          <w:trHeight w:val="4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Niágara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Wyndham Garden Niagara Falls (Turista)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Wyndham Fallsview Hotel (Primera)</w:t>
            </w:r>
          </w:p>
        </w:tc>
      </w:tr>
      <w:tr>
        <w:trPr>
          <w:cantSplit w:val="0"/>
          <w:trHeight w:val="4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Ottawa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Embassy Hotel &amp; Suites (Turista)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 Lord Elgin (Turista S)</w:t>
            </w:r>
          </w:p>
        </w:tc>
      </w:tr>
      <w:tr>
        <w:trPr>
          <w:cantSplit w:val="0"/>
          <w:trHeight w:val="132"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Quebec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Hotel Pur Quebec (Turista)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Hilton Quebec (Primera)</w:t>
            </w:r>
          </w:p>
        </w:tc>
      </w:tr>
      <w:tr>
        <w:trPr>
          <w:cantSplit w:val="0"/>
          <w:trHeight w:val="122"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Montreal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Hampton Inn Montreal Downtown (Turista 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Centre Sheraton (Primera)</w:t>
            </w:r>
          </w:p>
        </w:tc>
      </w:tr>
    </w:tbl>
    <w:p w:rsidR="00000000" w:rsidDel="00000000" w:rsidP="00000000" w:rsidRDefault="00000000" w:rsidRPr="00000000" w14:paraId="00000044">
      <w:pPr>
        <w:rPr>
          <w:b w:val="1"/>
          <w:color w:val="002060"/>
        </w:rPr>
      </w:pPr>
      <w:r w:rsidDel="00000000" w:rsidR="00000000" w:rsidRPr="00000000">
        <w:rPr>
          <w:rtl w:val="0"/>
        </w:rPr>
      </w:r>
    </w:p>
    <w:p w:rsidR="00000000" w:rsidDel="00000000" w:rsidP="00000000" w:rsidRDefault="00000000" w:rsidRPr="00000000" w14:paraId="00000045">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7 noches en régimen de alojamiento y desayuno, en hab. doble.</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1 almuerzo según itinerario.</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 hotel - aeropuerto en servicio regular en castellano.</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Guía acompañante de habla hispana/italiana durante el circuito.</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Seguro de Inclusión.</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4E">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1"/>
      <w:bookmarkEnd w:id="1"/>
      <w:r w:rsidDel="00000000" w:rsidR="00000000" w:rsidRPr="00000000">
        <w:rPr>
          <w:color w:val="002060"/>
          <w:rtl w:val="0"/>
        </w:rPr>
        <w:t xml:space="preserve">Almuerzos, cenas o tours, no especificados en el itinerario con la palabra ‘’incluido’’ al lado.</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Propinas obligatorias durante el circuito, no incluidas.</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54">
      <w:pPr>
        <w:spacing w:after="0" w:line="240" w:lineRule="auto"/>
        <w:rPr>
          <w:color w:val="002060"/>
        </w:rPr>
      </w:pPr>
      <w:r w:rsidDel="00000000" w:rsidR="00000000" w:rsidRPr="00000000">
        <w:rPr>
          <w:rtl w:val="0"/>
        </w:rPr>
      </w:r>
    </w:p>
    <w:p w:rsidR="00000000" w:rsidDel="00000000" w:rsidP="00000000" w:rsidRDefault="00000000" w:rsidRPr="00000000" w14:paraId="00000055">
      <w:pPr>
        <w:spacing w:after="0" w:lineRule="auto"/>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Es obligatorio contar con visa para Canadá.</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1f3864"/>
          <w:rtl w:val="0"/>
        </w:rPr>
        <w:t xml:space="preserve">En caso de que sea necesario (eventos, cierre de venta, disponibilidad), se utilizará un hotel de categoría similar</w:t>
      </w:r>
      <w:r w:rsidDel="00000000" w:rsidR="00000000" w:rsidRPr="00000000">
        <w:rPr>
          <w:color w:val="00206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por persona en dólares, se liquida a la TRM negociada.</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Las visitas de Toronto, Ottawa, Quebec y Montreal serán comentadas por el guía acompañante o por un guía local.</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Todo menor debe de ir acompañado por al menos un adulto de 21 años responsable de su cuidado, máximo dos menores por cada adulto.</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0">
        <w:r w:rsidDel="00000000" w:rsidR="00000000" w:rsidRPr="00000000">
          <w:rPr>
            <w:color w:val="0563c1"/>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65">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b w:val="1"/>
          <w:color w:val="002060"/>
          <w:sz w:val="14"/>
          <w:szCs w:val="14"/>
        </w:rPr>
      </w:pPr>
      <w:r w:rsidDel="00000000" w:rsidR="00000000" w:rsidRPr="00000000">
        <w:rPr>
          <w:b w:val="1"/>
          <w:color w:val="002060"/>
          <w:rtl w:val="0"/>
        </w:rPr>
        <w:t xml:space="preserve">CAMBIOS Y/O CANCELACIONES: </w:t>
        <w:br w:type="textWrapping"/>
      </w: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9">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A">
      <w:pPr>
        <w:ind w:right="520"/>
        <w:jc w:val="both"/>
        <w:rPr>
          <w:b w:val="1"/>
          <w:color w:val="1f3864"/>
        </w:rPr>
      </w:pPr>
      <w:bookmarkStart w:colFirst="0" w:colLast="0" w:name="_heading=h.gjdgxs" w:id="2"/>
      <w:bookmarkEnd w:id="2"/>
      <w:r w:rsidDel="00000000" w:rsidR="00000000" w:rsidRPr="00000000">
        <w:rPr>
          <w:b w:val="1"/>
          <w:color w:val="1f3864"/>
          <w:rtl w:val="0"/>
        </w:rPr>
        <w:t xml:space="preserve">RECOMENDACIONES:</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documentos relacionados con cualquier condición de salud en particular deben ser conocidos en caso de una emergencia.</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Camisetas y pantalones largos que absorban la humedad y mantengan el calor corporal.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Debe cubrir las orejas y ser lo suficientemente cálido para evitar la pérdida de calor. </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Bebe mucha agua para mantenerte hidratado, ya que el aire frío puede ser muy seco.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right="333"/>
        <w:rPr>
          <w:color w:val="002060"/>
          <w:sz w:val="12"/>
          <w:szCs w:val="12"/>
        </w:rPr>
      </w:pPr>
      <w:r w:rsidDel="00000000" w:rsidR="00000000" w:rsidRPr="00000000">
        <w:rPr>
          <w:b w:val="1"/>
          <w:color w:val="1f3864"/>
          <w:rtl w:val="0"/>
        </w:rPr>
        <w:t xml:space="preserve">REQUISITOS:</w:t>
        <w:br w:type="textWrapping"/>
      </w:r>
      <w:r w:rsidDel="00000000" w:rsidR="00000000" w:rsidRPr="00000000">
        <w:rPr>
          <w:rtl w:val="0"/>
        </w:rPr>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Los colombianos necesitan una visa para ingresar a Canadá con fines turísticos, de negocios o para visitar familiares.</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2060"/>
          <w:u w:val="single"/>
        </w:rPr>
      </w:pPr>
      <w:bookmarkStart w:colFirst="0" w:colLast="0" w:name="_heading=h.3znysh7" w:id="3"/>
      <w:bookmarkEnd w:id="3"/>
      <w:r w:rsidDel="00000000" w:rsidR="00000000" w:rsidRPr="00000000">
        <w:rPr>
          <w:b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9">
      <w:pPr>
        <w:ind w:right="-93"/>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-1078990</wp:posOffset>
          </wp:positionH>
          <wp:positionV relativeFrom="paragraph">
            <wp:posOffset>-633</wp:posOffset>
          </wp:positionV>
          <wp:extent cx="7809865" cy="1016000"/>
          <wp:effectExtent b="0" l="0" r="0" t="0"/>
          <wp:wrapNone/>
          <wp:docPr id="214559638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-276225</wp:posOffset>
          </wp:positionV>
          <wp:extent cx="2209800" cy="1360877"/>
          <wp:effectExtent b="0" l="0" r="0" t="0"/>
          <wp:wrapNone/>
          <wp:docPr id="2145596386" name="image3.png"/>
          <a:graphic>
            <a:graphicData uri="http://schemas.openxmlformats.org/drawingml/2006/picture">
              <pic:pic>
                <pic:nvPicPr>
                  <pic:cNvPr id="0" name="image3.png"/>
                  <pic:cNvPicPr preferRelativeResize="0"/>
                </pic:nvPicPr>
                <pic:blipFill>
                  <a:blip r:embed="rId1"/>
                  <a:srcRect b="0" l="0" r="0" t="8341"/>
                  <a:stretch>
                    <a:fillRect/>
                  </a:stretch>
                </pic:blipFill>
                <pic:spPr>
                  <a:xfrm>
                    <a:off x="0" y="0"/>
                    <a:ext cx="2209800" cy="13608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4254500</wp:posOffset>
          </wp:positionV>
          <wp:extent cx="400050" cy="2266950"/>
          <wp:effectExtent b="0" l="0" r="0" t="0"/>
          <wp:wrapNone/>
          <wp:docPr id="214559638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00050" cy="2266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-1181097</wp:posOffset>
          </wp:positionH>
          <wp:positionV relativeFrom="paragraph">
            <wp:posOffset>-457197</wp:posOffset>
          </wp:positionV>
          <wp:extent cx="8020050" cy="966788"/>
          <wp:effectExtent b="0" l="0" r="0" t="0"/>
          <wp:wrapSquare wrapText="bothSides" distB="0" distT="0" distL="114300" distR="114300"/>
          <wp:docPr id="2145596387"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8020050" cy="966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2" w:customStyle="1">
    <w:name w:val="12"/>
    <w:basedOn w:val="TableNormal1"/>
    <w:tblPr>
      <w:tblStyleRowBandSize w:val="1"/>
      <w:tblStyleColBandSize w:val="1"/>
      <w:tblCellMar>
        <w:left w:w="70.0" w:type="dxa"/>
        <w:right w:w="70.0" w:type="dxa"/>
      </w:tblCellMar>
    </w:tblPr>
  </w:style>
  <w:style w:type="table" w:styleId="11" w:customStyle="1">
    <w:name w:val="11"/>
    <w:basedOn w:val="TableNormal1"/>
    <w:tblPr>
      <w:tblStyleRowBandSize w:val="1"/>
      <w:tblStyleColBandSize w:val="1"/>
      <w:tblCellMar>
        <w:left w:w="70.0" w:type="dxa"/>
        <w:right w:w="70.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5" w:customStyle="1">
    <w:name w:val="5"/>
    <w:basedOn w:val="TableNormal2"/>
    <w:tblPr>
      <w:tblStyleRowBandSize w:val="1"/>
      <w:tblStyleColBandSize w:val="1"/>
      <w:tblCellMar>
        <w:left w:w="70.0" w:type="dxa"/>
        <w:right w:w="70.0" w:type="dxa"/>
      </w:tblCellMar>
    </w:tblPr>
  </w:style>
  <w:style w:type="table" w:styleId="4" w:customStyle="1">
    <w:name w:val="4"/>
    <w:basedOn w:val="TableNormal2"/>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F54105"/>
    <w:rPr>
      <w:color w:val="0563c1" w:themeColor="hyperlink"/>
      <w:u w:val="single"/>
    </w:rPr>
  </w:style>
  <w:style w:type="character" w:styleId="Mencinsinresolver">
    <w:name w:val="Unresolved Mention"/>
    <w:basedOn w:val="Fuentedeprrafopredeter"/>
    <w:uiPriority w:val="99"/>
    <w:semiHidden w:val="1"/>
    <w:unhideWhenUsed w:val="1"/>
    <w:rsid w:val="00F54105"/>
    <w:rPr>
      <w:color w:val="605e5c"/>
      <w:shd w:color="auto" w:fill="e1dfdd" w:val="clear"/>
    </w:rPr>
  </w:style>
  <w:style w:type="table" w:styleId="3" w:customStyle="1">
    <w:name w:val="3"/>
    <w:basedOn w:val="TableNormal3"/>
    <w:tblPr>
      <w:tblStyleRowBandSize w:val="1"/>
      <w:tblStyleColBandSize w:val="1"/>
      <w:tblCellMar>
        <w:left w:w="70.0" w:type="dxa"/>
        <w:right w:w="70.0" w:type="dxa"/>
      </w:tblCellMar>
    </w:tblPr>
  </w:style>
  <w:style w:type="table" w:styleId="2" w:customStyle="1">
    <w:name w:val="2"/>
    <w:basedOn w:val="TableNormal3"/>
    <w:tblPr>
      <w:tblStyleRowBandSize w:val="1"/>
      <w:tblStyleColBandSize w:val="1"/>
      <w:tblCellMar>
        <w:left w:w="70.0" w:type="dxa"/>
        <w:right w:w="70.0" w:type="dxa"/>
      </w:tblCellMar>
    </w:tblPr>
  </w:style>
  <w:style w:type="table" w:styleId="1" w:customStyle="1">
    <w:name w:val="1"/>
    <w:basedOn w:val="TableNormal3"/>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FcKNQsTPzUIs8MT+zJvW9JYcMg==">CgMxLjAyCWguMzBqMHpsbDIJaC4xZm9iOXRlMghoLmdqZGd4czIJaC4zem55c2g3OAByITE1OTNrUXZ6Sy1ucFdIVW9pM1ljQnNGTEszNnhYZTMyZA==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