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 DESDE MDE </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pBdr>
          <w:bottom w:color="000000" w:space="1" w:sz="6" w:val="single"/>
        </w:pBdr>
        <w:rPr>
          <w:b w:val="1"/>
          <w:bCs w:val="1"/>
          <w:color w:val="1f3864"/>
        </w:rPr>
      </w:pPr>
      <w:bookmarkStart w:colFirst="0" w:colLast="0" w:name="_heading=h.30j0zll" w:id="0"/>
      <w:bookmarkEnd w:id="0"/>
      <w:r w:rsidDel="00000000" w:rsidR="00000000" w:rsidRPr="00000000">
        <w:rPr>
          <w:b w:val="1"/>
          <w:bCs w:val="1"/>
          <w:color w:val="1f3864"/>
          <w:rtl w:val="0"/>
        </w:rPr>
        <w:br w:type="textWrapping"/>
        <w:t xml:space="preserve">SALIDA PUNTUAL:</w:t>
      </w:r>
      <w:r w:rsidDel="00000000" w:rsidR="00000000" w:rsidRPr="00000000">
        <w:rPr>
          <w:color w:val="1f3864"/>
          <w:rtl w:val="0"/>
        </w:rPr>
        <w:t xml:space="preserve"> 18 de Diciembre del 2026 al 01 de Enero del 2027.</w:t>
      </w:r>
      <w:r w:rsidDel="00000000" w:rsidR="00000000" w:rsidRPr="00000000">
        <w:rPr>
          <w:rtl w:val="0"/>
        </w:rPr>
      </w:r>
    </w:p>
    <w:p w:rsidR="00000000" w:rsidDel="00000000" w:rsidP="00000000" w:rsidRDefault="00000000" w:rsidRPr="00000000" w14:paraId="00000004">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2123175780"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7">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8">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A">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B">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D">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0E">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0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0">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1">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a explorar la ciudad. Una vez finalizado, tendrás tiempo libre para seguir descubriendo a tu ritmo o regresar al hotel para descansar.</w:t>
      </w:r>
    </w:p>
    <w:p w:rsidR="00000000" w:rsidDel="00000000" w:rsidP="00000000" w:rsidRDefault="00000000" w:rsidRPr="00000000" w14:paraId="0000001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3">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4">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5">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7">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8">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9">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A">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B">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C">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D">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1E">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1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0">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1">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típico de Murano. Visitaremos la Plaza de San Marcos, donde admirarás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2">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3">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4">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5">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6">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7">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8">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9">
      <w:pPr>
        <w:spacing w:after="0" w:line="240" w:lineRule="auto"/>
        <w:rPr>
          <w:b w:val="1"/>
          <w:bCs w:val="1"/>
          <w:color w:val="002060"/>
        </w:rPr>
      </w:pPr>
      <w:r w:rsidDel="00000000" w:rsidR="00000000" w:rsidRPr="00000000">
        <w:rPr>
          <w:b w:val="1"/>
          <w:bCs w:val="1"/>
          <w:color w:val="002060"/>
          <w:rtl w:val="0"/>
        </w:rPr>
        <w:t xml:space="preserve">DÍA 12 ROMA – MÓNACO - NIZA</w:t>
      </w:r>
    </w:p>
    <w:p w:rsidR="00000000" w:rsidDel="00000000" w:rsidP="00000000" w:rsidRDefault="00000000" w:rsidRPr="00000000" w14:paraId="0000002A">
      <w:pPr>
        <w:spacing w:after="0" w:line="240" w:lineRule="auto"/>
        <w:jc w:val="both"/>
        <w:rPr>
          <w:color w:val="002060"/>
        </w:rPr>
      </w:pPr>
      <w:r w:rsidDel="00000000" w:rsidR="00000000" w:rsidRPr="00000000">
        <w:rPr>
          <w:color w:val="002060"/>
          <w:rtl w:val="0"/>
        </w:rPr>
        <w:t xml:space="preserve">Desayuno y rumbo hacia Niza, "la joya de la Riviera Francesa". Durante el trayecto, tendrás la opción de hacer una parada en Mónaco: glamour, yates y rincones de lujo que te harán flipar. Llegada a Niza por la noche, donde el invierno le da un aire especial a la ciudad con calles llenas de luces y ambiente festivo.</w:t>
      </w:r>
    </w:p>
    <w:p w:rsidR="00000000" w:rsidDel="00000000" w:rsidP="00000000" w:rsidRDefault="00000000" w:rsidRPr="00000000" w14:paraId="0000002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C">
      <w:pPr>
        <w:spacing w:after="0" w:line="240" w:lineRule="auto"/>
        <w:rPr>
          <w:b w:val="1"/>
          <w:bCs w:val="1"/>
          <w:color w:val="002060"/>
        </w:rPr>
      </w:pPr>
      <w:r w:rsidDel="00000000" w:rsidR="00000000" w:rsidRPr="00000000">
        <w:rPr>
          <w:b w:val="1"/>
          <w:bCs w:val="1"/>
          <w:color w:val="002060"/>
          <w:rtl w:val="0"/>
        </w:rPr>
        <w:t xml:space="preserve">DÍA 13 NIZA – BARCELONA</w:t>
      </w:r>
    </w:p>
    <w:p w:rsidR="00000000" w:rsidDel="00000000" w:rsidP="00000000" w:rsidRDefault="00000000" w:rsidRPr="00000000" w14:paraId="0000002D">
      <w:pPr>
        <w:spacing w:after="0" w:line="240" w:lineRule="auto"/>
        <w:jc w:val="both"/>
        <w:rPr>
          <w:color w:val="002060"/>
        </w:rPr>
      </w:pPr>
      <w:r w:rsidDel="00000000" w:rsidR="00000000" w:rsidRPr="00000000">
        <w:rPr>
          <w:color w:val="002060"/>
          <w:rtl w:val="0"/>
        </w:rPr>
        <w:t xml:space="preserve">Exploramos el famoso Paseo de los Ingleses, el Casco Antiguo con su fiesta navideña: chalets de artesanía, luces brillantes y especialidades locales. Finalizamos el paseo en la Plaza Masséna, iluminada con decoraciones navideñas que le dan un aire mágico. Luego, nos ponemos rumbo a Barcelona: colinas verdes, pueblos pintorescos y el azul infinito del mar te robará el aliento.</w:t>
      </w:r>
    </w:p>
    <w:p w:rsidR="00000000" w:rsidDel="00000000" w:rsidP="00000000" w:rsidRDefault="00000000" w:rsidRPr="00000000" w14:paraId="0000002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F">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0">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finalizamos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2">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3">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5">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7">
      <w:pPr>
        <w:spacing w:after="0" w:lineRule="auto"/>
        <w:jc w:val="center"/>
        <w:rPr>
          <w:b w:val="1"/>
          <w:bCs w:val="1"/>
          <w:color w:val="002060"/>
        </w:rPr>
      </w:pPr>
      <w:r w:rsidDel="00000000" w:rsidR="00000000" w:rsidRPr="00000000">
        <w:rPr>
          <w:b w:val="1"/>
          <w:bCs w:val="1"/>
          <w:color w:val="002060"/>
          <w:rtl w:val="0"/>
        </w:rPr>
        <w:t xml:space="preserve">TARIFA EN PESOS COLOMBIANOS POR PERSONA</w:t>
      </w:r>
    </w:p>
    <w:p w:rsidR="00000000" w:rsidDel="00000000" w:rsidP="00000000" w:rsidRDefault="00000000" w:rsidRPr="00000000" w14:paraId="00000038">
      <w:pPr>
        <w:spacing w:after="0" w:lineRule="auto"/>
        <w:jc w:val="center"/>
        <w:rPr>
          <w:b w:val="1"/>
          <w:bCs w:val="1"/>
          <w:color w:val="ee0000"/>
          <w:sz w:val="10"/>
          <w:szCs w:val="10"/>
        </w:rPr>
      </w:pPr>
      <w:r w:rsidDel="00000000" w:rsidR="00000000" w:rsidRPr="00000000">
        <w:rPr>
          <w:rtl w:val="0"/>
        </w:rPr>
      </w:r>
    </w:p>
    <w:tbl>
      <w:tblPr>
        <w:tblStyle w:val="Table1"/>
        <w:tblW w:w="4440.0" w:type="dxa"/>
        <w:jc w:val="center"/>
        <w:tblLayout w:type="fixed"/>
        <w:tblLook w:val="0400"/>
      </w:tblPr>
      <w:tblGrid>
        <w:gridCol w:w="1480"/>
        <w:gridCol w:w="1480"/>
        <w:gridCol w:w="1480"/>
        <w:tblGridChange w:id="0">
          <w:tblGrid>
            <w:gridCol w:w="1480"/>
            <w:gridCol w:w="1480"/>
            <w:gridCol w:w="1480"/>
          </w:tblGrid>
        </w:tblGridChange>
      </w:tblGrid>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9">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DOBLE</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TRIPLE</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C">
            <w:pPr>
              <w:spacing w:after="0" w:line="240" w:lineRule="auto"/>
              <w:jc w:val="center"/>
              <w:rPr>
                <w:color w:val="002060"/>
              </w:rPr>
            </w:pPr>
            <w:r w:rsidDel="00000000" w:rsidR="00000000" w:rsidRPr="00000000">
              <w:rPr>
                <w:color w:val="002060"/>
                <w:rtl w:val="0"/>
              </w:rPr>
              <w:t xml:space="preserve">$ 16.115.000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b w:val="1"/>
                <w:bCs w:val="1"/>
                <w:color w:val="002060"/>
              </w:rPr>
            </w:pPr>
            <w:r w:rsidDel="00000000" w:rsidR="00000000" w:rsidRPr="00000000">
              <w:rPr>
                <w:b w:val="1"/>
                <w:bCs w:val="1"/>
                <w:color w:val="002060"/>
                <w:rtl w:val="0"/>
              </w:rPr>
              <w:t xml:space="preserve">$ 12.719.000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$ 12.589.000</w:t>
            </w:r>
          </w:p>
        </w:tc>
      </w:tr>
    </w:tbl>
    <w:p w:rsidR="00000000" w:rsidDel="00000000" w:rsidP="00000000" w:rsidRDefault="00000000" w:rsidRPr="00000000" w14:paraId="0000003F">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0">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Tiquete aéreo Medellin – Madrid – Medellin vía AirEuropa, según itinerario de vuelo. </w:t>
      </w:r>
    </w:p>
    <w:p w:rsidR="00000000" w:rsidDel="00000000" w:rsidP="00000000" w:rsidRDefault="00000000" w:rsidRPr="00000000" w14:paraId="0000004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Equipaje de mano y equipaje de bodega (23 kg). </w:t>
      </w:r>
    </w:p>
    <w:p w:rsidR="00000000" w:rsidDel="00000000" w:rsidP="00000000" w:rsidRDefault="00000000" w:rsidRPr="00000000" w14:paraId="0000004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Desayunos</w:t>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Visitas en Madrid, Bordeaux, Paris, Roma, Niza, Barcelona.</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4F">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0">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internacionales ni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5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after="0" w:line="240" w:lineRule="auto"/>
        <w:ind w:left="720" w:firstLine="0"/>
        <w:rPr>
          <w:b w:val="1"/>
          <w:bCs w:val="1"/>
          <w:color w:val="002060"/>
        </w:rPr>
      </w:pPr>
      <w:r w:rsidDel="00000000" w:rsidR="00000000" w:rsidRPr="00000000">
        <w:rPr>
          <w:rtl w:val="0"/>
        </w:rPr>
      </w:r>
    </w:p>
    <w:p w:rsidR="00000000" w:rsidDel="00000000" w:rsidP="00000000" w:rsidRDefault="00000000" w:rsidRPr="00000000" w14:paraId="00000056">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5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5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5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5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Gondola + Visita + Cristal del Murano</w:t>
      </w:r>
    </w:p>
    <w:p w:rsidR="00000000" w:rsidDel="00000000" w:rsidP="00000000" w:rsidRDefault="00000000" w:rsidRPr="00000000" w14:paraId="0000005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5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5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5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Montmarte</w:t>
      </w:r>
    </w:p>
    <w:p w:rsidR="00000000" w:rsidDel="00000000" w:rsidP="00000000" w:rsidRDefault="00000000" w:rsidRPr="00000000" w14:paraId="0000006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6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6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63">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64">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 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65">
      <w:pPr>
        <w:jc w:val="center"/>
        <w:rPr>
          <w:b w:val="1"/>
          <w:bCs w:val="1"/>
          <w:color w:val="002060"/>
        </w:rPr>
      </w:pPr>
      <w:r w:rsidDel="00000000" w:rsidR="00000000" w:rsidRPr="00000000">
        <w:rPr>
          <w:b w:val="1"/>
          <w:bCs w:val="1"/>
          <w:color w:val="002060"/>
          <w:rtl w:val="0"/>
        </w:rPr>
        <w:br w:type="textWrapping"/>
        <w:t xml:space="preserve">ITINERARIO AEREO PREVISTO</w:t>
      </w:r>
    </w:p>
    <w:tbl>
      <w:tblPr>
        <w:tblStyle w:val="Table2"/>
        <w:tblW w:w="8740.0" w:type="dxa"/>
        <w:jc w:val="center"/>
        <w:tblLayout w:type="fixed"/>
        <w:tblLook w:val="0400"/>
      </w:tblPr>
      <w:tblGrid>
        <w:gridCol w:w="1620"/>
        <w:gridCol w:w="1680"/>
        <w:gridCol w:w="1360"/>
        <w:gridCol w:w="1360"/>
        <w:gridCol w:w="1360"/>
        <w:gridCol w:w="1360"/>
        <w:tblGridChange w:id="0">
          <w:tblGrid>
            <w:gridCol w:w="1620"/>
            <w:gridCol w:w="1680"/>
            <w:gridCol w:w="1360"/>
            <w:gridCol w:w="1360"/>
            <w:gridCol w:w="1360"/>
            <w:gridCol w:w="1360"/>
          </w:tblGrid>
        </w:tblGridChange>
      </w:tblGrid>
      <w:tr>
        <w:trPr>
          <w:cantSplit w:val="0"/>
          <w:trHeight w:val="285"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66">
            <w:pPr>
              <w:spacing w:after="0" w:line="240" w:lineRule="auto"/>
              <w:jc w:val="center"/>
              <w:rPr>
                <w:b w:val="1"/>
                <w:bCs w:val="1"/>
                <w:color w:val="ffffff"/>
                <w:u w:val="single"/>
              </w:rPr>
            </w:pPr>
            <w:r w:rsidDel="00000000" w:rsidR="00000000" w:rsidRPr="00000000">
              <w:rPr>
                <w:b w:val="1"/>
                <w:bCs w:val="1"/>
                <w:color w:val="ffffff"/>
                <w:u w:val="single"/>
                <w:rtl w:val="0"/>
              </w:rPr>
              <w:t xml:space="preserve">VUELO</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7">
            <w:pPr>
              <w:spacing w:after="0" w:line="240" w:lineRule="auto"/>
              <w:jc w:val="center"/>
              <w:rPr>
                <w:b w:val="1"/>
                <w:bCs w:val="1"/>
                <w:color w:val="ffffff"/>
                <w:u w:val="single"/>
              </w:rPr>
            </w:pPr>
            <w:r w:rsidDel="00000000" w:rsidR="00000000" w:rsidRPr="00000000">
              <w:rPr>
                <w:b w:val="1"/>
                <w:bCs w:val="1"/>
                <w:color w:val="ffffff"/>
                <w:u w:val="single"/>
                <w:rtl w:val="0"/>
              </w:rPr>
              <w:t xml:space="preserve">FECHA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8">
            <w:pPr>
              <w:spacing w:after="0" w:line="240" w:lineRule="auto"/>
              <w:jc w:val="center"/>
              <w:rPr>
                <w:b w:val="1"/>
                <w:bCs w:val="1"/>
                <w:color w:val="ffffff"/>
                <w:u w:val="single"/>
              </w:rPr>
            </w:pPr>
            <w:r w:rsidDel="00000000" w:rsidR="00000000" w:rsidRPr="00000000">
              <w:rPr>
                <w:b w:val="1"/>
                <w:bCs w:val="1"/>
                <w:color w:val="ffffff"/>
                <w:u w:val="single"/>
                <w:rtl w:val="0"/>
              </w:rPr>
              <w:t xml:space="preserve">IDA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9">
            <w:pPr>
              <w:spacing w:after="0" w:line="240" w:lineRule="auto"/>
              <w:jc w:val="center"/>
              <w:rPr>
                <w:b w:val="1"/>
                <w:bCs w:val="1"/>
                <w:color w:val="ffffff"/>
                <w:u w:val="single"/>
              </w:rPr>
            </w:pPr>
            <w:r w:rsidDel="00000000" w:rsidR="00000000" w:rsidRPr="00000000">
              <w:rPr>
                <w:b w:val="1"/>
                <w:bCs w:val="1"/>
                <w:color w:val="ffffff"/>
                <w:u w:val="single"/>
                <w:rtl w:val="0"/>
              </w:rPr>
              <w:t xml:space="preserve">REGRESO </w:t>
            </w:r>
          </w:p>
        </w:tc>
        <w:tc>
          <w:tcPr>
            <w:tcBorders>
              <w:top w:color="000000" w:space="0" w:sz="8" w:val="single"/>
              <w:left w:color="000000" w:space="0" w:sz="0" w:val="nil"/>
              <w:bottom w:color="000000" w:space="0" w:sz="0" w:val="nil"/>
              <w:right w:color="000000" w:space="0" w:sz="0" w:val="nil"/>
            </w:tcBorders>
            <w:shd w:fill="002060" w:val="clear"/>
            <w:vAlign w:val="center"/>
          </w:tcPr>
          <w:p w:rsidR="00000000" w:rsidDel="00000000" w:rsidP="00000000" w:rsidRDefault="00000000" w:rsidRPr="00000000" w14:paraId="0000006A">
            <w:pPr>
              <w:spacing w:after="0" w:line="240" w:lineRule="auto"/>
              <w:jc w:val="center"/>
              <w:rPr>
                <w:b w:val="1"/>
                <w:bCs w:val="1"/>
                <w:color w:val="ffffff"/>
                <w:u w:val="single"/>
              </w:rPr>
            </w:pPr>
            <w:r w:rsidDel="00000000" w:rsidR="00000000" w:rsidRPr="00000000">
              <w:rPr>
                <w:b w:val="1"/>
                <w:bCs w:val="1"/>
                <w:color w:val="ffffff"/>
                <w:u w:val="single"/>
                <w:rtl w:val="0"/>
              </w:rPr>
              <w:t xml:space="preserve">ORIGEN </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6B">
            <w:pPr>
              <w:spacing w:after="0" w:line="240" w:lineRule="auto"/>
              <w:jc w:val="center"/>
              <w:rPr>
                <w:b w:val="1"/>
                <w:bCs w:val="1"/>
                <w:color w:val="ffffff"/>
                <w:u w:val="single"/>
              </w:rPr>
            </w:pPr>
            <w:r w:rsidDel="00000000" w:rsidR="00000000" w:rsidRPr="00000000">
              <w:rPr>
                <w:b w:val="1"/>
                <w:bCs w:val="1"/>
                <w:color w:val="ffffff"/>
                <w:u w:val="single"/>
                <w:rtl w:val="0"/>
              </w:rPr>
              <w:t xml:space="preserve">DESTINO</w:t>
            </w:r>
          </w:p>
        </w:tc>
      </w:tr>
      <w:tr>
        <w:trPr>
          <w:cantSplit w:val="0"/>
          <w:trHeight w:val="285" w:hRule="atLeast"/>
          <w:tblHeader w:val="0"/>
        </w:trPr>
        <w:tc>
          <w:tcPr>
            <w:tcBorders>
              <w:top w:color="000000" w:space="0" w:sz="8" w:val="single"/>
              <w:left w:color="000000" w:space="0" w:sz="8" w:val="single"/>
              <w:bottom w:color="000000" w:space="0" w:sz="8" w:val="single"/>
              <w:right w:color="000000" w:space="0" w:sz="8" w:val="single"/>
            </w:tcBorders>
            <w:vAlign w:val="center"/>
          </w:tcPr>
          <w:p w:rsidR="00000000" w:rsidDel="00000000" w:rsidP="00000000" w:rsidRDefault="00000000" w:rsidRPr="00000000" w14:paraId="0000006C">
            <w:pPr>
              <w:spacing w:after="0" w:line="240" w:lineRule="auto"/>
              <w:jc w:val="center"/>
              <w:rPr>
                <w:color w:val="002060"/>
              </w:rPr>
            </w:pPr>
            <w:r w:rsidDel="00000000" w:rsidR="00000000" w:rsidRPr="00000000">
              <w:rPr>
                <w:color w:val="002060"/>
                <w:rtl w:val="0"/>
              </w:rPr>
              <w:t xml:space="preserve">UX 0198</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17/12/2026</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21:50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6F">
            <w:pPr>
              <w:spacing w:after="0" w:line="240" w:lineRule="auto"/>
              <w:jc w:val="center"/>
              <w:rPr>
                <w:color w:val="002060"/>
              </w:rPr>
            </w:pPr>
            <w:r w:rsidDel="00000000" w:rsidR="00000000" w:rsidRPr="00000000">
              <w:rPr>
                <w:color w:val="002060"/>
                <w:rtl w:val="0"/>
              </w:rPr>
              <w:t xml:space="preserve">13:20</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0">
            <w:pPr>
              <w:spacing w:after="0" w:line="240" w:lineRule="auto"/>
              <w:jc w:val="center"/>
              <w:rPr>
                <w:color w:val="002060"/>
              </w:rPr>
            </w:pPr>
            <w:r w:rsidDel="00000000" w:rsidR="00000000" w:rsidRPr="00000000">
              <w:rPr>
                <w:color w:val="002060"/>
                <w:rtl w:val="0"/>
              </w:rPr>
              <w:t xml:space="preserve">MDE</w:t>
            </w:r>
          </w:p>
        </w:tc>
        <w:tc>
          <w:tcPr>
            <w:tcBorders>
              <w:top w:color="000000" w:space="0" w:sz="8" w:val="single"/>
              <w:left w:color="000000" w:space="0" w:sz="0" w:val="nil"/>
              <w:bottom w:color="000000" w:space="0" w:sz="8" w:val="single"/>
              <w:right w:color="000000" w:space="0" w:sz="8" w:val="single"/>
            </w:tcBorders>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MAD</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UX 0199</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3">
            <w:pPr>
              <w:spacing w:after="0" w:line="240" w:lineRule="auto"/>
              <w:jc w:val="center"/>
              <w:rPr>
                <w:color w:val="002060"/>
              </w:rPr>
            </w:pPr>
            <w:r w:rsidDel="00000000" w:rsidR="00000000" w:rsidRPr="00000000">
              <w:rPr>
                <w:color w:val="002060"/>
                <w:rtl w:val="0"/>
              </w:rPr>
              <w:t xml:space="preserve">01/01/2027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4">
            <w:pPr>
              <w:spacing w:after="0" w:line="240" w:lineRule="auto"/>
              <w:jc w:val="center"/>
              <w:rPr>
                <w:color w:val="002060"/>
              </w:rPr>
            </w:pPr>
            <w:r w:rsidDel="00000000" w:rsidR="00000000" w:rsidRPr="00000000">
              <w:rPr>
                <w:color w:val="002060"/>
                <w:rtl w:val="0"/>
              </w:rPr>
              <w:t xml:space="preserve">15:20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19:50</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MAD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002060"/>
              </w:rPr>
            </w:pPr>
            <w:r w:rsidDel="00000000" w:rsidR="00000000" w:rsidRPr="00000000">
              <w:rPr>
                <w:color w:val="002060"/>
                <w:rtl w:val="0"/>
              </w:rPr>
              <w:t xml:space="preserve">MDE</w:t>
            </w:r>
          </w:p>
        </w:tc>
      </w:tr>
    </w:tbl>
    <w:p w:rsidR="00000000" w:rsidDel="00000000" w:rsidP="00000000" w:rsidRDefault="00000000" w:rsidRPr="00000000" w14:paraId="00000078">
      <w:pPr>
        <w:rPr>
          <w:b w:val="1"/>
          <w:bCs w:val="1"/>
          <w:color w:val="002060"/>
        </w:rPr>
      </w:pPr>
      <w:r w:rsidDel="00000000" w:rsidR="00000000" w:rsidRPr="00000000">
        <w:rPr>
          <w:rtl w:val="0"/>
        </w:rPr>
      </w:r>
    </w:p>
    <w:p w:rsidR="00000000" w:rsidDel="00000000" w:rsidP="00000000" w:rsidRDefault="00000000" w:rsidRPr="00000000" w14:paraId="00000079">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7A">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7B">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7C">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6">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7">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8">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9">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A">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B">
            <w:pPr>
              <w:spacing w:after="0" w:line="240" w:lineRule="auto"/>
              <w:jc w:val="center"/>
              <w:rPr>
                <w:color w:val="002060"/>
              </w:rPr>
            </w:pPr>
            <w:r w:rsidDel="00000000" w:rsidR="00000000" w:rsidRPr="00000000">
              <w:rPr>
                <w:color w:val="002060"/>
                <w:rtl w:val="0"/>
              </w:rPr>
              <w:t xml:space="preserve">Niza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8C">
            <w:pPr>
              <w:spacing w:after="0" w:line="240" w:lineRule="auto"/>
              <w:jc w:val="center"/>
              <w:rPr>
                <w:i w:val="1"/>
                <w:iCs w:val="1"/>
                <w:color w:val="002060"/>
              </w:rPr>
            </w:pPr>
            <w:r w:rsidDel="00000000" w:rsidR="00000000" w:rsidRPr="00000000">
              <w:rPr>
                <w:i w:val="1"/>
                <w:iCs w:val="1"/>
                <w:color w:val="002060"/>
                <w:rtl w:val="0"/>
              </w:rPr>
              <w:t xml:space="preserve">Por confirmar</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8D">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E">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8F">
      <w:pPr>
        <w:spacing w:after="0" w:lineRule="auto"/>
        <w:ind w:left="720" w:hanging="720"/>
        <w:jc w:val="both"/>
        <w:rPr>
          <w:b w:val="1"/>
          <w:bCs w:val="1"/>
          <w:color w:val="1f3864"/>
        </w:rPr>
      </w:pPr>
      <w:r w:rsidDel="00000000" w:rsidR="00000000" w:rsidRPr="00000000">
        <w:rPr>
          <w:rtl w:val="0"/>
        </w:rPr>
      </w:r>
    </w:p>
    <w:p w:rsidR="00000000" w:rsidDel="00000000" w:rsidP="00000000" w:rsidRDefault="00000000" w:rsidRPr="00000000" w14:paraId="00000090">
      <w:pPr>
        <w:spacing w:after="0" w:lineRule="auto"/>
        <w:ind w:left="720" w:hanging="720"/>
        <w:jc w:val="both"/>
        <w:rPr>
          <w:b w:val="1"/>
          <w:bCs w:val="1"/>
          <w:color w:val="1f3864"/>
        </w:rPr>
      </w:pPr>
      <w:r w:rsidDel="00000000" w:rsidR="00000000" w:rsidRPr="00000000">
        <w:rPr>
          <w:b w:val="1"/>
          <w:bCs w:val="1"/>
          <w:color w:val="1f3864"/>
          <w:rtl w:val="0"/>
        </w:rPr>
        <w:t xml:space="preserve"> CONDICIONES:</w:t>
      </w:r>
    </w:p>
    <w:p w:rsidR="00000000" w:rsidDel="00000000" w:rsidP="00000000" w:rsidRDefault="00000000" w:rsidRPr="00000000" w14:paraId="00000091">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92">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color w:val="1f3864"/>
          <w:rtl w:val="0"/>
        </w:rPr>
        <w:t xml:space="preserve">Para garantía de reserva se requiere un depósito del 30% del valor del paquete por persona.</w:t>
      </w:r>
      <w:r w:rsidDel="00000000" w:rsidR="00000000" w:rsidRPr="00000000">
        <w:rPr>
          <w:rtl w:val="0"/>
        </w:rPr>
      </w:r>
    </w:p>
    <w:p w:rsidR="00000000" w:rsidDel="00000000" w:rsidP="00000000" w:rsidRDefault="00000000" w:rsidRPr="00000000" w14:paraId="00000093">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60 días previos a la fecha de viaje.</w:t>
      </w:r>
    </w:p>
    <w:p w:rsidR="00000000" w:rsidDel="00000000" w:rsidP="00000000" w:rsidRDefault="00000000" w:rsidRPr="00000000" w14:paraId="00000094">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95">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96">
      <w:pPr>
        <w:numPr>
          <w:ilvl w:val="0"/>
          <w:numId w:val="4"/>
        </w:numPr>
        <w:shd w:fill="ffffff" w:val="clear"/>
        <w:spacing w:after="0" w:before="0" w:line="240" w:lineRule="auto"/>
        <w:ind w:left="728" w:hanging="360"/>
        <w:jc w:val="both"/>
        <w:rPr>
          <w:rFonts w:ascii="Poppins" w:cs="Poppins" w:eastAsia="Poppins" w:hAnsi="Poppins"/>
          <w:color w:val="45545e"/>
          <w:sz w:val="21"/>
          <w:szCs w:val="21"/>
        </w:rPr>
      </w:pPr>
      <w:r w:rsidDel="00000000" w:rsidR="00000000" w:rsidRPr="00000000">
        <w:rPr>
          <w:color w:val="1f3864"/>
          <w:rtl w:val="0"/>
        </w:rPr>
        <w:t xml:space="preserve">Depósitos NO son endosables ni reembolsables.</w:t>
      </w:r>
      <w:r w:rsidDel="00000000" w:rsidR="00000000" w:rsidRPr="00000000">
        <w:rPr>
          <w:rtl w:val="0"/>
        </w:rPr>
      </w:r>
    </w:p>
    <w:p w:rsidR="00000000" w:rsidDel="00000000" w:rsidP="00000000" w:rsidRDefault="00000000" w:rsidRPr="00000000" w14:paraId="00000097">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98">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99">
      <w:pPr>
        <w:numPr>
          <w:ilvl w:val="0"/>
          <w:numId w:val="4"/>
        </w:numPr>
        <w:shd w:fill="ffffff" w:val="clear"/>
        <w:spacing w:after="0" w:before="0" w:line="240" w:lineRule="auto"/>
        <w:ind w:left="728" w:hanging="360"/>
        <w:jc w:val="both"/>
        <w:rPr>
          <w:rFonts w:ascii="Poppins" w:cs="Poppins" w:eastAsia="Poppins" w:hAnsi="Poppins"/>
          <w:color w:val="45545e"/>
          <w:sz w:val="21"/>
          <w:szCs w:val="21"/>
        </w:rPr>
      </w:pPr>
      <w:r w:rsidDel="00000000" w:rsidR="00000000" w:rsidRPr="00000000">
        <w:rPr>
          <w:color w:val="1f3864"/>
          <w:rtl w:val="0"/>
        </w:rPr>
        <w:t xml:space="preserve">Los nombres bajo los cuales los tiquetes serán emitidos deben coincidir con los nombres que aparecen en el documento de identidad para usarse en las fechas de vuelo.</w:t>
      </w:r>
      <w:r w:rsidDel="00000000" w:rsidR="00000000" w:rsidRPr="00000000">
        <w:rPr>
          <w:rtl w:val="0"/>
        </w:rPr>
      </w:r>
    </w:p>
    <w:p w:rsidR="00000000" w:rsidDel="00000000" w:rsidP="00000000" w:rsidRDefault="00000000" w:rsidRPr="00000000" w14:paraId="0000009A">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9B">
      <w:pPr>
        <w:spacing w:after="0" w:lineRule="auto"/>
        <w:rPr>
          <w:b w:val="1"/>
          <w:bCs w:val="1"/>
          <w:color w:val="1f3864"/>
        </w:rPr>
      </w:pPr>
      <w:r w:rsidDel="00000000" w:rsidR="00000000" w:rsidRPr="00000000">
        <w:rPr>
          <w:rtl w:val="0"/>
        </w:rPr>
      </w:r>
    </w:p>
    <w:p w:rsidR="00000000" w:rsidDel="00000000" w:rsidP="00000000" w:rsidRDefault="00000000" w:rsidRPr="00000000" w14:paraId="0000009C">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9D">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9E">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9F">
      <w:pPr>
        <w:ind w:right="520"/>
        <w:jc w:val="both"/>
        <w:rPr>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r>
    </w:p>
    <w:p w:rsidR="00000000" w:rsidDel="00000000" w:rsidP="00000000" w:rsidRDefault="00000000" w:rsidRPr="00000000" w14:paraId="000000A0">
      <w:pPr>
        <w:ind w:right="520"/>
        <w:jc w:val="both"/>
        <w:rPr>
          <w:b w:val="1"/>
          <w:bCs w:val="1"/>
          <w:color w:val="1f3864"/>
        </w:rPr>
      </w:pPr>
      <w:r w:rsidDel="00000000" w:rsidR="00000000" w:rsidRPr="00000000">
        <w:rPr>
          <w:b w:val="1"/>
          <w:bCs w:val="1"/>
          <w:color w:val="1f3864"/>
          <w:rtl w:val="0"/>
        </w:rPr>
        <w:t xml:space="preserve">RECOMENDACIONES:</w:t>
      </w:r>
    </w:p>
    <w:p w:rsidR="00000000" w:rsidDel="00000000" w:rsidP="00000000" w:rsidRDefault="00000000" w:rsidRPr="00000000" w14:paraId="000000A1">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A2">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A3">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A4">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A6">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A7">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A8">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A9">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AA">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AB">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AC">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AD">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AE">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AF">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B1">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B2">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102870</wp:posOffset>
          </wp:positionV>
          <wp:extent cx="7858205" cy="1085850"/>
          <wp:effectExtent b="0" l="0" r="0" t="0"/>
          <wp:wrapNone/>
          <wp:docPr id="2123175782" name="image5.png"/>
          <a:graphic>
            <a:graphicData uri="http://schemas.openxmlformats.org/drawingml/2006/picture">
              <pic:pic>
                <pic:nvPicPr>
                  <pic:cNvPr id="0" name="image5.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3">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-1206693</wp:posOffset>
          </wp:positionH>
          <wp:positionV relativeFrom="paragraph">
            <wp:posOffset>-457199</wp:posOffset>
          </wp:positionV>
          <wp:extent cx="2076450" cy="1396661"/>
          <wp:effectExtent b="0" l="0" r="0" t="0"/>
          <wp:wrapNone/>
          <wp:docPr id="212317577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076450" cy="1396661"/>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-542924</wp:posOffset>
          </wp:positionV>
          <wp:extent cx="8016875" cy="955040"/>
          <wp:effectExtent b="0" l="0" r="0" t="0"/>
          <wp:wrapNone/>
          <wp:docPr id="2123175781" name="image4.png"/>
          <a:graphic>
            <a:graphicData uri="http://schemas.openxmlformats.org/drawingml/2006/picture">
              <pic:pic>
                <pic:nvPicPr>
                  <pic:cNvPr id="0" name="image4.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-576579</wp:posOffset>
          </wp:positionH>
          <wp:positionV relativeFrom="paragraph">
            <wp:posOffset>2914859</wp:posOffset>
          </wp:positionV>
          <wp:extent cx="546100" cy="2628900"/>
          <wp:effectExtent b="0" l="0" r="0" t="0"/>
          <wp:wrapNone/>
          <wp:docPr id="2123175778" name="image1.png"/>
          <a:graphic>
            <a:graphicData uri="http://schemas.openxmlformats.org/drawingml/2006/picture">
              <pic:pic>
                <pic:nvPicPr>
                  <pic:cNvPr id="0" name="image1.png"/>
                  <pic:cNvPicPr preferRelativeResize="0"/>
                </pic:nvPicPr>
                <pic:blipFill>
                  <a:blip r:embed="rId3"/>
                  <a:srcRect b="0" l="0" r="0" t="0"/>
                  <a:stretch>
                    <a:fillRect/>
                  </a:stretch>
                </pic:blipFill>
                <pic:spPr>
                  <a:xfrm>
                    <a:off x="0" y="0"/>
                    <a:ext cx="5461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left w:w="70.0" w:type="dxa"/>
        <w:right w:w="70.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3"/>
    <w:tblPr>
      <w:tblStyleRowBandSize w:val="1"/>
      <w:tblStyleColBandSize w:val="1"/>
      <w:tblCellMar>
        <w:left w:w="70.0" w:type="dxa"/>
        <w:right w:w="70.0" w:type="dxa"/>
      </w:tblCellMar>
    </w:tblPr>
  </w:style>
  <w:style w:type="table" w:styleId="a3" w:customStyle="1">
    <w:basedOn w:val="TableNormal3"/>
    <w:tblPr>
      <w:tblStyleRowBandSize w:val="1"/>
      <w:tblStyleColBandSize w:val="1"/>
      <w:tblCellMar>
        <w:left w:w="70.0" w:type="dxa"/>
        <w:right w:w="70.0" w:type="dxa"/>
      </w:tblCellMar>
    </w:tblPr>
  </w:style>
  <w:style w:type="table" w:styleId="a4" w:customStyle="1">
    <w:basedOn w:val="TableNormal3"/>
    <w:tblPr>
      <w:tblStyleRowBandSize w:val="1"/>
      <w:tblStyleColBandSize w:val="1"/>
      <w:tblCellMar>
        <w:left w:w="70.0" w:type="dxa"/>
        <w:right w:w="70.0" w:type="dxa"/>
      </w:tblCellMar>
    </w:tblPr>
  </w:style>
  <w:style w:type="table" w:styleId="a5" w:customStyle="1">
    <w:basedOn w:val="TableNormal3"/>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2"/>
    <w:tblPr>
      <w:tblStyleRowBandSize w:val="1"/>
      <w:tblStyleColBandSize w:val="1"/>
      <w:tblCellMar>
        <w:left w:w="70.0" w:type="dxa"/>
        <w:right w:w="70.0" w:type="dxa"/>
      </w:tblCellMar>
    </w:tblPr>
  </w:style>
  <w:style w:type="table" w:styleId="a7" w:customStyle="1">
    <w:basedOn w:val="TableNormal2"/>
    <w:tblPr>
      <w:tblStyleRowBandSize w:val="1"/>
      <w:tblStyleColBandSize w:val="1"/>
      <w:tblCellMar>
        <w:left w:w="70.0" w:type="dxa"/>
        <w:right w:w="70.0" w:type="dxa"/>
      </w:tblCellMar>
    </w:tblPr>
  </w:style>
  <w:style w:type="table" w:styleId="a8" w:customStyle="1">
    <w:basedOn w:val="TableNormal2"/>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table" w:styleId="ab" w:customStyle="1">
    <w:basedOn w:val="TableNormal1"/>
    <w:tblPr>
      <w:tblStyleRowBandSize w:val="1"/>
      <w:tblStyleColBandSize w:val="1"/>
      <w:tblCellMar>
        <w:left w:w="70.0" w:type="dxa"/>
        <w:right w:w="70.0" w:type="dxa"/>
      </w:tblCellMar>
    </w:tblPr>
  </w:style>
  <w:style w:type="paragraph" w:styleId="NormalWeb">
    <w:name w:val="Normal (Web)"/>
    <w:basedOn w:val="Normal"/>
    <w:uiPriority w:val="99"/>
    <w:unhideWhenUsed w:val="1"/>
    <w:rsid w:val="00CD6D73"/>
    <w:rPr>
      <w:rFonts w:ascii="Times New Roman" w:hAnsi="Times New Roman"/>
      <w:sz w:val="24"/>
      <w:szCs w:val="24"/>
    </w:rPr>
  </w:style>
  <w:style w:type="table" w:styleId="ac" w:customStyle="1">
    <w:basedOn w:val="TableNormal0"/>
    <w:tblPr>
      <w:tblStyleRowBandSize w:val="1"/>
      <w:tblStyleColBandSize w:val="1"/>
      <w:tblCellMar>
        <w:left w:w="70.0" w:type="dxa"/>
        <w:right w:w="70.0" w:type="dxa"/>
      </w:tblCellMar>
    </w:tblPr>
  </w:style>
  <w:style w:type="table" w:styleId="ad"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8969C9"/>
    <w:rPr>
      <w:color w:val="0563c1" w:themeColor="hyperlink"/>
      <w:u w:val="single"/>
    </w:rPr>
  </w:style>
  <w:style w:type="character" w:styleId="Mencinsinresolver">
    <w:name w:val="Unresolved Mention"/>
    <w:basedOn w:val="Fuentedeprrafopredeter"/>
    <w:uiPriority w:val="99"/>
    <w:semiHidden w:val="1"/>
    <w:unhideWhenUsed w:val="1"/>
    <w:rsid w:val="008969C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png"/><Relationship Id="rId3"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jmQ4E9E+dqTbGziJSZY0aMjCjg==">CgMxLjAyCWguMzBqMHpsbDgAciExanAzREYwaDNoRXpzTjhMYVFRZlhxRUxMbjhmWjRUTnI=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2024-04-19T20:47:00Z</dcterms:created>
  <dc:creator>Bea Nuñez Sabido</dc:creator>
</cp:coreProperties>
</file>