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RESERVAS</w:t>
      </w:r>
      <w:r w:rsidDel="00000000" w:rsidR="00000000" w:rsidRPr="00000000">
        <w:rPr>
          <w:color w:val="1f3864"/>
          <w:rtl w:val="0"/>
        </w:rPr>
        <w:t xml:space="preserve">: Del 23 de Febrero al 09 de Marzo de 2026.</w:t>
      </w:r>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212317577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típica de Murano. Visitaremos la Plaza de San Marcos, donde admiramos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FERRY**</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mañana libre en Roma para seguir explorando la ciudad a tu ritmo o, si lo prefieres, unirte a nuestra excursión opcional al Coliseo y la Roma Imperial, donde descubrirás el interior del Coliseo y los Foros Romanos. Luego, partiremos hacia Civitavecchia para embarcar en un ferry rumbo a Barcelona. Nos embarcamos en una aventura cruzando el Mediterráneo.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FERRY**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Tras nuestra aventura en el Mediterráneo, cruzando el mar Tirreno y pasando entre las islas de Córcega y Cerdeña, disfrutando del mar color azul claro, ¡llegaremos a Barcelona por la noche Check-in y a dormir! *</w:t>
      </w:r>
      <w:r w:rsidDel="00000000" w:rsidR="00000000" w:rsidRPr="00000000">
        <w:rPr>
          <w:color w:val="c55911"/>
          <w:u w:val="single"/>
          <w:rtl w:val="0"/>
        </w:rPr>
        <w:t xml:space="preserve">El desayuno en el ferry no está incluido.</w:t>
      </w:r>
      <w:r w:rsidDel="00000000" w:rsidR="00000000" w:rsidRPr="00000000">
        <w:rPr>
          <w:rtl w:val="0"/>
        </w:rPr>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rPr>
      </w:pPr>
      <w:r w:rsidDel="00000000" w:rsidR="00000000" w:rsidRPr="00000000">
        <w:rPr>
          <w:b w:val="1"/>
          <w:bCs w:val="1"/>
          <w:color w:val="ee0000"/>
          <w:rtl w:val="0"/>
        </w:rPr>
        <w:t xml:space="preserve">PRECIO ESPECIAL PARA EL 2ª PASAJERO (NO APLICA EN SENCILLA)</w:t>
      </w:r>
    </w:p>
    <w:tbl>
      <w:tblPr>
        <w:tblStyle w:val="Table1"/>
        <w:tblW w:w="6600.0" w:type="dxa"/>
        <w:jc w:val="center"/>
        <w:tblLayout w:type="fixed"/>
        <w:tblLook w:val="0400"/>
      </w:tblPr>
      <w:tblGrid>
        <w:gridCol w:w="1680"/>
        <w:gridCol w:w="1640"/>
        <w:gridCol w:w="1640"/>
        <w:gridCol w:w="1640"/>
        <w:tblGridChange w:id="0">
          <w:tblGrid>
            <w:gridCol w:w="1680"/>
            <w:gridCol w:w="1640"/>
            <w:gridCol w:w="1640"/>
            <w:gridCol w:w="164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1°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2°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3° PAX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$ 15.299.000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$ 11.899.000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$ 7.999.000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$ 11.770.000</w:t>
            </w:r>
          </w:p>
        </w:tc>
      </w:tr>
    </w:tbl>
    <w:p w:rsidR="00000000" w:rsidDel="00000000" w:rsidP="00000000" w:rsidRDefault="00000000" w:rsidRPr="00000000" w14:paraId="0000004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2">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cabina (10 kg), equipaje de bodega (23 kg).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13 desayunos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u w:val="none"/>
        </w:rPr>
      </w:pPr>
      <w:r w:rsidDel="00000000" w:rsidR="00000000" w:rsidRPr="00000000">
        <w:rPr>
          <w:color w:val="002060"/>
          <w:rtl w:val="0"/>
        </w:rPr>
        <w:t xml:space="preserve">Visitas en Madrid, Bordeaux, Paris, Roma, Barcelona</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1">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7">
      <w:pPr>
        <w:rPr>
          <w:color w:val="002060"/>
        </w:rPr>
      </w:pPr>
      <w:r w:rsidDel="00000000" w:rsidR="00000000" w:rsidRPr="00000000">
        <w:rPr>
          <w:rtl w:val="0"/>
        </w:rPr>
      </w:r>
    </w:p>
    <w:p w:rsidR="00000000" w:rsidDel="00000000" w:rsidP="00000000" w:rsidRDefault="00000000" w:rsidRPr="00000000" w14:paraId="00000058">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Góndola + Visita + Cristal del Murano</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 </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7">
      <w:pPr>
        <w:rPr>
          <w:b w:val="1"/>
          <w:bCs w:val="1"/>
          <w:color w:val="002060"/>
        </w:rPr>
      </w:pPr>
      <w:r w:rsidDel="00000000" w:rsidR="00000000" w:rsidRPr="00000000">
        <w:rPr>
          <w:rtl w:val="0"/>
        </w:rPr>
      </w:r>
    </w:p>
    <w:p w:rsidR="00000000" w:rsidDel="00000000" w:rsidP="00000000" w:rsidRDefault="00000000" w:rsidRPr="00000000" w14:paraId="00000068">
      <w:pPr>
        <w:jc w:val="center"/>
        <w:rPr>
          <w:b w:val="1"/>
          <w:bCs w:val="1"/>
          <w:color w:val="002060"/>
        </w:rPr>
      </w:pPr>
      <w:r w:rsidDel="00000000" w:rsidR="00000000" w:rsidRPr="00000000">
        <w:rPr>
          <w:b w:val="1"/>
          <w:bCs w:val="1"/>
          <w:color w:val="002060"/>
          <w:rtl w:val="0"/>
        </w:rPr>
        <w:t xml:space="preserve">ITINERARIO AÉREO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E">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IB 152</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18:10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9:45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BOG</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16:30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20:55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7B">
      <w:pPr>
        <w:rPr>
          <w:b w:val="1"/>
          <w:bCs w:val="1"/>
          <w:color w:val="002060"/>
        </w:rPr>
      </w:pPr>
      <w:r w:rsidDel="00000000" w:rsidR="00000000" w:rsidRPr="00000000">
        <w:rPr>
          <w:rtl w:val="0"/>
        </w:rPr>
      </w:r>
    </w:p>
    <w:p w:rsidR="00000000" w:rsidDel="00000000" w:rsidP="00000000" w:rsidRDefault="00000000" w:rsidRPr="00000000" w14:paraId="0000007C">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D">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F">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Barco*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Grimaldi Lines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92">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del 30% del valor del paquete por persona.</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8">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B">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D">
      <w:pPr>
        <w:spacing w:after="0" w:lineRule="auto"/>
        <w:rPr>
          <w:b w:val="1"/>
          <w:bCs w:val="1"/>
          <w:color w:val="1f3864"/>
        </w:rPr>
      </w:pPr>
      <w:r w:rsidDel="00000000" w:rsidR="00000000" w:rsidRPr="00000000">
        <w:rPr>
          <w:rtl w:val="0"/>
        </w:rPr>
      </w:r>
    </w:p>
    <w:p w:rsidR="00000000" w:rsidDel="00000000" w:rsidP="00000000" w:rsidRDefault="00000000" w:rsidRPr="00000000" w14:paraId="0000009E">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b w:val="1"/>
          <w:bCs w:val="1"/>
          <w:color w:val="1f3864"/>
          <w:rtl w:val="0"/>
        </w:rPr>
        <w:br w:type="textWrapping"/>
        <w:t xml:space="preserve">RECOMENDACIONES:</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7">
      <w:pPr>
        <w:spacing w:after="0" w:lineRule="auto"/>
        <w:jc w:val="both"/>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D">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E">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F">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0">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1">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3">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4">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212317578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-613409</wp:posOffset>
          </wp:positionH>
          <wp:positionV relativeFrom="paragraph">
            <wp:posOffset>2670175</wp:posOffset>
          </wp:positionV>
          <wp:extent cx="419100" cy="2628900"/>
          <wp:effectExtent b="0" l="0" r="0" t="0"/>
          <wp:wrapNone/>
          <wp:docPr id="21231757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9100" cy="26289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-1429384</wp:posOffset>
          </wp:positionH>
          <wp:positionV relativeFrom="paragraph">
            <wp:posOffset>-323849</wp:posOffset>
          </wp:positionV>
          <wp:extent cx="2419350" cy="1295083"/>
          <wp:effectExtent b="0" l="0" r="0" t="0"/>
          <wp:wrapNone/>
          <wp:docPr id="2123175778" name="image3.png"/>
          <a:graphic>
            <a:graphicData uri="http://schemas.openxmlformats.org/drawingml/2006/picture">
              <pic:pic>
                <pic:nvPicPr>
                  <pic:cNvPr id="0" name="image3.png"/>
                  <pic:cNvPicPr preferRelativeResize="0"/>
                </pic:nvPicPr>
                <pic:blipFill>
                  <a:blip r:embed="rId2"/>
                  <a:srcRect b="2470" l="-2769" r="-2712" t="13583"/>
                  <a:stretch>
                    <a:fillRect/>
                  </a:stretch>
                </pic:blipFill>
                <pic:spPr>
                  <a:xfrm>
                    <a:off x="0" y="0"/>
                    <a:ext cx="2419350" cy="129508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2123175780"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70.0" w:type="dxa"/>
        <w:right w:w="70.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2"/>
    <w:tblPr>
      <w:tblStyleRowBandSize w:val="1"/>
      <w:tblStyleColBandSize w:val="1"/>
      <w:tblCellMar>
        <w:left w:w="70.0" w:type="dxa"/>
        <w:right w:w="70.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unhideWhenUsed w:val="1"/>
    <w:rsid w:val="00CD6D73"/>
    <w:rPr>
      <w:rFonts w:ascii="Times New Roman" w:hAnsi="Times New Roman"/>
      <w:sz w:val="24"/>
      <w:szCs w:val="24"/>
    </w:r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ffu31UwEV+rX2GAOxhl17Bxgg==">CgMxLjAyCWguMzBqMHpsbDgAciExWk53aWFLcFpQbVo0TmdoOG9jd3R6SnRtNW04TWJSNWM=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