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ee0000"/>
          <w:sz w:val="44"/>
          <w:szCs w:val="44"/>
        </w:rPr>
      </w:pPr>
      <w:r w:rsidDel="00000000" w:rsidR="00000000" w:rsidRPr="00000000">
        <w:rPr>
          <w:rFonts w:ascii="Calibri" w:cs="Calibri" w:eastAsia="Calibri" w:hAnsi="Calibri"/>
          <w:b w:val="1"/>
          <w:color w:val="1f3864"/>
          <w:sz w:val="44"/>
          <w:szCs w:val="44"/>
          <w:rtl w:val="0"/>
        </w:rPr>
        <w:t xml:space="preserve">ESCAPADA EN EL DISCOVERY </w:t>
      </w:r>
      <w:r w:rsidDel="00000000" w:rsidR="00000000" w:rsidRPr="00000000">
        <w:rPr>
          <w:rFonts w:ascii="Calibri" w:cs="Calibri" w:eastAsia="Calibri" w:hAnsi="Calibri"/>
          <w:b w:val="1"/>
          <w:color w:val="ee0000"/>
          <w:sz w:val="44"/>
          <w:szCs w:val="44"/>
          <w:rtl w:val="0"/>
        </w:rPr>
        <w:t xml:space="preserve">2026</w:t>
      </w:r>
    </w:p>
    <w:p w:rsidR="00000000" w:rsidDel="00000000" w:rsidP="00000000" w:rsidRDefault="00000000" w:rsidRPr="00000000" w14:paraId="00000003">
      <w:pPr>
        <w:jc w:val="center"/>
        <w:rPr>
          <w:rFonts w:ascii="Calibri" w:cs="Calibri" w:eastAsia="Calibri" w:hAnsi="Calibri"/>
          <w:b w:val="1"/>
          <w:color w:val="ee0000"/>
          <w:sz w:val="44"/>
          <w:szCs w:val="44"/>
        </w:rPr>
      </w:pPr>
      <w:r w:rsidDel="00000000" w:rsidR="00000000" w:rsidRPr="00000000">
        <w:rPr>
          <w:rFonts w:ascii="Calibri" w:cs="Calibri" w:eastAsia="Calibri" w:hAnsi="Calibri"/>
          <w:color w:val="1f3864"/>
          <w:rtl w:val="0"/>
        </w:rPr>
        <w:t xml:space="preserve">(Atenas, Mykonos, Kusadasi, Patmos, Rodas, Santorini)</w: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4N/5D</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tl w:val="0"/>
        </w:rPr>
        <w:t xml:space="preserve"> </w:t>
      </w:r>
      <w:r w:rsidDel="00000000" w:rsidR="00000000" w:rsidRPr="00000000">
        <w:rPr>
          <w:rFonts w:ascii="Calibri" w:cs="Calibri" w:eastAsia="Calibri" w:hAnsi="Calibri"/>
          <w:color w:val="1f3864"/>
          <w:rtl w:val="0"/>
        </w:rPr>
        <w:t xml:space="preserve">Hasta el 28 Noviembre 2025.</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 Marzo a Noviembre del 2026. (ver cuadro de salidas).</w:t>
      </w:r>
    </w:p>
    <w:p w:rsidR="00000000" w:rsidDel="00000000" w:rsidP="00000000" w:rsidRDefault="00000000" w:rsidRPr="00000000" w14:paraId="00000008">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9">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A">
      <w:pPr>
        <w:spacing w:line="276" w:lineRule="auto"/>
        <w:jc w:val="center"/>
        <w:rPr>
          <w:rFonts w:ascii="Calibri" w:cs="Calibri" w:eastAsia="Calibri" w:hAnsi="Calibri"/>
          <w:b w:val="1"/>
          <w:color w:val="1f3864"/>
          <w:sz w:val="18"/>
          <w:szCs w:val="18"/>
        </w:rPr>
      </w:pPr>
      <w:r w:rsidDel="00000000" w:rsidR="00000000" w:rsidRPr="00000000">
        <w:rPr/>
        <w:drawing>
          <wp:inline distB="0" distT="0" distL="0" distR="0">
            <wp:extent cx="1606130" cy="1204640"/>
            <wp:effectExtent b="0" l="0" r="0" t="0"/>
            <wp:docPr descr="Just Back From Celestyal Discovery" id="2037140050" name="image6.jpg"/>
            <a:graphic>
              <a:graphicData uri="http://schemas.openxmlformats.org/drawingml/2006/picture">
                <pic:pic>
                  <pic:nvPicPr>
                    <pic:cNvPr descr="Just Back From Celestyal Discovery" id="0" name="image6.jpg"/>
                    <pic:cNvPicPr preferRelativeResize="0"/>
                  </pic:nvPicPr>
                  <pic:blipFill>
                    <a:blip r:embed="rId7"/>
                    <a:srcRect b="0" l="0" r="0" t="0"/>
                    <a:stretch>
                      <a:fillRect/>
                    </a:stretch>
                  </pic:blipFill>
                  <pic:spPr>
                    <a:xfrm>
                      <a:off x="0" y="0"/>
                      <a:ext cx="1606130" cy="120464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817098" cy="1202080"/>
            <wp:effectExtent b="0" l="0" r="0" t="0"/>
            <wp:docPr id="203714005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817098" cy="120208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796430" cy="1199533"/>
            <wp:effectExtent b="0" l="0" r="0" t="0"/>
            <wp:docPr descr="Celestyal Discovery Itinerary, Current Position, Ship Review | CruiseMapper" id="2037140051" name="image5.jpg"/>
            <a:graphic>
              <a:graphicData uri="http://schemas.openxmlformats.org/drawingml/2006/picture">
                <pic:pic>
                  <pic:nvPicPr>
                    <pic:cNvPr descr="Celestyal Discovery Itinerary, Current Position, Ship Review | CruiseMapper" id="0" name="image5.jpg"/>
                    <pic:cNvPicPr preferRelativeResize="0"/>
                  </pic:nvPicPr>
                  <pic:blipFill>
                    <a:blip r:embed="rId9"/>
                    <a:srcRect b="7157" l="0" r="23546" t="0"/>
                    <a:stretch>
                      <a:fillRect/>
                    </a:stretch>
                  </pic:blipFill>
                  <pic:spPr>
                    <a:xfrm>
                      <a:off x="0" y="0"/>
                      <a:ext cx="1796430" cy="119953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sz w:val="6"/>
          <w:szCs w:val="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 EMBARQUE EN ATENAS:</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 romántica aventura de 4 noches por el Mediterráneo comienza en las cautivadoras aguas verde esmeralda de la antigua ciudad de Atenas. En esta impresionante y moderna metrópolis encontrará espectaculares acantilados y multitud de enclaves arqueológicos de visita obligada. Antes de embarcar en su crucero Celestyal, tómese un tiempo para sumergirse en el ambiente de los bares y cafés del animado paseo marítimo.</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LLEGADA A MYKONOS:</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la mágica y resplandeciente isla de Mykonos podrá admirar sus soleadas costas, playas de arena fina y agrestes paisajes rocosos. Mykonos, conocida popularmente como la “Isla de los Vientos”, alberga molinos de viento del siglo XVI que se han convertido en un auténtico icono de la isla. Esta animada isla griega es muy conocida por su ambiente dinámico y su enorme variedad de bares, cafés y restaurantes.</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LLEGADA A KUSADASI:</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dinámico resort de playa de Kuşadası le dará la bienvenida a un ambiente cálido y acogedor. Desde aquí partirá la visita guiada a la antigua Éfeso, uno de los grandes atractivos del crucero Egeo Icónico. Antes de regresar al barco, tómese un tiempo para disfrutar del maravilloso paseo marítimo y el impresionante Gran Bazar de la ciudad.</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LLEGADA A PATMOS:</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puerto de Skala, en la idílica isla griega de Patmos, está flanqueado por unas monumentales y pintorescas murallas medievales. Conocida por los lugareños como la “isla del Apocalipsis”, Patmos es todo un enclave espiritual debido a las leyendas de San Juan. Explore las frondosas colinas boscosas que rodean su capital, Chora, o únase a nuestro guía local en una apasionante aventura.</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3: LLEGADA A RODAS:</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imponente paisaje de Rodas, la isla más grande del Dodecaneso griego, alberga una combinación de impresionantes enclaves antiguos e históricos junto a encantadores y modernos pueblecitos. Aquí podrá visitar la majestuosa fortificación medieval de la Acrópolis de Lindos, colgada de un acantilado sobre el cristalino mar Egeo, y pasear por las estrechas calles adoquinadas del casco antiguo, donde descubrirá opulentos ejemplos de las arquitecturas otomana e italiana.</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LLEGADA A SANTORINI:</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espectacular paisaje de Santorini le dejará boquiabierto. Esta romántica isla está repleta de tradicionales casas encaladas e iglesias con cúpulas azules que se cuelgan de los impresionantes acantilados. La reconocerá al instante: es uno de los paisajes de postal más fotografiados del mundo. Sus encantadores pueblecitos son todo un oasis de tranquilidad y belleza que superará todas sus expectativas.</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RETORNO A ATENAS:</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vuelta en Atenas, nos despediremos y podrá explorar a su aire el corazón de la antigua Grecia. La mágica Atenas, una de las ciudades más antiguas del mundo, debe buena parte de su encanto a sus emblemáticos monumentos, como la Acrópolis del siglo V a. C. En esta maravillosa ciudad podrá disfrutar de una apasionante combinación de arquitectura antigua y moderna, hermosas playas bañadas por el sol y un sinfín de energía creativa.</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1f3864"/>
          <w:sz w:val="12"/>
          <w:szCs w:val="12"/>
        </w:rPr>
      </w:pPr>
      <w:r w:rsidDel="00000000" w:rsidR="00000000" w:rsidRPr="00000000">
        <w:rPr>
          <w:rFonts w:ascii="Calibri" w:cs="Calibri" w:eastAsia="Calibri" w:hAnsi="Calibri"/>
          <w:b w:val="1"/>
          <w:color w:val="1f3864"/>
          <w:rtl w:val="0"/>
        </w:rPr>
        <w:t xml:space="preserve">FECHAS DE SALIDA</w:t>
        <w:br w:type="textWrapping"/>
      </w:r>
      <w:r w:rsidDel="00000000" w:rsidR="00000000" w:rsidRPr="00000000">
        <w:rPr>
          <w:rtl w:val="0"/>
        </w:rPr>
      </w:r>
    </w:p>
    <w:tbl>
      <w:tblPr>
        <w:tblStyle w:val="Table1"/>
        <w:tblW w:w="3740.0" w:type="dxa"/>
        <w:jc w:val="center"/>
        <w:tblLayout w:type="fixed"/>
        <w:tblLook w:val="0400"/>
      </w:tblPr>
      <w:tblGrid>
        <w:gridCol w:w="1240"/>
        <w:gridCol w:w="500"/>
        <w:gridCol w:w="500"/>
        <w:gridCol w:w="500"/>
        <w:gridCol w:w="500"/>
        <w:gridCol w:w="500"/>
        <w:tblGridChange w:id="0">
          <w:tblGrid>
            <w:gridCol w:w="1240"/>
            <w:gridCol w:w="500"/>
            <w:gridCol w:w="500"/>
            <w:gridCol w:w="500"/>
            <w:gridCol w:w="500"/>
            <w:gridCol w:w="500"/>
          </w:tblGrid>
        </w:tblGridChange>
      </w:tblGrid>
      <w:tr>
        <w:trPr>
          <w:cantSplit w:val="0"/>
          <w:trHeight w:val="330" w:hRule="atLeast"/>
          <w:tblHeader w:val="0"/>
        </w:trPr>
        <w:tc>
          <w:tcPr>
            <w:gridSpan w:val="6"/>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MARZO</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2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23*</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3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3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3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ABRIL</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3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3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3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3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JUNIO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JULIO</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4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AGOSTO</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4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5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5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fbe2d5"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w:t>
            </w:r>
          </w:p>
        </w:tc>
        <w:tc>
          <w:tcPr>
            <w:tcBorders>
              <w:top w:color="000000" w:space="0" w:sz="0" w:val="nil"/>
              <w:left w:color="000000" w:space="0" w:sz="0" w:val="nil"/>
              <w:bottom w:color="000000" w:space="0" w:sz="8" w:val="single"/>
              <w:right w:color="000000" w:space="0" w:sz="8" w:val="single"/>
            </w:tcBorders>
            <w:shd w:fill="fbe2d5" w:val="clear"/>
            <w:vAlign w:val="center"/>
          </w:tcPr>
          <w:p w:rsidR="00000000" w:rsidDel="00000000" w:rsidP="00000000" w:rsidRDefault="00000000" w:rsidRPr="00000000" w14:paraId="0000005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329"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NOVIEMBRE</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02*</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6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09*</w:t>
            </w:r>
          </w:p>
        </w:tc>
        <w:tc>
          <w:tcPr>
            <w:tcBorders>
              <w:top w:color="000000" w:space="0" w:sz="0" w:val="nil"/>
              <w:left w:color="000000" w:space="0" w:sz="0" w:val="nil"/>
              <w:bottom w:color="000000" w:space="0" w:sz="8" w:val="single"/>
              <w:right w:color="000000" w:space="0" w:sz="8" w:val="single"/>
            </w:tcBorders>
            <w:shd w:fill="daf2d0" w:val="clear"/>
            <w:vAlign w:val="center"/>
          </w:tcPr>
          <w:p w:rsidR="00000000" w:rsidDel="00000000" w:rsidP="00000000" w:rsidRDefault="00000000" w:rsidRPr="00000000" w14:paraId="0000006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bl>
    <w:p w:rsidR="00000000" w:rsidDel="00000000" w:rsidP="00000000" w:rsidRDefault="00000000" w:rsidRPr="00000000" w14:paraId="0000006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jc w:val="center"/>
        <w:rPr>
          <w:rFonts w:ascii="Calibri" w:cs="Calibri" w:eastAsia="Calibri" w:hAnsi="Calibri"/>
          <w:b w:val="1"/>
          <w:color w:val="1f3864"/>
          <w:sz w:val="12"/>
          <w:szCs w:val="12"/>
        </w:rPr>
      </w:pPr>
      <w:r w:rsidDel="00000000" w:rsidR="00000000" w:rsidRPr="00000000">
        <w:rPr>
          <w:rFonts w:ascii="Calibri" w:cs="Calibri" w:eastAsia="Calibri" w:hAnsi="Calibri"/>
          <w:b w:val="1"/>
          <w:color w:val="1f3864"/>
          <w:rtl w:val="0"/>
        </w:rPr>
        <w:t xml:space="preserve">ITINERARIOS SEGÚN TEMPORADA</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tbl>
      <w:tblPr>
        <w:tblStyle w:val="Table2"/>
        <w:tblW w:w="6794.0" w:type="dxa"/>
        <w:jc w:val="center"/>
        <w:tblLayout w:type="fixed"/>
        <w:tblLook w:val="0400"/>
      </w:tblPr>
      <w:tblGrid>
        <w:gridCol w:w="1124"/>
        <w:gridCol w:w="2835"/>
        <w:gridCol w:w="1429"/>
        <w:gridCol w:w="1406"/>
        <w:tblGridChange w:id="0">
          <w:tblGrid>
            <w:gridCol w:w="1124"/>
            <w:gridCol w:w="2835"/>
            <w:gridCol w:w="1429"/>
            <w:gridCol w:w="1406"/>
          </w:tblGrid>
        </w:tblGridChange>
      </w:tblGrid>
      <w:tr>
        <w:trPr>
          <w:cantSplit w:val="0"/>
          <w:trHeight w:val="52" w:hRule="atLeast"/>
          <w:tblHeader w:val="0"/>
        </w:trPr>
        <w:tc>
          <w:tcPr>
            <w:gridSpan w:val="4"/>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 VERANO </w:t>
            </w:r>
          </w:p>
        </w:tc>
      </w:tr>
      <w:tr>
        <w:trPr>
          <w:cantSplit w:val="0"/>
          <w:trHeight w:val="169"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PUERTO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r>
      <w:tr>
        <w:trPr>
          <w:cantSplit w:val="0"/>
          <w:trHeight w:val="334.14062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ATENAS, GRECIA (LAVRIO)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13:00</w:t>
            </w:r>
          </w:p>
        </w:tc>
      </w:tr>
      <w:tr>
        <w:trPr>
          <w:cantSplit w:val="0"/>
          <w:trHeight w:val="304.14062499999994"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7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MYKONOS, GRECIA*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7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7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23:00</w:t>
            </w:r>
          </w:p>
        </w:tc>
      </w:tr>
      <w:tr>
        <w:trPr>
          <w:cantSplit w:val="0"/>
          <w:trHeight w:val="319.14062499999994"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7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KUSADASI (ÉFESOS), TURQUÍA </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7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7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13:00</w:t>
            </w:r>
          </w:p>
        </w:tc>
      </w:tr>
      <w:tr>
        <w:trPr>
          <w:cantSplit w:val="0"/>
          <w:trHeight w:val="289.14062499999994"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PATMOS, GRECIA*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r>
      <w:tr>
        <w:trPr>
          <w:cantSplit w:val="0"/>
          <w:trHeight w:val="304.14062499999994"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RODAS, GRECIA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221"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CRETA (HERAKLIO), GRECIA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12:00</w:t>
            </w:r>
          </w:p>
        </w:tc>
      </w:tr>
      <w:tr>
        <w:trPr>
          <w:cantSplit w:val="0"/>
          <w:trHeight w:val="274.14062499999994"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SANTORINI, GRECIA*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r>
      <w:tr>
        <w:trPr>
          <w:cantSplit w:val="0"/>
          <w:trHeight w:val="334.14062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ATENAS, GRECIA (LAVRIO)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91">
      <w:pPr>
        <w:rPr/>
      </w:pPr>
      <w:r w:rsidDel="00000000" w:rsidR="00000000" w:rsidRPr="00000000">
        <w:rPr>
          <w:rtl w:val="0"/>
        </w:rPr>
      </w:r>
    </w:p>
    <w:tbl>
      <w:tblPr>
        <w:tblStyle w:val="Table3"/>
        <w:tblW w:w="6880.000000000001" w:type="dxa"/>
        <w:jc w:val="center"/>
        <w:tblLayout w:type="fixed"/>
        <w:tblLook w:val="0400"/>
      </w:tblPr>
      <w:tblGrid>
        <w:gridCol w:w="1200"/>
        <w:gridCol w:w="2901"/>
        <w:gridCol w:w="1418"/>
        <w:gridCol w:w="1361"/>
        <w:tblGridChange w:id="0">
          <w:tblGrid>
            <w:gridCol w:w="1200"/>
            <w:gridCol w:w="2901"/>
            <w:gridCol w:w="1418"/>
            <w:gridCol w:w="1361"/>
          </w:tblGrid>
        </w:tblGridChange>
      </w:tblGrid>
      <w:tr>
        <w:trPr>
          <w:cantSplit w:val="0"/>
          <w:trHeight w:val="52" w:hRule="atLeast"/>
          <w:tblHeader w:val="0"/>
        </w:trPr>
        <w:tc>
          <w:tcPr>
            <w:gridSpan w:val="4"/>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 INVIERNO* </w:t>
            </w:r>
          </w:p>
        </w:tc>
      </w:tr>
      <w:tr>
        <w:trPr>
          <w:cantSplit w:val="0"/>
          <w:trHeight w:val="42"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PUERTO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r>
      <w:tr>
        <w:trPr>
          <w:cantSplit w:val="0"/>
          <w:trHeight w:val="289.14062499999994"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ATENAS, GRECIA (LAVRIO)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11:00</w:t>
            </w:r>
          </w:p>
        </w:tc>
      </w:tr>
      <w:tr>
        <w:trPr>
          <w:cantSplit w:val="0"/>
          <w:trHeight w:val="304.14062499999994"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MYKONOS, GRECIA*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23:00</w:t>
            </w:r>
          </w:p>
        </w:tc>
      </w:tr>
      <w:tr>
        <w:trPr>
          <w:cantSplit w:val="0"/>
          <w:trHeight w:val="319.14062499999994"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A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KUSADASI (ÉFESOS), TURQUÍA </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A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d9e2ef" w:val="clear"/>
            <w:vAlign w:val="center"/>
          </w:tcPr>
          <w:p w:rsidR="00000000" w:rsidDel="00000000" w:rsidP="00000000" w:rsidRDefault="00000000" w:rsidRPr="00000000" w14:paraId="000000A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12:30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PATMOS, GRECIA*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21:00</w:t>
            </w:r>
          </w:p>
        </w:tc>
      </w:tr>
      <w:tr>
        <w:trPr>
          <w:cantSplit w:val="0"/>
          <w:trHeight w:val="304.14062499999994"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RODAS, GRECIA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304.14062499999994"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SANTORINI, GRECIA*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ATENAS, GRECIA (LAVRIO)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B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Crucero de </w:t>
      </w:r>
      <w:r w:rsidDel="00000000" w:rsidR="00000000" w:rsidRPr="00000000">
        <w:rPr>
          <w:rFonts w:ascii="Calibri" w:cs="Calibri" w:eastAsia="Calibri" w:hAnsi="Calibri"/>
          <w:color w:val="1f3864"/>
          <w:rtl w:val="0"/>
        </w:rPr>
        <w:t xml:space="preserve">4</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noches repleto de destinos a bordo de Celestyal Discovery.</w:t>
      </w:r>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Entretenimiento </w:t>
      </w:r>
      <w:r w:rsidDel="00000000" w:rsidR="00000000" w:rsidRPr="00000000">
        <w:rPr>
          <w:rFonts w:ascii="Calibri" w:cs="Calibri" w:eastAsia="Calibri" w:hAnsi="Calibri"/>
          <w:color w:val="1f3864"/>
          <w:rtl w:val="0"/>
        </w:rPr>
        <w:t xml:space="preserve">a bordo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Tasas Portuarias y propinas.</w:t>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B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B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Menores 2-11,99 años Aprox 520 USD</w:t>
      </w:r>
    </w:p>
    <w:p w:rsidR="00000000" w:rsidDel="00000000" w:rsidP="00000000" w:rsidRDefault="00000000" w:rsidRPr="00000000" w14:paraId="000000C0">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hoteleras e impuestos para cruceristas.</w:t>
      </w:r>
    </w:p>
    <w:p w:rsidR="00000000" w:rsidDel="00000000" w:rsidP="00000000" w:rsidRDefault="00000000" w:rsidRPr="00000000" w14:paraId="000000C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r w:rsidDel="00000000" w:rsidR="00000000" w:rsidRPr="00000000">
        <w:br w:type="page"/>
      </w:r>
      <w:r w:rsidDel="00000000" w:rsidR="00000000" w:rsidRPr="00000000">
        <w:rPr>
          <w:rtl w:val="0"/>
        </w:rPr>
      </w:r>
    </w:p>
    <w:p w:rsidR="00000000" w:rsidDel="00000000" w:rsidP="00000000" w:rsidRDefault="00000000" w:rsidRPr="00000000" w14:paraId="000000C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DOLARES DESDE</w:t>
      </w:r>
    </w:p>
    <w:p w:rsidR="00000000" w:rsidDel="00000000" w:rsidP="00000000" w:rsidRDefault="00000000" w:rsidRPr="00000000" w14:paraId="000000C5">
      <w:pPr>
        <w:jc w:val="center"/>
        <w:rPr>
          <w:rFonts w:ascii="Calibri" w:cs="Calibri" w:eastAsia="Calibri" w:hAnsi="Calibri"/>
          <w:b w:val="1"/>
          <w:color w:val="1f3864"/>
        </w:rPr>
      </w:pPr>
      <w:r w:rsidDel="00000000" w:rsidR="00000000" w:rsidRPr="00000000">
        <w:rPr>
          <w:rtl w:val="0"/>
        </w:rPr>
      </w:r>
    </w:p>
    <w:tbl>
      <w:tblPr>
        <w:tblStyle w:val="Table4"/>
        <w:tblW w:w="6840.0" w:type="dxa"/>
        <w:jc w:val="center"/>
        <w:tblLayout w:type="fixed"/>
        <w:tblLook w:val="0400"/>
      </w:tblPr>
      <w:tblGrid>
        <w:gridCol w:w="1560"/>
        <w:gridCol w:w="1320"/>
        <w:gridCol w:w="1320"/>
        <w:gridCol w:w="1320"/>
        <w:gridCol w:w="1320"/>
        <w:tblGridChange w:id="0">
          <w:tblGrid>
            <w:gridCol w:w="1560"/>
            <w:gridCol w:w="1320"/>
            <w:gridCol w:w="1320"/>
            <w:gridCol w:w="1320"/>
            <w:gridCol w:w="1320"/>
          </w:tblGrid>
        </w:tblGridChange>
      </w:tblGrid>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C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QUAD</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C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IA</w:t>
            </w:r>
          </w:p>
        </w:tc>
        <w:tc>
          <w:tcPr>
            <w:tcBorders>
              <w:top w:color="000000" w:space="0" w:sz="0" w:val="nil"/>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C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1.112 USD</w:t>
            </w:r>
          </w:p>
        </w:tc>
        <w:tc>
          <w:tcPr>
            <w:tcBorders>
              <w:top w:color="000000" w:space="0" w:sz="0" w:val="nil"/>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C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732 USD</w:t>
            </w:r>
          </w:p>
        </w:tc>
        <w:tc>
          <w:tcPr>
            <w:tcBorders>
              <w:top w:color="000000" w:space="0" w:sz="0" w:val="nil"/>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C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684 USD</w:t>
            </w:r>
          </w:p>
        </w:tc>
        <w:tc>
          <w:tcPr>
            <w:tcBorders>
              <w:top w:color="000000" w:space="0" w:sz="0" w:val="nil"/>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C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659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D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IB</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1.252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814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D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IC</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1.372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882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782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732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D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XBO</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1.432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916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806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D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750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D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1.512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962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836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774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af2d0" w:val="clear"/>
            <w:vAlign w:val="center"/>
          </w:tcPr>
          <w:p w:rsidR="00000000" w:rsidDel="00000000" w:rsidP="00000000" w:rsidRDefault="00000000" w:rsidRPr="00000000" w14:paraId="000000E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XC</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1.632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1.032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882 USD</w:t>
            </w:r>
          </w:p>
        </w:tc>
        <w:tc>
          <w:tcPr>
            <w:tcBorders>
              <w:top w:color="000000" w:space="0" w:sz="8" w:val="single"/>
              <w:left w:color="000000" w:space="0" w:sz="0" w:val="nil"/>
              <w:bottom w:color="000000" w:space="0" w:sz="0" w:val="nil"/>
              <w:right w:color="000000" w:space="0" w:sz="8" w:val="single"/>
            </w:tcBorders>
            <w:shd w:fill="daf2d0" w:val="clear"/>
            <w:vAlign w:val="center"/>
          </w:tcPr>
          <w:p w:rsidR="00000000" w:rsidDel="00000000" w:rsidP="00000000" w:rsidRDefault="00000000" w:rsidRPr="00000000" w14:paraId="000000E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IA</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1.472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940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876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842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E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IB</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1.654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1.044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IC</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1.832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1.146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1.012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946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XBO</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1.914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1.192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1.044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968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1.994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1.238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990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0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XC</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2.174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1.340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1.142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0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IA</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1.672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1.054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1.044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1.036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0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IB</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1.894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1.180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0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1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IC</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2.094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1.294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1.204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1.158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1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XBO</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2.194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1.352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1.242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1.186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1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2.314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1.422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1.286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1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1.220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fbe2d5" w:val="clear"/>
            <w:vAlign w:val="center"/>
          </w:tcPr>
          <w:p w:rsidR="00000000" w:rsidDel="00000000" w:rsidP="00000000" w:rsidRDefault="00000000" w:rsidRPr="00000000" w14:paraId="0000012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XC</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2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2.514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2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1.536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2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1.364 USD</w:t>
            </w:r>
          </w:p>
        </w:tc>
        <w:tc>
          <w:tcPr>
            <w:tcBorders>
              <w:top w:color="000000" w:space="0" w:sz="8" w:val="single"/>
              <w:left w:color="000000" w:space="0" w:sz="0" w:val="nil"/>
              <w:bottom w:color="000000" w:space="0" w:sz="0" w:val="nil"/>
              <w:right w:color="000000" w:space="0" w:sz="8" w:val="single"/>
            </w:tcBorders>
            <w:shd w:fill="fbe2d5" w:val="clear"/>
            <w:vAlign w:val="center"/>
          </w:tcPr>
          <w:p w:rsidR="00000000" w:rsidDel="00000000" w:rsidP="00000000" w:rsidRDefault="00000000" w:rsidRPr="00000000" w14:paraId="0000012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2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IA</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1.974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1.226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1.158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1.122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2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IB</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2.214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1.364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2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IC</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2.476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1.512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1.348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1.266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3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XBO</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2.596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1.582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1.394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1.300 USD</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3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XB</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2.716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1.650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1.440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3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1.336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3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XC</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3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2.976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4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4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1.540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4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w:t>
            </w:r>
          </w:p>
        </w:tc>
      </w:tr>
    </w:tbl>
    <w:p w:rsidR="00000000" w:rsidDel="00000000" w:rsidP="00000000" w:rsidRDefault="00000000" w:rsidRPr="00000000" w14:paraId="0000014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4">
      <w:pPr>
        <w:ind w:right="28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IA- </w:t>
      </w:r>
      <w:r w:rsidDel="00000000" w:rsidR="00000000" w:rsidRPr="00000000">
        <w:rPr>
          <w:rFonts w:ascii="Calibri" w:cs="Calibri" w:eastAsia="Calibri" w:hAnsi="Calibri"/>
          <w:color w:val="1f3864"/>
          <w:rtl w:val="0"/>
        </w:rPr>
        <w:t xml:space="preserve">Cama doble con 2 colchones individuales o dos camas individuales, 3ª/4ª cama superior</w:t>
      </w:r>
    </w:p>
    <w:p w:rsidR="00000000" w:rsidDel="00000000" w:rsidP="00000000" w:rsidRDefault="00000000" w:rsidRPr="00000000" w14:paraId="00000145">
      <w:pPr>
        <w:ind w:right="28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IB- </w:t>
      </w:r>
      <w:r w:rsidDel="00000000" w:rsidR="00000000" w:rsidRPr="00000000">
        <w:rPr>
          <w:rFonts w:ascii="Calibri" w:cs="Calibri" w:eastAsia="Calibri" w:hAnsi="Calibri"/>
          <w:color w:val="1f3864"/>
          <w:rtl w:val="0"/>
        </w:rPr>
        <w:t xml:space="preserve">Cama doble con 2 colchones individuales</w:t>
      </w:r>
    </w:p>
    <w:p w:rsidR="00000000" w:rsidDel="00000000" w:rsidP="00000000" w:rsidRDefault="00000000" w:rsidRPr="00000000" w14:paraId="00000146">
      <w:pPr>
        <w:ind w:right="28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IC- </w:t>
      </w:r>
      <w:r w:rsidDel="00000000" w:rsidR="00000000" w:rsidRPr="00000000">
        <w:rPr>
          <w:rFonts w:ascii="Calibri" w:cs="Calibri" w:eastAsia="Calibri" w:hAnsi="Calibri"/>
          <w:color w:val="1f3864"/>
          <w:rtl w:val="0"/>
        </w:rPr>
        <w:t xml:space="preserve">Dos camas individuales o cama doble con 2 colchones individuales, 3ª/4ª camas superiores</w:t>
      </w:r>
    </w:p>
    <w:p w:rsidR="00000000" w:rsidDel="00000000" w:rsidP="00000000" w:rsidRDefault="00000000" w:rsidRPr="00000000" w14:paraId="00000147">
      <w:pPr>
        <w:ind w:right="28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XBO-</w:t>
      </w:r>
      <w:r w:rsidDel="00000000" w:rsidR="00000000" w:rsidRPr="00000000">
        <w:rPr>
          <w:rFonts w:ascii="Calibri" w:cs="Calibri" w:eastAsia="Calibri" w:hAnsi="Calibri"/>
          <w:color w:val="1f3864"/>
          <w:rtl w:val="0"/>
        </w:rPr>
        <w:t xml:space="preserve">Cama doble con 2 colchones individuales o dos camas individuales, 3ª/4ª cama superior o sofá cama individual</w:t>
      </w:r>
    </w:p>
    <w:p w:rsidR="00000000" w:rsidDel="00000000" w:rsidP="00000000" w:rsidRDefault="00000000" w:rsidRPr="00000000" w14:paraId="00000148">
      <w:pPr>
        <w:ind w:right="283"/>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XB- </w:t>
      </w:r>
      <w:r w:rsidDel="00000000" w:rsidR="00000000" w:rsidRPr="00000000">
        <w:rPr>
          <w:rFonts w:ascii="Calibri" w:cs="Calibri" w:eastAsia="Calibri" w:hAnsi="Calibri"/>
          <w:color w:val="1f3864"/>
          <w:rtl w:val="0"/>
        </w:rPr>
        <w:t xml:space="preserve">Cama doble con 2 colchones individuales o dos camas individuales, 3ª/4ª camas superiores o sofá cama individual</w:t>
      </w:r>
      <w:r w:rsidDel="00000000" w:rsidR="00000000" w:rsidRPr="00000000">
        <w:rPr>
          <w:rtl w:val="0"/>
        </w:rPr>
      </w:r>
    </w:p>
    <w:p w:rsidR="00000000" w:rsidDel="00000000" w:rsidP="00000000" w:rsidRDefault="00000000" w:rsidRPr="00000000" w14:paraId="00000149">
      <w:pPr>
        <w:ind w:right="28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XC- </w:t>
      </w:r>
      <w:r w:rsidDel="00000000" w:rsidR="00000000" w:rsidRPr="00000000">
        <w:rPr>
          <w:rFonts w:ascii="Calibri" w:cs="Calibri" w:eastAsia="Calibri" w:hAnsi="Calibri"/>
          <w:color w:val="1f3864"/>
          <w:rtl w:val="0"/>
        </w:rPr>
        <w:t xml:space="preserve">Cama doble con 2 colchones individuales y sofá cama individual</w:t>
      </w:r>
    </w:p>
    <w:p w:rsidR="00000000" w:rsidDel="00000000" w:rsidP="00000000" w:rsidRDefault="00000000" w:rsidRPr="00000000" w14:paraId="0000014A">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4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1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1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1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50% del valor del paquete por persona.</w:t>
      </w:r>
    </w:p>
    <w:p w:rsidR="00000000" w:rsidDel="00000000" w:rsidP="00000000" w:rsidRDefault="00000000" w:rsidRPr="00000000" w14:paraId="000001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60 días previo a la fecha de viaje.</w:t>
      </w:r>
    </w:p>
    <w:p w:rsidR="00000000" w:rsidDel="00000000" w:rsidP="00000000" w:rsidRDefault="00000000" w:rsidRPr="00000000" w14:paraId="000001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Menores 2 - 11,99 años Aprox 520 USD</w:t>
      </w:r>
    </w:p>
    <w:p w:rsidR="00000000" w:rsidDel="00000000" w:rsidP="00000000" w:rsidRDefault="00000000" w:rsidRPr="00000000" w14:paraId="000001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Puertos marcados con * Embarque/Desembarque en lanchas si lo permite el tiempo.</w:t>
      </w:r>
    </w:p>
    <w:p w:rsidR="00000000" w:rsidDel="00000000" w:rsidP="00000000" w:rsidRDefault="00000000" w:rsidRPr="00000000" w14:paraId="000001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1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cruceros también pueden comenzar en Kusadasi.</w:t>
      </w:r>
    </w:p>
    <w:p w:rsidR="00000000" w:rsidDel="00000000" w:rsidP="00000000" w:rsidRDefault="00000000" w:rsidRPr="00000000" w14:paraId="000001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puertos de escala y su orden pueden variar.</w:t>
      </w:r>
    </w:p>
    <w:p w:rsidR="00000000" w:rsidDel="00000000" w:rsidP="00000000" w:rsidRDefault="00000000" w:rsidRPr="00000000" w14:paraId="000001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158">
      <w:pPr>
        <w:numPr>
          <w:ilvl w:val="0"/>
          <w:numId w:val="2"/>
        </w:numPr>
        <w:spacing w:after="0" w:afterAutospacing="0" w:lineRule="auto"/>
        <w:ind w:left="720" w:hanging="360"/>
        <w:jc w:val="both"/>
      </w:pPr>
      <w:r w:rsidDel="00000000" w:rsidR="00000000" w:rsidRPr="00000000">
        <w:rPr>
          <w:rFonts w:ascii="Calibri" w:cs="Calibri" w:eastAsia="Calibri" w:hAnsi="Calibri"/>
          <w:color w:val="1f3864"/>
          <w:rtl w:val="0"/>
        </w:rPr>
        <w:t xml:space="preserve">El Gobierno griego ha anunciado incremento en la tasa de hotelería según lo siguiente:De abril a octubre las tasas serán: aprox. 2 € por noche para hoteles 1* y 2*, aprox. 5 € por noche para hoteles de 3*, aprox. 10 € por noche para hoteles de 4* &amp; aprox. 15 € por noche por hoteles de 5*.</w:t>
      </w:r>
    </w:p>
    <w:p w:rsidR="00000000" w:rsidDel="00000000" w:rsidP="00000000" w:rsidRDefault="00000000" w:rsidRPr="00000000" w14:paraId="00000159">
      <w:pPr>
        <w:numPr>
          <w:ilvl w:val="0"/>
          <w:numId w:val="2"/>
        </w:numPr>
        <w:spacing w:after="0" w:afterAutospacing="0" w:lineRule="auto"/>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El Gobierno griego ha anunciado tasas nuevas para cruceristas </w:t>
      </w:r>
      <w:r w:rsidDel="00000000" w:rsidR="00000000" w:rsidRPr="00000000">
        <w:rPr>
          <w:rFonts w:ascii="Calibri" w:cs="Calibri" w:eastAsia="Calibri" w:hAnsi="Calibri"/>
          <w:color w:val="1f3864"/>
          <w:rtl w:val="0"/>
        </w:rPr>
        <w:t xml:space="preserve">visitando</w:t>
      </w:r>
      <w:r w:rsidDel="00000000" w:rsidR="00000000" w:rsidRPr="00000000">
        <w:rPr>
          <w:rFonts w:ascii="Calibri" w:cs="Calibri" w:eastAsia="Calibri" w:hAnsi="Calibri"/>
          <w:color w:val="1f3864"/>
          <w:rtl w:val="0"/>
        </w:rPr>
        <w:t xml:space="preserve"> las islas griegas. La cantidad depende de la temporada e islas que se visitan y se pagará directamente a bordo por el pasajero.</w:t>
      </w:r>
    </w:p>
    <w:p w:rsidR="00000000" w:rsidDel="00000000" w:rsidP="00000000" w:rsidRDefault="00000000" w:rsidRPr="00000000" w14:paraId="000001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Celestyal Cruises solicita que todos los pasajeros estén informados de las condiciones generales, las puede Consultar en términos y condiciones del crucero aquí: </w:t>
      </w:r>
      <w:hyperlink r:id="rId10">
        <w:r w:rsidDel="00000000" w:rsidR="00000000" w:rsidRPr="00000000">
          <w:rPr>
            <w:rFonts w:ascii="Carlito" w:cs="Carlito" w:eastAsia="Carlito" w:hAnsi="Carlito"/>
            <w:b w:val="0"/>
            <w:i w:val="0"/>
            <w:smallCaps w:val="0"/>
            <w:strike w:val="0"/>
            <w:color w:val="1f3864"/>
            <w:sz w:val="22"/>
            <w:szCs w:val="22"/>
            <w:u w:val="none"/>
            <w:shd w:fill="auto" w:val="clear"/>
            <w:vertAlign w:val="baseline"/>
            <w:rtl w:val="0"/>
          </w:rPr>
          <w:t xml:space="preserve">https://celestyal.com/es/terms-and-conditions</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Consulta aquí las condiciones de esta asistencia: </w:t>
      </w:r>
      <w:hyperlink r:id="rId11">
        <w:r w:rsidDel="00000000" w:rsidR="00000000" w:rsidRPr="00000000">
          <w:rPr>
            <w:rFonts w:ascii="Carlito" w:cs="Carlito" w:eastAsia="Carlito" w:hAnsi="Carlito"/>
            <w:b w:val="0"/>
            <w:i w:val="0"/>
            <w:smallCaps w:val="0"/>
            <w:strike w:val="0"/>
            <w:color w:val="1f3864"/>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15C">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5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5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1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95 días o más antes de la salida: 60$ o 50€ por cabina Gastos Administrativos.</w:t>
      </w:r>
    </w:p>
    <w:p w:rsidR="00000000" w:rsidDel="00000000" w:rsidP="00000000" w:rsidRDefault="00000000" w:rsidRPr="00000000" w14:paraId="000001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94-35 días antes de la salida: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Perdida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depósito.</w:t>
      </w:r>
    </w:p>
    <w:p w:rsidR="00000000" w:rsidDel="00000000" w:rsidP="00000000" w:rsidRDefault="00000000" w:rsidRPr="00000000" w14:paraId="000001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34 días o menos antes de la salida: No hay </w:t>
      </w:r>
      <w:r w:rsidDel="00000000" w:rsidR="00000000" w:rsidRPr="00000000">
        <w:rPr>
          <w:rFonts w:ascii="Calibri" w:cs="Calibri" w:eastAsia="Calibri" w:hAnsi="Calibri"/>
          <w:color w:val="1f3864"/>
          <w:rtl w:val="0"/>
        </w:rPr>
        <w:t xml:space="preserve">reembolso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excepto tasas y propinas.</w:t>
      </w:r>
    </w:p>
    <w:p w:rsidR="00000000" w:rsidDel="00000000" w:rsidP="00000000" w:rsidRDefault="00000000" w:rsidRPr="00000000" w14:paraId="00000162">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6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6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6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6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6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68">
      <w:pPr>
        <w:rPr>
          <w:rFonts w:ascii="Calibri" w:cs="Calibri" w:eastAsia="Calibri" w:hAnsi="Calibri"/>
          <w:b w:val="1"/>
          <w:color w:val="1f3864"/>
          <w:sz w:val="4"/>
          <w:szCs w:val="4"/>
        </w:rPr>
      </w:pPr>
      <w:r w:rsidDel="00000000" w:rsidR="00000000" w:rsidRPr="00000000">
        <w:rPr>
          <w:rFonts w:ascii="Calibri" w:cs="Calibri" w:eastAsia="Calibri" w:hAnsi="Calibri"/>
          <w:b w:val="1"/>
          <w:color w:val="1f3864"/>
          <w:rtl w:val="0"/>
        </w:rPr>
        <w:t xml:space="preserve">RECOMENDACIONES:</w:t>
        <w:br w:type="textWrapping"/>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3"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Consulta el pronóstico del tiempo: Las condiciones climáticas pueden variar, especialmente en las islas.</w:t>
      </w:r>
    </w:p>
    <w:p w:rsidR="00000000" w:rsidDel="00000000" w:rsidP="00000000" w:rsidRDefault="00000000" w:rsidRPr="00000000" w14:paraId="000001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3"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acercarse a instalaciones militares, ni tomar fotos o videos de ellas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16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3"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moneda de Grecia es el Euro, reciben tarjetas sin problema, sin embargo no está demás llevar efectivo.</w:t>
      </w:r>
    </w:p>
    <w:p w:rsidR="00000000" w:rsidDel="00000000" w:rsidP="00000000" w:rsidRDefault="00000000" w:rsidRPr="00000000" w14:paraId="000001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3"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la mayoría de zonas turísticas hablan inglés sin problema, y en los restaurantes tienen sus cartas en inglés y en griego.</w:t>
      </w:r>
    </w:p>
    <w:p w:rsidR="00000000" w:rsidDel="00000000" w:rsidP="00000000" w:rsidRDefault="00000000" w:rsidRPr="00000000" w14:paraId="000001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Más información: </w:t>
      </w:r>
      <w:hyperlink r:id="rId1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16E">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6F">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1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1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1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1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1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176">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77">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78">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37" w:left="1418" w:right="1327"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-944879</wp:posOffset>
          </wp:positionH>
          <wp:positionV relativeFrom="paragraph">
            <wp:posOffset>620395</wp:posOffset>
          </wp:positionV>
          <wp:extent cx="7809865" cy="1086444"/>
          <wp:effectExtent b="0" l="0" r="0" t="0"/>
          <wp:wrapNone/>
          <wp:docPr id="203714005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8644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-586145</wp:posOffset>
          </wp:positionH>
          <wp:positionV relativeFrom="paragraph">
            <wp:posOffset>3139398</wp:posOffset>
          </wp:positionV>
          <wp:extent cx="406400" cy="2622550"/>
          <wp:effectExtent b="0" l="0" r="0" t="0"/>
          <wp:wrapNone/>
          <wp:docPr id="203714004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06400" cy="262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-1251703</wp:posOffset>
          </wp:positionH>
          <wp:positionV relativeFrom="paragraph">
            <wp:posOffset>-228229</wp:posOffset>
          </wp:positionV>
          <wp:extent cx="2340658" cy="1328560"/>
          <wp:effectExtent b="0" l="0" r="0" t="0"/>
          <wp:wrapNone/>
          <wp:docPr id="2037140048" name="image3.png"/>
          <a:graphic>
            <a:graphicData uri="http://schemas.openxmlformats.org/drawingml/2006/picture">
              <pic:pic>
                <pic:nvPicPr>
                  <pic:cNvPr id="0" name="image3.png"/>
                  <pic:cNvPicPr preferRelativeResize="0"/>
                </pic:nvPicPr>
                <pic:blipFill>
                  <a:blip r:embed="rId2"/>
                  <a:srcRect b="0" l="0" r="0" t="15363"/>
                  <a:stretch>
                    <a:fillRect/>
                  </a:stretch>
                </pic:blipFill>
                <pic:spPr>
                  <a:xfrm>
                    <a:off x="0" y="0"/>
                    <a:ext cx="2340658" cy="13285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-942974</wp:posOffset>
          </wp:positionH>
          <wp:positionV relativeFrom="paragraph">
            <wp:posOffset>-447674</wp:posOffset>
          </wp:positionV>
          <wp:extent cx="8016875" cy="955040"/>
          <wp:effectExtent b="0" l="0" r="0" t="0"/>
          <wp:wrapNone/>
          <wp:docPr id="203714005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universal-assistance.com/files/condiciones_generales.pdf" TargetMode="External"/><Relationship Id="rId10" Type="http://schemas.openxmlformats.org/officeDocument/2006/relationships/hyperlink" Target="https://celestyal.com/es/terms-and-conditions" TargetMode="External"/><Relationship Id="rId13" Type="http://schemas.openxmlformats.org/officeDocument/2006/relationships/hyperlink" Target="https://apply.joinsherpa.com/travel-restrictions/GRC?affiliateId=sherpa&amp;language=es-XL&amp;originCountry=COL" TargetMode="External"/><Relationship Id="rId12" Type="http://schemas.openxmlformats.org/officeDocument/2006/relationships/hyperlink" Target="https://gnto.gov.gr/?hl=es-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impSu0PzKzlPX3CA+9s/3bXDnA==">CgMxLjAyCWguMzBqMHpsbDgAciExTUFJOFFnX0VvZU1HTkRFYlpOdURVVko1TWR4VjcyTFE=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