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EL CAMINO DE SAN JUAN PABLO II</w:t>
      </w: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 5N/6D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color w:val="1f3864"/>
          <w:rtl w:val="0"/>
        </w:rPr>
        <w:t xml:space="preserve">(Polonia)</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SALIDAS PUNTUALES: </w:t>
      </w:r>
      <w:r w:rsidDel="00000000" w:rsidR="00000000" w:rsidRPr="00000000">
        <w:rPr>
          <w:color w:val="1f3864"/>
          <w:rtl w:val="0"/>
        </w:rPr>
        <w:t xml:space="preserve"> Hasta Septiembre del 2025. (Ver cuadro de salidas).</w:t>
      </w:r>
      <w:r w:rsidDel="00000000" w:rsidR="00000000" w:rsidRPr="00000000">
        <w:rPr>
          <w:rtl w:val="0"/>
        </w:rPr>
      </w:r>
    </w:p>
    <w:p w:rsidR="00000000" w:rsidDel="00000000" w:rsidP="00000000" w:rsidRDefault="00000000" w:rsidRPr="00000000" w14:paraId="00000006">
      <w:pPr>
        <w:pBdr>
          <w:bottom w:color="000000" w:space="1" w:sz="6" w:val="single"/>
        </w:pBdr>
        <w:jc w:val="both"/>
        <w:rPr>
          <w:color w:val="1f3864"/>
          <w:sz w:val="6"/>
          <w:szCs w:val="6"/>
        </w:rPr>
      </w:pPr>
      <w:bookmarkStart w:colFirst="0" w:colLast="0" w:name="_heading=h.30j0zll" w:id="0"/>
      <w:bookmarkEnd w:id="0"/>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drawing>
          <wp:inline distB="0" distT="0" distL="0" distR="0">
            <wp:extent cx="1616802" cy="1230856"/>
            <wp:effectExtent b="0" l="0" r="0" t="0"/>
            <wp:docPr descr="Cracovia: Visita guiada al Papa Juan Pablo II con Casa y Santuario |  GetYourGuide" id="2067580560" name="image7.jpg"/>
            <a:graphic>
              <a:graphicData uri="http://schemas.openxmlformats.org/drawingml/2006/picture">
                <pic:pic>
                  <pic:nvPicPr>
                    <pic:cNvPr descr="Cracovia: Visita guiada al Papa Juan Pablo II con Casa y Santuario |  GetYourGuide" id="0" name="image7.jpg"/>
                    <pic:cNvPicPr preferRelativeResize="0"/>
                  </pic:nvPicPr>
                  <pic:blipFill>
                    <a:blip r:embed="rId7"/>
                    <a:srcRect b="0" l="4376" r="8380" t="0"/>
                    <a:stretch>
                      <a:fillRect/>
                    </a:stretch>
                  </pic:blipFill>
                  <pic:spPr>
                    <a:xfrm>
                      <a:off x="0" y="0"/>
                      <a:ext cx="1616802" cy="1230856"/>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38269" cy="1230504"/>
            <wp:effectExtent b="0" l="0" r="0" t="0"/>
            <wp:docPr descr="Auschwitz - Wikipedia, la enciclopedia libre" id="2067580562" name="image2.jpg"/>
            <a:graphic>
              <a:graphicData uri="http://schemas.openxmlformats.org/drawingml/2006/picture">
                <pic:pic>
                  <pic:nvPicPr>
                    <pic:cNvPr descr="Auschwitz - Wikipedia, la enciclopedia libre" id="0" name="image2.jpg"/>
                    <pic:cNvPicPr preferRelativeResize="0"/>
                  </pic:nvPicPr>
                  <pic:blipFill>
                    <a:blip r:embed="rId8"/>
                    <a:srcRect b="0" l="0" r="0" t="0"/>
                    <a:stretch>
                      <a:fillRect/>
                    </a:stretch>
                  </pic:blipFill>
                  <pic:spPr>
                    <a:xfrm>
                      <a:off x="0" y="0"/>
                      <a:ext cx="1838269" cy="1230504"/>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37796" cy="1228624"/>
            <wp:effectExtent b="0" l="0" r="0" t="0"/>
            <wp:docPr descr="Kalwaria Zebrzydowska, patrimonio polaco : Viaje a Europa del Este" id="2067580561" name="image5.jpg"/>
            <a:graphic>
              <a:graphicData uri="http://schemas.openxmlformats.org/drawingml/2006/picture">
                <pic:pic>
                  <pic:nvPicPr>
                    <pic:cNvPr descr="Kalwaria Zebrzydowska, patrimonio polaco : Viaje a Europa del Este" id="0" name="image5.jpg"/>
                    <pic:cNvPicPr preferRelativeResize="0"/>
                  </pic:nvPicPr>
                  <pic:blipFill>
                    <a:blip r:embed="rId9"/>
                    <a:srcRect b="0" l="5202" r="7278" t="0"/>
                    <a:stretch>
                      <a:fillRect/>
                    </a:stretch>
                  </pic:blipFill>
                  <pic:spPr>
                    <a:xfrm>
                      <a:off x="0" y="0"/>
                      <a:ext cx="1837796" cy="122862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both"/>
        <w:rPr>
          <w:b w:val="1"/>
          <w:color w:val="002060"/>
        </w:rPr>
      </w:pPr>
      <w:r w:rsidDel="00000000" w:rsidR="00000000" w:rsidRPr="00000000">
        <w:rPr>
          <w:b w:val="1"/>
          <w:color w:val="002060"/>
          <w:rtl w:val="0"/>
        </w:rPr>
        <w:t xml:space="preserve">DÍA 1: CRACOVIA</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Llegada y traslado al hotel. Cena y alojamiento.</w:t>
      </w:r>
    </w:p>
    <w:p w:rsidR="00000000" w:rsidDel="00000000" w:rsidP="00000000" w:rsidRDefault="00000000" w:rsidRPr="00000000" w14:paraId="0000000C">
      <w:pPr>
        <w:spacing w:after="0" w:line="240" w:lineRule="auto"/>
        <w:jc w:val="both"/>
        <w:rPr>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DÍA 2: CRACOVIA / CZESTOCHOWA / CRACOVIA</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Desayuno. Por la mañana comenzaremos visitando Cracovia, una de las ciudades más antiguas y bellas de Polonia, donde destaca La colina de Wawel con el Castillo de Wawel, la catedral, el Palacio de los Arzobispos de Cracovia y la iglesia de los Franciscanos, pasearemos por el casco antiguo y admiramos la Universidad </w:t>
      </w:r>
      <w:r w:rsidDel="00000000" w:rsidR="00000000" w:rsidRPr="00000000">
        <w:rPr>
          <w:color w:val="002060"/>
          <w:rtl w:val="0"/>
        </w:rPr>
        <w:t xml:space="preserve">Jagiellonica</w:t>
      </w:r>
      <w:r w:rsidDel="00000000" w:rsidR="00000000" w:rsidRPr="00000000">
        <w:rPr>
          <w:color w:val="002060"/>
          <w:rtl w:val="0"/>
        </w:rPr>
        <w:t xml:space="preserve">, la plaza del mercado más grande de Europa, la torre del Ayuntamiento, el antiguo Mercado de Paños, la iglesia de la Santa Virgen María con el altar del genial escultor Vito Stoss y la muralla antigua cerca de la Puerta de San Florián y de la Barbacana. Traslado a Czestochowa y almuerzo. Por la tarde nos dirigiremos al monasterio de los Padres Paulinos donde se encuentra la milagrosa imagen de la Virgen María de Czestochowa llamada también “la Virgen Negra”: el lugar de peregrinación más importante de Polonia, y finalizamos asistiendo a la Santa Misa en una de las capillas del Santuario. Regreso a Cracovia. Cena y alojamiento</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DÍA 3: CRACOVIA / AUSCHWITZ BIRKENAU / LAGIEWNIKI / CRACOVIA</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Desayuno. Breve visita al barrio judío Kazmierz, el centro de la vida religiosa y social de la Cracovia judía (si disponemos de suficiente tiempo visitaremos una de las sinagogas de Kazmierz) y continuaremos hacia el museo de Auschwitz-Birkenau para visitar el territorio del ex- campo de concentración y de exterminio nazi, construido por los alemanes durante la ocupación nazi de Polonia, y que hoy en día forma parte del Patrimonio Mundial de la UNESCO. Almuerzo. Por la tarde saldremos hacia Lagiewniki, donde visitaremos el Santuario relacionado con la Divina Misericordia más importante del mundo, proclamado por el Papa S. Juan Pablo II durante su visita a Polonia en 2002, y finalizamos el día asistiendo a la Santa Misa en una de las capillas del Santuario. Regreso a Cracovia. Cena y alojamiento.</w:t>
      </w:r>
    </w:p>
    <w:p w:rsidR="00000000" w:rsidDel="00000000" w:rsidP="00000000" w:rsidRDefault="00000000" w:rsidRPr="00000000" w14:paraId="0000001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3">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b w:val="1"/>
          <w:color w:val="002060"/>
          <w:rtl w:val="0"/>
        </w:rPr>
        <w:t xml:space="preserve">DÍA 4: CRACOVIA / DUMAJEC / ZAKOPANE / CRACOVIA</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Desayuno. Temprano saldremos hacia Sromowce Wyzne, para realizar un viaje en balsas tradicionales sobre el río Dunajec que corre entre los pintorescos desfiladeros de los Pieniny, en la frontera entre Polonia y Eslovaquia. Traslado a Zakopane y almuerzo. Por la tarde podremos ver El Santuario de la Santa Virgen de Fátima en Krzeptowki, construido para dar gracias a Dios por haber salvado la vida de San Juan Pablo II después del atentado del 13 de mayo de 1.983, y finalizamos el día asistiendo a misa en el Santuario. Tiempo libre y regreso a Cracovia. Cena y alojamiento.</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color w:val="002060"/>
        </w:rPr>
      </w:pPr>
      <w:r w:rsidDel="00000000" w:rsidR="00000000" w:rsidRPr="00000000">
        <w:rPr>
          <w:b w:val="1"/>
          <w:color w:val="002060"/>
          <w:rtl w:val="0"/>
        </w:rPr>
        <w:t xml:space="preserve">DÍA 5: CRACOVIA / WADOWICE / KALWARIA ZEBRZYDOWSKA / WIELICZKA / CRACOVIA</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Salida hacia Wadowice, en el camino realizaremos una parada en Kalwaria Zebrzydowska para visitar su santuario, uno de los más visitados de Polonia, inscrito en la lista de la UNESCO en el año 1.999 como Patrimonio de la Humanidad. A nuestra llegada asistiremos a la Santa Misa en la parroquia del Papa y realizaremos una visita a la ciudad con sus puntos de interés: la casa donde el 18 de mayo de 1920 nació el Papa San Juan Pablo II y la iglesia parroquial en la que fue bautizado el 20 de junio de 1920. Almuerzo. Por la tarde continuaremos hacia Wieliczka donde visitaremos la mina de sal, una de las minas de sal más antiguas del mundo, funciona desde los tiempos prehistóricos y forma una ciudad subterránea con capillas (la capilla de Santa Kinga es la capilla subterránea más grande del mundo), lagos y túneles. Regreso a Cracovia. Cena y alojamiento</w:t>
        <w:br w:type="textWrapping"/>
      </w:r>
    </w:p>
    <w:p w:rsidR="00000000" w:rsidDel="00000000" w:rsidP="00000000" w:rsidRDefault="00000000" w:rsidRPr="00000000" w14:paraId="00000019">
      <w:pPr>
        <w:rPr>
          <w:b w:val="1"/>
          <w:color w:val="002060"/>
        </w:rPr>
      </w:pPr>
      <w:r w:rsidDel="00000000" w:rsidR="00000000" w:rsidRPr="00000000">
        <w:rPr>
          <w:b w:val="1"/>
          <w:color w:val="002060"/>
          <w:rtl w:val="0"/>
        </w:rPr>
        <w:t xml:space="preserve">DÍA 6: CRACOVIA</w:t>
        <w:br w:type="textWrapping"/>
      </w:r>
      <w:r w:rsidDel="00000000" w:rsidR="00000000" w:rsidRPr="00000000">
        <w:rPr>
          <w:color w:val="002060"/>
          <w:rtl w:val="0"/>
        </w:rPr>
        <w:t xml:space="preserve">Desayuno. Traslado al aeropuerto. </w:t>
      </w:r>
      <w:r w:rsidDel="00000000" w:rsidR="00000000" w:rsidRPr="00000000">
        <w:rPr>
          <w:rtl w:val="0"/>
        </w:rPr>
      </w:r>
    </w:p>
    <w:p w:rsidR="00000000" w:rsidDel="00000000" w:rsidP="00000000" w:rsidRDefault="00000000" w:rsidRPr="00000000" w14:paraId="0000001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1C">
      <w:pPr>
        <w:spacing w:after="0" w:line="240" w:lineRule="auto"/>
        <w:rPr>
          <w:color w:val="002060"/>
        </w:rPr>
      </w:pPr>
      <w:r w:rsidDel="00000000" w:rsidR="00000000" w:rsidRPr="00000000">
        <w:rPr>
          <w:rtl w:val="0"/>
        </w:rPr>
      </w:r>
    </w:p>
    <w:p w:rsidR="00000000" w:rsidDel="00000000" w:rsidP="00000000" w:rsidRDefault="00000000" w:rsidRPr="00000000" w14:paraId="0000001D">
      <w:pPr>
        <w:spacing w:after="0" w:line="240" w:lineRule="auto"/>
        <w:jc w:val="center"/>
        <w:rPr>
          <w:color w:val="002060"/>
        </w:rPr>
      </w:pPr>
      <w:r w:rsidDel="00000000" w:rsidR="00000000" w:rsidRPr="00000000">
        <w:rPr>
          <w:rtl w:val="0"/>
        </w:rPr>
      </w:r>
    </w:p>
    <w:p w:rsidR="00000000" w:rsidDel="00000000" w:rsidP="00000000" w:rsidRDefault="00000000" w:rsidRPr="00000000" w14:paraId="0000001E">
      <w:pPr>
        <w:spacing w:after="0" w:lineRule="auto"/>
        <w:jc w:val="center"/>
        <w:rPr>
          <w:b w:val="1"/>
          <w:color w:val="002060"/>
        </w:rPr>
      </w:pPr>
      <w:r w:rsidDel="00000000" w:rsidR="00000000" w:rsidRPr="00000000">
        <w:rPr>
          <w:b w:val="1"/>
          <w:color w:val="002060"/>
          <w:rtl w:val="0"/>
        </w:rPr>
        <w:t xml:space="preserve">TARIFA EN EUROS POR PERSONA DESDE</w:t>
      </w:r>
    </w:p>
    <w:p w:rsidR="00000000" w:rsidDel="00000000" w:rsidP="00000000" w:rsidRDefault="00000000" w:rsidRPr="00000000" w14:paraId="0000001F">
      <w:pPr>
        <w:spacing w:after="0" w:lineRule="auto"/>
        <w:jc w:val="center"/>
        <w:rPr>
          <w:b w:val="1"/>
          <w:color w:val="002060"/>
        </w:rPr>
      </w:pPr>
      <w:r w:rsidDel="00000000" w:rsidR="00000000" w:rsidRPr="00000000">
        <w:rPr>
          <w:rtl w:val="0"/>
        </w:rPr>
      </w:r>
    </w:p>
    <w:tbl>
      <w:tblPr>
        <w:tblStyle w:val="Table1"/>
        <w:tblW w:w="8343.0" w:type="dxa"/>
        <w:jc w:val="center"/>
        <w:tblLayout w:type="fixed"/>
        <w:tblLook w:val="0400"/>
      </w:tblPr>
      <w:tblGrid>
        <w:gridCol w:w="2123"/>
        <w:gridCol w:w="1800"/>
        <w:gridCol w:w="1420"/>
        <w:gridCol w:w="1420"/>
        <w:gridCol w:w="1580"/>
        <w:tblGridChange w:id="0">
          <w:tblGrid>
            <w:gridCol w:w="2123"/>
            <w:gridCol w:w="1800"/>
            <w:gridCol w:w="1420"/>
            <w:gridCol w:w="1420"/>
            <w:gridCol w:w="1580"/>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color w:val="ffffff"/>
              </w:rPr>
            </w:pPr>
            <w:r w:rsidDel="00000000" w:rsidR="00000000" w:rsidRPr="00000000">
              <w:rPr>
                <w:b w:val="1"/>
                <w:color w:val="ffffff"/>
                <w:rtl w:val="0"/>
              </w:rPr>
              <w:t xml:space="preserve">SALIDAS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color w:val="ffffff"/>
              </w:rPr>
            </w:pPr>
            <w:r w:rsidDel="00000000" w:rsidR="00000000" w:rsidRPr="00000000">
              <w:rPr>
                <w:b w:val="1"/>
                <w:color w:val="ffffff"/>
                <w:rtl w:val="0"/>
              </w:rPr>
              <w:t xml:space="preserve">DE 25 A 29</w:t>
              <w:br w:type="textWrapping"/>
              <w:t xml:space="preserve">PEREGRINOS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color w:val="ffffff"/>
              </w:rPr>
            </w:pPr>
            <w:r w:rsidDel="00000000" w:rsidR="00000000" w:rsidRPr="00000000">
              <w:rPr>
                <w:b w:val="1"/>
                <w:color w:val="ffffff"/>
                <w:rtl w:val="0"/>
              </w:rPr>
              <w:t xml:space="preserve">DE 20 A 24</w:t>
              <w:br w:type="textWrapping"/>
              <w:t xml:space="preserve">PEREGRINOS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color w:val="ffffff"/>
              </w:rPr>
            </w:pPr>
            <w:r w:rsidDel="00000000" w:rsidR="00000000" w:rsidRPr="00000000">
              <w:rPr>
                <w:b w:val="1"/>
                <w:color w:val="ffffff"/>
                <w:rtl w:val="0"/>
              </w:rPr>
              <w:t xml:space="preserve">DE 15 A 19</w:t>
              <w:br w:type="textWrapping"/>
              <w:t xml:space="preserve">PEREGRINOS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color w:val="ffffff"/>
              </w:rPr>
            </w:pPr>
            <w:r w:rsidDel="00000000" w:rsidR="00000000" w:rsidRPr="00000000">
              <w:rPr>
                <w:b w:val="1"/>
                <w:color w:val="ffffff"/>
                <w:rtl w:val="0"/>
              </w:rPr>
              <w:t xml:space="preserve">SUPLEMENTO INDIVIDUAL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18 DE 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b w:val="1"/>
                <w:color w:val="002060"/>
              </w:rPr>
            </w:pPr>
            <w:r w:rsidDel="00000000" w:rsidR="00000000" w:rsidRPr="00000000">
              <w:rPr>
                <w:b w:val="1"/>
                <w:color w:val="002060"/>
                <w:rtl w:val="0"/>
              </w:rPr>
              <w:t xml:space="preserve">1.284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1.378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1.854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378 EUR</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19 DE 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1.328 EUR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1.422 EUR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1.910 EUR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416 EUR</w:t>
            </w:r>
          </w:p>
        </w:tc>
      </w:tr>
    </w:tbl>
    <w:p w:rsidR="00000000" w:rsidDel="00000000" w:rsidP="00000000" w:rsidRDefault="00000000" w:rsidRPr="00000000" w14:paraId="0000002F">
      <w:pPr>
        <w:spacing w:after="0" w:lineRule="auto"/>
        <w:jc w:val="center"/>
        <w:rPr>
          <w:i w:val="1"/>
          <w:color w:val="ff0000"/>
          <w:u w:val="single"/>
        </w:rPr>
      </w:pPr>
      <w:r w:rsidDel="00000000" w:rsidR="00000000" w:rsidRPr="00000000">
        <w:rPr>
          <w:i w:val="1"/>
          <w:color w:val="ff0000"/>
          <w:u w:val="single"/>
          <w:rtl w:val="0"/>
        </w:rPr>
        <w:t xml:space="preserve">Precios por persona en habitación doble.</w:t>
      </w:r>
    </w:p>
    <w:p w:rsidR="00000000" w:rsidDel="00000000" w:rsidP="00000000" w:rsidRDefault="00000000" w:rsidRPr="00000000" w14:paraId="00000030">
      <w:pPr>
        <w:spacing w:after="0" w:lineRule="auto"/>
        <w:rPr>
          <w:b w:val="1"/>
          <w:color w:val="002060"/>
        </w:rPr>
      </w:pPr>
      <w:r w:rsidDel="00000000" w:rsidR="00000000" w:rsidRPr="00000000">
        <w:rPr>
          <w:rtl w:val="0"/>
        </w:rPr>
      </w:r>
    </w:p>
    <w:p w:rsidR="00000000" w:rsidDel="00000000" w:rsidP="00000000" w:rsidRDefault="00000000" w:rsidRPr="00000000" w14:paraId="00000031">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32">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33">
      <w:pPr>
        <w:spacing w:after="0" w:line="240" w:lineRule="auto"/>
        <w:jc w:val="both"/>
        <w:rPr>
          <w:b w:val="1"/>
          <w:color w:val="002060"/>
        </w:rPr>
      </w:pPr>
      <w:r w:rsidDel="00000000" w:rsidR="00000000" w:rsidRPr="00000000">
        <w:rPr>
          <w:rtl w:val="0"/>
        </w:rPr>
      </w:r>
    </w:p>
    <w:tbl>
      <w:tblPr>
        <w:tblStyle w:val="Table2"/>
        <w:tblW w:w="6936.0" w:type="dxa"/>
        <w:jc w:val="center"/>
        <w:tblLayout w:type="fixed"/>
        <w:tblLook w:val="0400"/>
      </w:tblPr>
      <w:tblGrid>
        <w:gridCol w:w="1981"/>
        <w:gridCol w:w="4955"/>
        <w:tblGridChange w:id="0">
          <w:tblGrid>
            <w:gridCol w:w="1981"/>
            <w:gridCol w:w="495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color w:val="ffffff"/>
              </w:rPr>
            </w:pPr>
            <w:r w:rsidDel="00000000" w:rsidR="00000000" w:rsidRPr="00000000">
              <w:rPr>
                <w:b w:val="1"/>
                <w:color w:val="ffffff"/>
                <w:rtl w:val="0"/>
              </w:rPr>
              <w:t xml:space="preserve">HOTELES PREVISTOS O SIMILARES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CRACOVIA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Golden Tulip Kazimierz 4*</w:t>
            </w:r>
          </w:p>
        </w:tc>
      </w:tr>
    </w:tbl>
    <w:p w:rsidR="00000000" w:rsidDel="00000000" w:rsidP="00000000" w:rsidRDefault="00000000" w:rsidRPr="00000000" w14:paraId="0000003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9">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after="0" w:lineRule="auto"/>
        <w:rPr>
          <w:color w:val="002060"/>
        </w:rPr>
      </w:pPr>
      <w:r w:rsidDel="00000000" w:rsidR="00000000" w:rsidRPr="00000000">
        <w:rPr>
          <w:b w:val="1"/>
          <w:color w:val="002060"/>
          <w:rtl w:val="0"/>
        </w:rPr>
        <w:t xml:space="preserve">INCLUYE: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Traslados aeropuerto - hotel - aeropuerto con asistencia en español en Cracovia.</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Autobús o microbús homologado con aire acondicionado durante todo el recorrido.</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5 noches de estancia en el hotel previsto o similar en habitación doble en régimen indicado.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4 almuerzos en restaurantes locales indicados en el itinerario</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Visitas de Cracovia, Casa Museo del Papa en Wadowice, Minas de Sal de Wieliczka, Zakopane, Museo y Memorial de Auschiwtz-Birkenau, Santuario de Czestochowa y Lagiewniki y Kalwaria.</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Entradas a la catedral de Cracovia, la iglesia de la Virgen María y una sinagoga.</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Entradas a las Minas de Sal de Wieliczka (bajada a pie y subida en ascensor).</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Tickets para el descenso por el río Dunajec.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Entradas al Museo y Memorial de Auschwitz-Birkenau, al santuario de Czestochowa y Lagiewniki y Kalwaria.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Guía local acompañante en español del 2º al 5º día. (salida con un mínimo de 15 peregrinos).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93"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SIM CARD Conecty de regalo.</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de 60.000 USD)</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48">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internacionales ni locales (pregunta por nuestras tarifas especiales).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Bebidas en las comidas y cenas.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no especificados en el párrafo incluye.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de índole personal.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4E">
      <w:pPr>
        <w:spacing w:after="0" w:line="240" w:lineRule="auto"/>
        <w:rPr>
          <w:color w:val="002060"/>
        </w:rPr>
      </w:pPr>
      <w:r w:rsidDel="00000000" w:rsidR="00000000" w:rsidRPr="00000000">
        <w:rPr>
          <w:rtl w:val="0"/>
        </w:rPr>
      </w:r>
    </w:p>
    <w:p w:rsidR="00000000" w:rsidDel="00000000" w:rsidP="00000000" w:rsidRDefault="00000000" w:rsidRPr="00000000" w14:paraId="0000004F">
      <w:pPr>
        <w:spacing w:after="0" w:lineRule="auto"/>
        <w:jc w:val="both"/>
        <w:rPr>
          <w:b w:val="1"/>
          <w:color w:val="002060"/>
        </w:rPr>
      </w:pPr>
      <w:r w:rsidDel="00000000" w:rsidR="00000000" w:rsidRPr="00000000">
        <w:rPr>
          <w:rtl w:val="0"/>
        </w:rPr>
      </w:r>
    </w:p>
    <w:p w:rsidR="00000000" w:rsidDel="00000000" w:rsidP="00000000" w:rsidRDefault="00000000" w:rsidRPr="00000000" w14:paraId="00000050">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2">
      <w:pPr>
        <w:numPr>
          <w:ilvl w:val="0"/>
          <w:numId w:val="1"/>
        </w:numPr>
        <w:spacing w:after="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3">
      <w:pPr>
        <w:numPr>
          <w:ilvl w:val="0"/>
          <w:numId w:val="1"/>
        </w:numPr>
        <w:spacing w:after="0" w:lineRule="auto"/>
        <w:ind w:left="720" w:hanging="360"/>
        <w:jc w:val="both"/>
        <w:rPr>
          <w:color w:val="1f3864"/>
        </w:rPr>
      </w:pPr>
      <w:r w:rsidDel="00000000" w:rsidR="00000000" w:rsidRPr="00000000">
        <w:rPr>
          <w:color w:val="1f3864"/>
          <w:rtl w:val="0"/>
        </w:rPr>
        <w:t xml:space="preserve">Para garantía de reserva se requiere un depósito del 40 % del valor del paquete por persona</w:t>
      </w:r>
    </w:p>
    <w:p w:rsidR="00000000" w:rsidDel="00000000" w:rsidP="00000000" w:rsidRDefault="00000000" w:rsidRPr="00000000" w14:paraId="00000054">
      <w:pPr>
        <w:numPr>
          <w:ilvl w:val="0"/>
          <w:numId w:val="1"/>
        </w:numPr>
        <w:spacing w:after="0" w:lineRule="auto"/>
        <w:ind w:left="720" w:hanging="360"/>
        <w:jc w:val="both"/>
        <w:rPr>
          <w:color w:val="1f3864"/>
        </w:rPr>
      </w:pPr>
      <w:r w:rsidDel="00000000" w:rsidR="00000000" w:rsidRPr="00000000">
        <w:rPr>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5">
      <w:pPr>
        <w:numPr>
          <w:ilvl w:val="0"/>
          <w:numId w:val="1"/>
        </w:numPr>
        <w:spacing w:after="0" w:lineRule="auto"/>
        <w:ind w:left="7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56">
      <w:pPr>
        <w:numPr>
          <w:ilvl w:val="0"/>
          <w:numId w:val="1"/>
        </w:numPr>
        <w:spacing w:after="0" w:lineRule="auto"/>
        <w:ind w:left="7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57">
      <w:pPr>
        <w:numPr>
          <w:ilvl w:val="0"/>
          <w:numId w:val="1"/>
        </w:numPr>
        <w:spacing w:after="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8">
      <w:pPr>
        <w:numPr>
          <w:ilvl w:val="0"/>
          <w:numId w:val="1"/>
        </w:numPr>
        <w:spacing w:after="0" w:lineRule="auto"/>
        <w:ind w:left="720" w:hanging="360"/>
        <w:jc w:val="both"/>
        <w:rPr>
          <w:color w:val="1f3864"/>
        </w:rPr>
      </w:pPr>
      <w:r w:rsidDel="00000000" w:rsidR="00000000" w:rsidRPr="00000000">
        <w:rPr>
          <w:color w:val="1f3864"/>
          <w:rtl w:val="0"/>
        </w:rPr>
        <w:t xml:space="preserve">El uso de autobús o microbús dependerá del número de peregrinos que realicen el viaje.</w:t>
      </w:r>
    </w:p>
    <w:p w:rsidR="00000000" w:rsidDel="00000000" w:rsidP="00000000" w:rsidRDefault="00000000" w:rsidRPr="00000000" w14:paraId="00000059">
      <w:pPr>
        <w:numPr>
          <w:ilvl w:val="0"/>
          <w:numId w:val="1"/>
        </w:numPr>
        <w:spacing w:after="0" w:lineRule="auto"/>
        <w:ind w:left="720" w:hanging="360"/>
        <w:jc w:val="both"/>
        <w:rPr>
          <w:color w:val="1f3864"/>
        </w:rPr>
      </w:pPr>
      <w:r w:rsidDel="00000000" w:rsidR="00000000" w:rsidRPr="00000000">
        <w:rPr>
          <w:color w:val="1f3864"/>
          <w:rtl w:val="0"/>
        </w:rPr>
        <w:t xml:space="preserve">Las Misas se podrán celebrar sólo cuando el grupo viaje acompañado por un sacerdote.</w:t>
      </w:r>
    </w:p>
    <w:p w:rsidR="00000000" w:rsidDel="00000000" w:rsidP="00000000" w:rsidRDefault="00000000" w:rsidRPr="00000000" w14:paraId="0000005A">
      <w:pPr>
        <w:numPr>
          <w:ilvl w:val="0"/>
          <w:numId w:val="1"/>
        </w:numPr>
        <w:spacing w:after="0" w:lineRule="auto"/>
        <w:ind w:left="720" w:hanging="360"/>
        <w:jc w:val="both"/>
        <w:rPr>
          <w:color w:val="1f3864"/>
        </w:rPr>
      </w:pPr>
      <w:r w:rsidDel="00000000" w:rsidR="00000000" w:rsidRPr="00000000">
        <w:rPr>
          <w:color w:val="1f3864"/>
          <w:rtl w:val="0"/>
        </w:rPr>
        <w:t xml:space="preserve">City Tax: Importe establecido por las Autoridades locales y vigente a la fecha de publicación de este paquete. Cualquier variación en este importe será notificado previo al viaje para la regularización de la reserva.</w:t>
      </w:r>
    </w:p>
    <w:p w:rsidR="00000000" w:rsidDel="00000000" w:rsidP="00000000" w:rsidRDefault="00000000" w:rsidRPr="00000000" w14:paraId="0000005B">
      <w:pPr>
        <w:numPr>
          <w:ilvl w:val="0"/>
          <w:numId w:val="1"/>
        </w:numPr>
        <w:spacing w:after="0" w:lineRule="auto"/>
        <w:ind w:left="720" w:hanging="360"/>
        <w:jc w:val="both"/>
        <w:rPr>
          <w:color w:val="1f3864"/>
        </w:rPr>
      </w:pPr>
      <w:r w:rsidDel="00000000" w:rsidR="00000000" w:rsidRPr="00000000">
        <w:rPr>
          <w:color w:val="1f3864"/>
          <w:rtl w:val="0"/>
        </w:rPr>
        <w:t xml:space="preserve">Precios sujetos a disponibilidad y salida con un mínimo de 15 peregrinos, la peregrinación se confirmará 40 días antes de su salida. (consultar disponibilidad real).</w:t>
      </w:r>
    </w:p>
    <w:p w:rsidR="00000000" w:rsidDel="00000000" w:rsidP="00000000" w:rsidRDefault="00000000" w:rsidRPr="00000000" w14:paraId="0000005C">
      <w:pPr>
        <w:numPr>
          <w:ilvl w:val="0"/>
          <w:numId w:val="1"/>
        </w:numPr>
        <w:spacing w:after="0" w:lineRule="auto"/>
        <w:ind w:left="7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Consulta aquí las condiciones de esta asistencia: </w:t>
      </w:r>
      <w:hyperlink r:id="rId10">
        <w:r w:rsidDel="00000000" w:rsidR="00000000" w:rsidRPr="00000000">
          <w:rPr>
            <w:color w:val="1155cc"/>
            <w:sz w:val="21"/>
            <w:szCs w:val="21"/>
            <w:u w:val="singl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5D">
      <w:pPr>
        <w:tabs>
          <w:tab w:val="left" w:leader="none" w:pos="160"/>
        </w:tabs>
        <w:spacing w:after="0" w:lineRule="auto"/>
        <w:jc w:val="both"/>
        <w:rPr>
          <w:color w:val="1f3864"/>
        </w:rPr>
      </w:pPr>
      <w:r w:rsidDel="00000000" w:rsidR="00000000" w:rsidRPr="00000000">
        <w:rPr>
          <w:rtl w:val="0"/>
        </w:rPr>
      </w:r>
    </w:p>
    <w:p w:rsidR="00000000" w:rsidDel="00000000" w:rsidP="00000000" w:rsidRDefault="00000000" w:rsidRPr="00000000" w14:paraId="0000005E">
      <w:pPr>
        <w:rPr>
          <w:b w:val="1"/>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r w:rsidDel="00000000" w:rsidR="00000000" w:rsidRPr="00000000">
        <w:rPr>
          <w:rtl w:val="0"/>
        </w:rPr>
      </w:r>
    </w:p>
    <w:p w:rsidR="00000000" w:rsidDel="00000000" w:rsidP="00000000" w:rsidRDefault="00000000" w:rsidRPr="00000000" w14:paraId="0000005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60">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61">
      <w:pPr>
        <w:spacing w:after="0" w:lineRule="auto"/>
        <w:ind w:left="8" w:right="520" w:firstLine="0"/>
        <w:jc w:val="both"/>
        <w:rPr>
          <w:color w:val="1f3864"/>
        </w:rPr>
      </w:pPr>
      <w:r w:rsidDel="00000000" w:rsidR="00000000" w:rsidRPr="00000000">
        <w:rPr>
          <w:b w:val="1"/>
          <w:color w:val="1f3864"/>
          <w:rtl w:val="0"/>
        </w:rPr>
        <w:t xml:space="preserve">A) </w:t>
      </w:r>
      <w:r w:rsidDel="00000000" w:rsidR="00000000" w:rsidRPr="00000000">
        <w:rPr>
          <w:color w:val="1f3864"/>
          <w:rtl w:val="0"/>
        </w:rPr>
        <w:t xml:space="preserve">Cancelaciones producidas entre 20 y 15 días antes de la fecha de inicio del viaje originan 25% del importe del circuito en concepto de gastos por cancelación. </w:t>
      </w:r>
    </w:p>
    <w:p w:rsidR="00000000" w:rsidDel="00000000" w:rsidP="00000000" w:rsidRDefault="00000000" w:rsidRPr="00000000" w14:paraId="00000062">
      <w:pPr>
        <w:spacing w:after="0" w:lineRule="auto"/>
        <w:ind w:left="8" w:right="520" w:firstLine="0"/>
        <w:jc w:val="both"/>
        <w:rPr>
          <w:b w:val="1"/>
          <w:color w:val="1f3864"/>
        </w:rPr>
      </w:pPr>
      <w:r w:rsidDel="00000000" w:rsidR="00000000" w:rsidRPr="00000000">
        <w:rPr>
          <w:b w:val="1"/>
          <w:color w:val="1f3864"/>
          <w:rtl w:val="0"/>
        </w:rPr>
        <w:t xml:space="preserve">B) </w:t>
      </w:r>
      <w:r w:rsidDel="00000000" w:rsidR="00000000" w:rsidRPr="00000000">
        <w:rPr>
          <w:color w:val="1f3864"/>
          <w:rtl w:val="0"/>
        </w:rPr>
        <w:t xml:space="preserve">Cancelaciones producidas entre 14 y 10 días antes de la fecha de inicio del viaje originan 30% del importe del circuito en concepto de gastos por cancelación.</w:t>
      </w:r>
      <w:r w:rsidDel="00000000" w:rsidR="00000000" w:rsidRPr="00000000">
        <w:rPr>
          <w:b w:val="1"/>
          <w:color w:val="1f3864"/>
          <w:rtl w:val="0"/>
        </w:rPr>
        <w:t xml:space="preserve"> </w:t>
      </w:r>
    </w:p>
    <w:p w:rsidR="00000000" w:rsidDel="00000000" w:rsidP="00000000" w:rsidRDefault="00000000" w:rsidRPr="00000000" w14:paraId="00000063">
      <w:pPr>
        <w:spacing w:after="0" w:lineRule="auto"/>
        <w:ind w:left="8" w:right="520" w:firstLine="0"/>
        <w:jc w:val="both"/>
        <w:rPr>
          <w:color w:val="1f3864"/>
        </w:rPr>
      </w:pPr>
      <w:r w:rsidDel="00000000" w:rsidR="00000000" w:rsidRPr="00000000">
        <w:rPr>
          <w:b w:val="1"/>
          <w:color w:val="1f3864"/>
          <w:rtl w:val="0"/>
        </w:rPr>
        <w:t xml:space="preserve">C) </w:t>
      </w:r>
      <w:r w:rsidDel="00000000" w:rsidR="00000000" w:rsidRPr="00000000">
        <w:rPr>
          <w:color w:val="1f3864"/>
          <w:rtl w:val="0"/>
        </w:rPr>
        <w:t xml:space="preserve">Cancelaciones producidas a menos de 9 días antes de la fecha de inicio del viaje originan 100% del importe del circuito en concepto de gastos por cancelación.</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5">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6">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7">
      <w:pPr>
        <w:widowControl w:val="0"/>
        <w:spacing w:after="0" w:line="240" w:lineRule="auto"/>
        <w:ind w:right="520"/>
        <w:rPr>
          <w:b w:val="1"/>
          <w:color w:val="1f3864"/>
        </w:rPr>
      </w:pPr>
      <w:r w:rsidDel="00000000" w:rsidR="00000000" w:rsidRPr="00000000">
        <w:rPr>
          <w:rtl w:val="0"/>
        </w:rPr>
      </w:r>
    </w:p>
    <w:p w:rsidR="00000000" w:rsidDel="00000000" w:rsidP="00000000" w:rsidRDefault="00000000" w:rsidRPr="00000000" w14:paraId="00000068">
      <w:pPr>
        <w:widowControl w:val="0"/>
        <w:spacing w:after="0" w:line="240" w:lineRule="auto"/>
        <w:ind w:right="520"/>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Es recomendable llevar ropa de abrigo, bufandas, guantes, gorro, y algo para resguardarse de la lluvia. </w: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transporte público en Polonia es seguro y eficiente. Tanto los trenes como los autobuses y tranvías están bien mantenidos y son puntuales.</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Aunque Polonia es segura, evita caminar solo por la noche en áreas poco iluminadas o desconocidas.</w:t>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Respeta las costumbres locales y las normas de etiqueta. Los polacos son conocidos por su hospitalidad y aprecian el respeto hacia sus tradiciones y normas sociales.</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No es común que se acepten euros para pagos. Las tarjetas de débito y crédito son generalmente aceptadas, aunque algunos establecimientos solo aceptan efectivo. </w:t>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Mas información: </w:t>
      </w:r>
      <w:hyperlink r:id="rId11">
        <w:r w:rsidDel="00000000" w:rsidR="00000000" w:rsidRPr="00000000">
          <w:rPr>
            <w:color w:val="1155cc"/>
            <w:sz w:val="21"/>
            <w:szCs w:val="21"/>
            <w:u w:val="single"/>
            <w:rtl w:val="0"/>
          </w:rPr>
          <w:t xml:space="preserve">https://www.gov.pl/web/gov/uslugi-dla-obywatela/#dokumenty-i-dane-osobowe</w:t>
        </w:r>
      </w:hyperlink>
      <w:r w:rsidDel="00000000" w:rsidR="00000000" w:rsidRPr="00000000">
        <w:rPr>
          <w:rtl w:val="0"/>
        </w:rPr>
      </w:r>
    </w:p>
    <w:p w:rsidR="00000000" w:rsidDel="00000000" w:rsidP="00000000" w:rsidRDefault="00000000" w:rsidRPr="00000000" w14:paraId="0000006F">
      <w:pPr>
        <w:widowControl w:val="0"/>
        <w:spacing w:after="0" w:line="240" w:lineRule="auto"/>
        <w:ind w:right="520"/>
        <w:rPr>
          <w:b w:val="1"/>
          <w:color w:val="1f3864"/>
        </w:rPr>
      </w:pPr>
      <w:r w:rsidDel="00000000" w:rsidR="00000000" w:rsidRPr="00000000">
        <w:rPr>
          <w:rtl w:val="0"/>
        </w:rPr>
      </w:r>
    </w:p>
    <w:p w:rsidR="00000000" w:rsidDel="00000000" w:rsidP="00000000" w:rsidRDefault="00000000" w:rsidRPr="00000000" w14:paraId="00000070">
      <w:pPr>
        <w:widowControl w:val="0"/>
        <w:spacing w:after="0" w:line="240" w:lineRule="auto"/>
        <w:ind w:right="520"/>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Pasaporte con vigencia de mínimo 6 meses a partir de la fecha de viaje.</w:t>
      </w:r>
    </w:p>
    <w:p w:rsidR="00000000" w:rsidDel="00000000" w:rsidP="00000000" w:rsidRDefault="00000000" w:rsidRPr="00000000" w14:paraId="0000007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Tiquete aéreo ida y regreso</w:t>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Seguro Médico</w:t>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Voucher de alojamiento y demostrar solvencia económica.</w:t>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20" w:hanging="360"/>
        <w:jc w:val="left"/>
        <w:rPr>
          <w:rFonts w:ascii="Calibri" w:cs="Calibri" w:eastAsia="Calibri" w:hAnsi="Calibri"/>
          <w:b w:val="0"/>
          <w:i w:val="0"/>
          <w:smallCaps w:val="0"/>
          <w:strike w:val="0"/>
          <w:color w:val="1155cc"/>
          <w:sz w:val="21"/>
          <w:szCs w:val="21"/>
          <w:u w:val="singl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 </w:t>
      </w:r>
      <w:hyperlink r:id="rId12">
        <w:r w:rsidDel="00000000" w:rsidR="00000000" w:rsidRPr="00000000">
          <w:rPr>
            <w:rFonts w:ascii="Calibri" w:cs="Calibri" w:eastAsia="Calibri" w:hAnsi="Calibri"/>
            <w:b w:val="0"/>
            <w:i w:val="0"/>
            <w:smallCaps w:val="0"/>
            <w:strike w:val="0"/>
            <w:color w:val="1155cc"/>
            <w:sz w:val="21"/>
            <w:szCs w:val="21"/>
            <w:u w:val="none"/>
            <w:shd w:fill="auto" w:val="clear"/>
            <w:vertAlign w:val="baseline"/>
            <w:rtl w:val="0"/>
          </w:rPr>
          <w:t xml:space="preserve">https://apply.joinsherpa.com/travel-restrictions/POL?affiliateId=sherpa&amp;language=es-XL&amp;originCountry=COL</w:t>
        </w:r>
      </w:hyperlink>
      <w:r w:rsidDel="00000000" w:rsidR="00000000" w:rsidRPr="00000000">
        <w:rPr>
          <w:rtl w:val="0"/>
        </w:rPr>
      </w:r>
    </w:p>
    <w:p w:rsidR="00000000" w:rsidDel="00000000" w:rsidP="00000000" w:rsidRDefault="00000000" w:rsidRPr="00000000" w14:paraId="00000076">
      <w:pPr>
        <w:widowControl w:val="0"/>
        <w:spacing w:after="0" w:line="240" w:lineRule="auto"/>
        <w:ind w:right="520"/>
        <w:rPr>
          <w:b w:val="1"/>
          <w:color w:val="1f3864"/>
        </w:rPr>
      </w:pPr>
      <w:r w:rsidDel="00000000" w:rsidR="00000000" w:rsidRPr="00000000">
        <w:rPr>
          <w:rtl w:val="0"/>
        </w:rPr>
      </w:r>
    </w:p>
    <w:p w:rsidR="00000000" w:rsidDel="00000000" w:rsidP="00000000" w:rsidRDefault="00000000" w:rsidRPr="00000000" w14:paraId="00000077">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3">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9">
      <w:pPr>
        <w:ind w:right="520"/>
        <w:jc w:val="both"/>
        <w:rPr>
          <w:b w:val="1"/>
          <w:color w:val="00206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4" w:type="default"/>
      <w:footerReference r:id="rId15"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-1105534</wp:posOffset>
          </wp:positionH>
          <wp:positionV relativeFrom="paragraph">
            <wp:posOffset>-126999</wp:posOffset>
          </wp:positionV>
          <wp:extent cx="7832635" cy="903548"/>
          <wp:effectExtent b="0" l="0" r="0" t="0"/>
          <wp:wrapNone/>
          <wp:docPr id="2067580559"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32635" cy="9035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-1194434</wp:posOffset>
          </wp:positionH>
          <wp:positionV relativeFrom="paragraph">
            <wp:posOffset>-347684</wp:posOffset>
          </wp:positionV>
          <wp:extent cx="1828800" cy="1230085"/>
          <wp:effectExtent b="0" l="0" r="0" t="0"/>
          <wp:wrapNone/>
          <wp:docPr id="206758056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28800" cy="123008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-457197</wp:posOffset>
          </wp:positionV>
          <wp:extent cx="8016875" cy="955040"/>
          <wp:effectExtent b="0" l="0" r="0" t="0"/>
          <wp:wrapNone/>
          <wp:docPr id="206758056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-591184</wp:posOffset>
          </wp:positionH>
          <wp:positionV relativeFrom="paragraph">
            <wp:posOffset>2940050</wp:posOffset>
          </wp:positionV>
          <wp:extent cx="419100" cy="2362200"/>
          <wp:effectExtent b="0" l="0" r="0" t="0"/>
          <wp:wrapNone/>
          <wp:docPr id="206758056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419100" cy="2362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915603"/>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Hipervnculo">
    <w:name w:val="Hyperlink"/>
    <w:basedOn w:val="Fuentedeprrafopredeter"/>
    <w:uiPriority w:val="99"/>
    <w:unhideWhenUsed w:val="1"/>
    <w:rsid w:val="00915603"/>
    <w:rPr>
      <w:color w:val="0000ff"/>
      <w:u w:val="single"/>
    </w:rPr>
  </w:style>
  <w:style w:type="character" w:styleId="Mencinsinresolver">
    <w:name w:val="Unresolved Mention"/>
    <w:basedOn w:val="Fuentedeprrafopredeter"/>
    <w:uiPriority w:val="99"/>
    <w:semiHidden w:val="1"/>
    <w:unhideWhenUsed w:val="1"/>
    <w:rsid w:val="003807F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pl/web/gov/uslugi-dla-obywatela/#dokumenty-i-dane-osobowe"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hyperlink" Target="https://www.tropitours.co/es/clausula-de-responsabilidad" TargetMode="External"/><Relationship Id="rId12" Type="http://schemas.openxmlformats.org/officeDocument/2006/relationships/hyperlink" Target="https://apply.joinsherpa.com/travel-restrictions/POL?affiliateId=sherpa&amp;language=es-XL&amp;originCountry=C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2NvgCbH1XpXPeIOxB8X98+WERQ==">CgMxLjAyCWguMzBqMHpsbDgAciExZm9OQ2d1alhub2hiSFdPSFJpc25SS3huU1pVVXAxbEE=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2024-07-29T22:39:00Z</dcterms:created>
  <dc:creator>Bea Nuñez Sabido</dc:creator>
</cp:coreProperties>
</file>