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32"/>
          <w:szCs w:val="32"/>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DESTINOS MÁGICOS DE BOLIVIA </w:t>
      </w:r>
      <w:r w:rsidDel="00000000" w:rsidR="00000000" w:rsidRPr="00000000">
        <w:rPr>
          <w:rFonts w:ascii="Calibri" w:cs="Calibri" w:eastAsia="Calibri" w:hAnsi="Calibri"/>
          <w:b w:val="1"/>
          <w:color w:val="ee0000"/>
          <w:sz w:val="48"/>
          <w:szCs w:val="48"/>
          <w:rtl w:val="0"/>
        </w:rPr>
        <w:t xml:space="preserve">2026</w:t>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6N/7D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Calibri" w:cs="Calibri" w:eastAsia="Calibri" w:hAnsi="Calibri"/>
          <w:color w:val="1f3864"/>
          <w:rtl w:val="0"/>
        </w:rPr>
        <w:t xml:space="preserve">La Paz – Tiwanaku – Salar de Uyuni – Laguna de Colores - La Paz</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1f3864"/>
          <w:sz w:val="20"/>
          <w:szCs w:val="20"/>
        </w:rPr>
      </w:pPr>
      <w:bookmarkStart w:colFirst="0" w:colLast="0" w:name="_heading=h.gjdgxs" w:id="0"/>
      <w:bookmarkEnd w:id="0"/>
      <w:r w:rsidDel="00000000" w:rsidR="00000000" w:rsidRPr="00000000">
        <w:rPr>
          <w:rFonts w:ascii="Calibri" w:cs="Calibri" w:eastAsia="Calibri" w:hAnsi="Calibri"/>
          <w:b w:val="1"/>
          <w:color w:val="1f3864"/>
          <w:rtl w:val="0"/>
        </w:rPr>
        <w:t xml:space="preserve">VIGENCIA DE VIAJE Y RESERVA: </w:t>
      </w:r>
      <w:r w:rsidDel="00000000" w:rsidR="00000000" w:rsidRPr="00000000">
        <w:rPr>
          <w:rFonts w:ascii="Calibri" w:cs="Calibri" w:eastAsia="Calibri" w:hAnsi="Calibri"/>
          <w:color w:val="1f3864"/>
          <w:rtl w:val="0"/>
        </w:rPr>
        <w:t xml:space="preserve">Hasta el 15 de diciembre de 2026. </w:t>
      </w:r>
      <w:r w:rsidDel="00000000" w:rsidR="00000000" w:rsidRPr="00000000">
        <w:rPr>
          <w:rFonts w:ascii="Calibri" w:cs="Calibri" w:eastAsia="Calibri" w:hAnsi="Calibri"/>
          <w:color w:val="1f3864"/>
          <w:sz w:val="20"/>
          <w:szCs w:val="20"/>
          <w:rtl w:val="0"/>
        </w:rPr>
        <w:t xml:space="preserve">(Excepto en Temp. alta).</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14"/>
          <w:szCs w:val="14"/>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drawing>
          <wp:inline distB="0" distT="0" distL="0" distR="0">
            <wp:extent cx="1826845" cy="1217834"/>
            <wp:effectExtent b="0" l="0" r="0" t="0"/>
            <wp:docPr descr="03 Días Salar de Uyuni, Desiertos Blancos y Lagunas de Colores." id="2094855833" name="image4.png"/>
            <a:graphic>
              <a:graphicData uri="http://schemas.openxmlformats.org/drawingml/2006/picture">
                <pic:pic>
                  <pic:nvPicPr>
                    <pic:cNvPr descr="03 Días Salar de Uyuni, Desiertos Blancos y Lagunas de Colores." id="0" name="image4.png"/>
                    <pic:cNvPicPr preferRelativeResize="0"/>
                  </pic:nvPicPr>
                  <pic:blipFill>
                    <a:blip r:embed="rId7"/>
                    <a:srcRect b="0" l="0" r="0" t="0"/>
                    <a:stretch>
                      <a:fillRect/>
                    </a:stretch>
                  </pic:blipFill>
                  <pic:spPr>
                    <a:xfrm>
                      <a:off x="0" y="0"/>
                      <a:ext cx="1826845" cy="1217834"/>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977159" cy="1219147"/>
            <wp:effectExtent b="0" l="0" r="0" t="0"/>
            <wp:docPr descr="Ruinas de Tiwanaku: Todo lo que necesitas saber" id="2094855835" name="image3.jpg"/>
            <a:graphic>
              <a:graphicData uri="http://schemas.openxmlformats.org/drawingml/2006/picture">
                <pic:pic>
                  <pic:nvPicPr>
                    <pic:cNvPr descr="Ruinas de Tiwanaku: Todo lo que necesitas saber" id="0" name="image3.jpg"/>
                    <pic:cNvPicPr preferRelativeResize="0"/>
                  </pic:nvPicPr>
                  <pic:blipFill>
                    <a:blip r:embed="rId8"/>
                    <a:srcRect b="0" l="0" r="0" t="0"/>
                    <a:stretch>
                      <a:fillRect/>
                    </a:stretch>
                  </pic:blipFill>
                  <pic:spPr>
                    <a:xfrm>
                      <a:off x="0" y="0"/>
                      <a:ext cx="1977159" cy="1219147"/>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860015" cy="1213200"/>
            <wp:effectExtent b="0" l="0" r="0" t="0"/>
            <wp:docPr id="2094855834" name="image5.jpg"/>
            <a:graphic>
              <a:graphicData uri="http://schemas.openxmlformats.org/drawingml/2006/picture">
                <pic:pic>
                  <pic:nvPicPr>
                    <pic:cNvPr id="0" name="image5.jpg"/>
                    <pic:cNvPicPr preferRelativeResize="0"/>
                  </pic:nvPicPr>
                  <pic:blipFill>
                    <a:blip r:embed="rId9"/>
                    <a:srcRect b="0" l="13720" r="0" t="0"/>
                    <a:stretch>
                      <a:fillRect/>
                    </a:stretch>
                  </pic:blipFill>
                  <pic:spPr>
                    <a:xfrm>
                      <a:off x="0" y="0"/>
                      <a:ext cx="1860015" cy="1213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sz w:val="16"/>
          <w:szCs w:val="16"/>
        </w:rPr>
      </w:pPr>
      <w:r w:rsidDel="00000000" w:rsidR="00000000" w:rsidRPr="00000000">
        <w:rPr>
          <w:rFonts w:ascii="Calibri" w:cs="Calibri" w:eastAsia="Calibri" w:hAnsi="Calibri"/>
          <w:b w:val="1"/>
          <w:color w:val="1f3864"/>
          <w:rtl w:val="0"/>
        </w:rPr>
        <w:t xml:space="preserve"> </w:t>
      </w: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LA PAZ </w:t>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Llegada a la imponente ciudad de La Paz a 3600 msnm, donde nuestro exclusivo guía los estará esperando y explicará el itinerario detallado para que su estadía sea una de las mejores de su vida. Traslado al hotel de la ciudad</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LA PAZ </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Iniciamos su majestuosa aventura con un viaje de hora y media por una carretera totalmente asfaltada para conocer Tiwanaku “Cuna de la civilización americana”, este sitio arqueológico está entre los más antiguos de las culturas andinas y sus restos sorprenden por su monumentalidad y por la perfección de la técnica constructiva y decorativa. Se visitará los siguientes atractivos: Museos de Tiwanaku y varias ruinas como la Pirámide de Akapana, templo de Kalasasaya, Puerta del Sol,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Templo Puma Punku, también conocido como un taller pre-inca. Retorno al hotel. Almuerzo NO incluido. Por la tarde, continuamos conociendo esta maravillosa ciudad y apreciamos la riqueza cultural, histórica, arquitectónica y natural. Se visita la plaza principal “Pedro Domingo Murillo”, la Catedral Metropolitana, el Congreso Nacional y el Palacio de Gobierno (vista exterior), Museo de los metales preciosos (cerrado lunes), mirador de Killi Killi de donde tienen una vista panorámica de la ciudad de La Paz y la montaña nevada del Illimani, réplica del templete semisubterráneo de Tiwanaku.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el mercado de las brujas donde la gente local compra productos necesarios para ceremonias o rituales como la Challa y las ofrendas a la Pachamama (madre tierra). Retorno al hotel para descansar. </w:t>
      </w:r>
    </w:p>
    <w:p w:rsidR="00000000" w:rsidDel="00000000" w:rsidP="00000000" w:rsidRDefault="00000000" w:rsidRPr="00000000" w14:paraId="0000001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LA PAZ – UYUNI </w:t>
      </w:r>
    </w:p>
    <w:p w:rsidR="00000000" w:rsidDel="00000000" w:rsidP="00000000" w:rsidRDefault="00000000" w:rsidRPr="00000000" w14:paraId="00000014">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Desayuno ligero en el hotel muy temprano. Traslado al aeropuerto para abordar el vuelo doméstico al impresionante Salar de Uyuni. Llegada y traslado al centro de la ciudad para iniciar el recorrido por una de las maravillas turísticas de Bolivia. Visita a Colchani mercado artesanal tiendas de artesanías de sal, tejidos de lana de llama, alpaca y apreciamos el procesamiento artesanal de la sal. Proseguimos con visita a los Montones de sal, ojos de agua salada, monumento al Rally Dakar, Plaza de banderas del mundo. Luego, Visita al Primer Hotel de Sal, un museo restaurante, donde se realizará el almuerzo, cuando hace frío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 Retornaremos sobre el salar para ver la puesta del sol en efecto espejo, retornamos al pueblo y traslado al hotel seleccionado</w:t>
      </w:r>
      <w:r w:rsidDel="00000000" w:rsidR="00000000" w:rsidRPr="00000000">
        <w:rPr>
          <w:rFonts w:ascii="Calibri" w:cs="Calibri" w:eastAsia="Calibri" w:hAnsi="Calibri"/>
          <w:b w:val="1"/>
          <w:color w:val="1f3864"/>
          <w:rtl w:val="0"/>
        </w:rPr>
        <w:t xml:space="preserve">.  Nota: </w:t>
      </w:r>
      <w:r w:rsidDel="00000000" w:rsidR="00000000" w:rsidRPr="00000000">
        <w:rPr>
          <w:rFonts w:ascii="Calibri" w:cs="Calibri" w:eastAsia="Calibri" w:hAnsi="Calibri"/>
          <w:color w:val="1f3864"/>
          <w:rtl w:val="0"/>
        </w:rPr>
        <w:t xml:space="preserve">Isla Incahuasi solo se visita en temporada seca de abril a noviembre</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UYUNI – DESIERTO  </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tour inicia a las 08:00 a.m. después del desayuno, nos dirigiremos a la ciudad de Uyuni a  para visitar el Cementerio de Trenes pasaremos por la comunidad de San Cristóbal, alota llegando al Mirador del Volcán Ollague  (5.865 m.s.n.m.), desde donde podrá observar la actividad fumarolica,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 </w:t>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DESIERTO – UYUNI</w:t>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08:00 am iniciamos con la visita al Árbol de Piedra el cual es una formación geomorfológica debido a la erosión del viento, luego continuamos para visitar la Laguna Colorada que es la puerta de ingreso a la a la Reserva Eduardo Abaroa, visitaremos los Geisers de Sol de Mañana donde haremos una parada para hacer fotografías a 5770 msnm, continuando con el tour nos dirigimos a las Aguas Termales de Polques con una temperatura de 38°C, parada estratégica en las Rocas de Salvador Dalí, continuamos hacia el Mirador del Volcán Licancabur, para  poder observar la Laguna Verde, como último atractivo visitaremos la Laguna Blanca. Retorno a Uyuni donde se podrá observar el Valle de las Rocas y la Iglesia de San Cristóbal. Llegada a Uyuni a las 5pm aproximadamente. Pernocte.   </w:t>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UYUNI – LA PAZ </w:t>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Desayuno en el hotel. Traslado al aeropuerto para abordar el vuelo con destino a la ciudad de La Paz. Llegada y traslado al hotel. Tarde libre para actividades personales. Pernocte en hotel seleccionado</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LA PAZ  </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A la hora acordada, traslado hacia el aeropuerto para abordar el vuelo su vuelo internacional. </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de ingreso y salida en la ciudad de </w:t>
      </w:r>
      <w:r w:rsidDel="00000000" w:rsidR="00000000" w:rsidRPr="00000000">
        <w:rPr>
          <w:rFonts w:ascii="Calibri" w:cs="Calibri" w:eastAsia="Calibri" w:hAnsi="Calibri"/>
          <w:b w:val="1"/>
          <w:color w:val="1f3864"/>
          <w:rtl w:val="0"/>
        </w:rPr>
        <w:t xml:space="preserve">La Paz,</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color w:val="1f3864"/>
          <w:rtl w:val="0"/>
        </w:rPr>
        <w:t xml:space="preserve">Uyuni y Desierto</w:t>
      </w: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Excursiones mencionadas en el itinerario:</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Templo Tiwanaku (medio día) – Compartido </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City Tour </w:t>
      </w:r>
      <w:r w:rsidDel="00000000" w:rsidR="00000000" w:rsidRPr="00000000">
        <w:rPr>
          <w:rFonts w:ascii="Calibri" w:cs="Calibri" w:eastAsia="Calibri" w:hAnsi="Calibri"/>
          <w:b w:val="1"/>
          <w:color w:val="1f3864"/>
          <w:rtl w:val="0"/>
        </w:rPr>
        <w:t xml:space="preserve">La Paz + Valle de la Luna</w:t>
      </w:r>
      <w:r w:rsidDel="00000000" w:rsidR="00000000" w:rsidRPr="00000000">
        <w:rPr>
          <w:rFonts w:ascii="Calibri" w:cs="Calibri" w:eastAsia="Calibri" w:hAnsi="Calibri"/>
          <w:color w:val="1f3864"/>
          <w:rtl w:val="0"/>
        </w:rPr>
        <w:t xml:space="preserve"> (medio día) – Compartido   </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Programa 3d-2n Salar de Uyuni con Desierto y Laguna de Colores</w:t>
      </w:r>
      <w:r w:rsidDel="00000000" w:rsidR="00000000" w:rsidRPr="00000000">
        <w:rPr>
          <w:rFonts w:ascii="Calibri" w:cs="Calibri" w:eastAsia="Calibri" w:hAnsi="Calibri"/>
          <w:b w:val="1"/>
          <w:color w:val="1f3864"/>
          <w:rtl w:val="0"/>
        </w:rPr>
        <w:t xml:space="preserve"> + </w:t>
      </w:r>
      <w:r w:rsidDel="00000000" w:rsidR="00000000" w:rsidRPr="00000000">
        <w:rPr>
          <w:rFonts w:ascii="Calibri" w:cs="Calibri" w:eastAsia="Calibri" w:hAnsi="Calibri"/>
          <w:color w:val="1f3864"/>
          <w:rtl w:val="0"/>
        </w:rPr>
        <w:t xml:space="preserve">Almuerzos + </w:t>
      </w:r>
      <w:r w:rsidDel="00000000" w:rsidR="00000000" w:rsidRPr="00000000">
        <w:rPr>
          <w:rFonts w:ascii="Calibri" w:cs="Calibri" w:eastAsia="Calibri" w:hAnsi="Calibri"/>
          <w:b w:val="1"/>
          <w:color w:val="1f3864"/>
          <w:rtl w:val="0"/>
        </w:rPr>
        <w:t xml:space="preserve">Atardecer en el Salar</w:t>
      </w:r>
      <w:r w:rsidDel="00000000" w:rsidR="00000000" w:rsidRPr="00000000">
        <w:rPr>
          <w:rFonts w:ascii="Calibri" w:cs="Calibri" w:eastAsia="Calibri" w:hAnsi="Calibri"/>
          <w:color w:val="1f3864"/>
          <w:rtl w:val="0"/>
        </w:rPr>
        <w:t xml:space="preserve"> – Privado </w:t>
      </w:r>
      <w:r w:rsidDel="00000000" w:rsidR="00000000" w:rsidRPr="00000000">
        <w:rPr>
          <w:rFonts w:ascii="Calibri" w:cs="Calibri" w:eastAsia="Calibri" w:hAnsi="Calibri"/>
          <w:b w:val="1"/>
          <w:color w:val="1f3864"/>
          <w:rtl w:val="0"/>
        </w:rPr>
        <w:t xml:space="preserve"> </w:t>
      </w:r>
      <w:r w:rsidDel="00000000" w:rsidR="00000000" w:rsidRPr="00000000">
        <w:rPr>
          <w:rtl w:val="0"/>
        </w:rPr>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pacing w:before="22" w:lineRule="auto"/>
        <w:ind w:left="9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03 noches de alojamiento en la ciudad de </w:t>
      </w:r>
      <w:r w:rsidDel="00000000" w:rsidR="00000000" w:rsidRPr="00000000">
        <w:rPr>
          <w:rFonts w:ascii="Calibri" w:cs="Calibri" w:eastAsia="Calibri" w:hAnsi="Calibri"/>
          <w:b w:val="1"/>
          <w:color w:val="1f3864"/>
          <w:rtl w:val="0"/>
        </w:rPr>
        <w:t xml:space="preserve">La Paz</w:t>
      </w:r>
      <w:r w:rsidDel="00000000" w:rsidR="00000000" w:rsidRPr="00000000">
        <w:rPr>
          <w:rFonts w:ascii="Calibri" w:cs="Calibri" w:eastAsia="Calibri" w:hAnsi="Calibri"/>
          <w:color w:val="1f3864"/>
          <w:rtl w:val="0"/>
        </w:rPr>
        <w:t xml:space="preserve"> con desayunos </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pacing w:before="22" w:lineRule="auto"/>
        <w:ind w:left="9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02 noches de alojamiento en la ciudad de </w:t>
      </w:r>
      <w:r w:rsidDel="00000000" w:rsidR="00000000" w:rsidRPr="00000000">
        <w:rPr>
          <w:rFonts w:ascii="Calibri" w:cs="Calibri" w:eastAsia="Calibri" w:hAnsi="Calibri"/>
          <w:b w:val="1"/>
          <w:color w:val="1f3864"/>
          <w:rtl w:val="0"/>
        </w:rPr>
        <w:t xml:space="preserve">Uyun</w:t>
      </w:r>
      <w:r w:rsidDel="00000000" w:rsidR="00000000" w:rsidRPr="00000000">
        <w:rPr>
          <w:rFonts w:ascii="Calibri" w:cs="Calibri" w:eastAsia="Calibri" w:hAnsi="Calibri"/>
          <w:color w:val="1f3864"/>
          <w:rtl w:val="0"/>
        </w:rPr>
        <w:t xml:space="preserve">i con desayunos</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pacing w:before="22" w:lineRule="auto"/>
        <w:ind w:left="9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01 noches de alojamiento en el desierto con desayuno + cena  </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before="22" w:lineRule="auto"/>
        <w:ind w:left="709"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según el itinerario </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pacing w:before="22" w:lineRule="auto"/>
        <w:ind w:left="709"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Entradas y/o tickets de ingresos según el itinerario  </w:t>
        <w:tab/>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before="22" w:lineRule="auto"/>
        <w:ind w:left="709"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w:t>
      </w:r>
    </w:p>
    <w:p w:rsidR="00000000" w:rsidDel="00000000" w:rsidP="00000000" w:rsidRDefault="00000000" w:rsidRPr="00000000" w14:paraId="0000003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o domésticos. (Consulta nuestras tarifas preferenciales)</w:t>
      </w:r>
    </w:p>
    <w:p w:rsidR="00000000" w:rsidDel="00000000" w:rsidP="00000000" w:rsidRDefault="00000000" w:rsidRPr="00000000" w14:paraId="00000036">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no mencionada en el itinerario. </w:t>
      </w:r>
    </w:p>
    <w:p w:rsidR="00000000" w:rsidDel="00000000" w:rsidP="00000000" w:rsidRDefault="00000000" w:rsidRPr="00000000" w14:paraId="00000037">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y gastos de índole personal.</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servicios no especificados como incluidos. </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 </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Calibri" w:cs="Calibri" w:eastAsia="Calibri" w:hAnsi="Calibri"/>
          <w:color w:val="ee0000"/>
        </w:rPr>
      </w:pPr>
      <w:r w:rsidDel="00000000" w:rsidR="00000000" w:rsidRPr="00000000">
        <w:rPr>
          <w:rFonts w:ascii="Calibri" w:cs="Calibri" w:eastAsia="Calibri" w:hAnsi="Calibri"/>
          <w:b w:val="1"/>
          <w:color w:val="ee0000"/>
          <w:rtl w:val="0"/>
        </w:rPr>
        <w:t xml:space="preserve">VUELOS NO INCLUIDOS </w:t>
      </w:r>
      <w:r w:rsidDel="00000000" w:rsidR="00000000" w:rsidRPr="00000000">
        <w:rPr>
          <w:rtl w:val="0"/>
        </w:rPr>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Paz – Uyuni – La Paz// Aprox. 300 USD</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E">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EN DÓLARES POR PERSONA 2026</w:t>
      </w:r>
    </w:p>
    <w:p w:rsidR="00000000" w:rsidDel="00000000" w:rsidP="00000000" w:rsidRDefault="00000000" w:rsidRPr="00000000" w14:paraId="0000003F">
      <w:pPr>
        <w:jc w:val="center"/>
        <w:rPr>
          <w:rFonts w:ascii="Calibri" w:cs="Calibri" w:eastAsia="Calibri" w:hAnsi="Calibri"/>
          <w:b w:val="1"/>
          <w:color w:val="1f3864"/>
        </w:rPr>
      </w:pPr>
      <w:r w:rsidDel="00000000" w:rsidR="00000000" w:rsidRPr="00000000">
        <w:rPr>
          <w:rtl w:val="0"/>
        </w:rPr>
      </w:r>
    </w:p>
    <w:tbl>
      <w:tblPr>
        <w:tblStyle w:val="Table1"/>
        <w:tblW w:w="10864.0" w:type="dxa"/>
        <w:jc w:val="center"/>
        <w:tblLayout w:type="fixed"/>
        <w:tblLook w:val="0400"/>
      </w:tblPr>
      <w:tblGrid>
        <w:gridCol w:w="1944"/>
        <w:gridCol w:w="1880"/>
        <w:gridCol w:w="1760"/>
        <w:gridCol w:w="1760"/>
        <w:gridCol w:w="1760"/>
        <w:gridCol w:w="1760"/>
        <w:tblGridChange w:id="0">
          <w:tblGrid>
            <w:gridCol w:w="1944"/>
            <w:gridCol w:w="1880"/>
            <w:gridCol w:w="1760"/>
            <w:gridCol w:w="1760"/>
            <w:gridCol w:w="1760"/>
            <w:gridCol w:w="176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CATEGORÍA / </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STANDARD</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TURISTA</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PRIMERA</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DELUXE</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TOP HOTELES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En base a doble</w:t>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3.175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3.569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4.749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5.000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2.489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2.729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1.371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1.549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1.999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2.355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1.355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1.811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1.923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2.161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1.355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1.529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1.985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2.093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2.333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955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1.129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1.585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1.935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Suplemento Simple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971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1.271 USD</w:t>
            </w:r>
          </w:p>
        </w:tc>
      </w:tr>
    </w:tbl>
    <w:p w:rsidR="00000000" w:rsidDel="00000000" w:rsidP="00000000" w:rsidRDefault="00000000" w:rsidRPr="00000000" w14:paraId="00000076">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Suplemento simple aplica para viajar a partir de dos personas en habitaciones sencillas.</w:t>
      </w:r>
    </w:p>
    <w:p w:rsidR="00000000" w:rsidDel="00000000" w:rsidP="00000000" w:rsidRDefault="00000000" w:rsidRPr="00000000" w14:paraId="00000077">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A">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B">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C">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7D">
      <w:pPr>
        <w:jc w:val="center"/>
        <w:rPr>
          <w:rFonts w:ascii="Calibri" w:cs="Calibri" w:eastAsia="Calibri" w:hAnsi="Calibri"/>
          <w:b w:val="1"/>
          <w:color w:val="1f3864"/>
          <w:sz w:val="14"/>
          <w:szCs w:val="14"/>
        </w:rPr>
      </w:pPr>
      <w:r w:rsidDel="00000000" w:rsidR="00000000" w:rsidRPr="00000000">
        <w:rPr>
          <w:rtl w:val="0"/>
        </w:rPr>
      </w:r>
    </w:p>
    <w:tbl>
      <w:tblPr>
        <w:tblStyle w:val="Table2"/>
        <w:tblW w:w="9960.0" w:type="dxa"/>
        <w:jc w:val="center"/>
        <w:tblLayout w:type="fixed"/>
        <w:tblLook w:val="0400"/>
      </w:tblPr>
      <w:tblGrid>
        <w:gridCol w:w="1500"/>
        <w:gridCol w:w="2820"/>
        <w:gridCol w:w="2960"/>
        <w:gridCol w:w="2680"/>
        <w:tblGridChange w:id="0">
          <w:tblGrid>
            <w:gridCol w:w="1500"/>
            <w:gridCol w:w="2820"/>
            <w:gridCol w:w="2960"/>
            <w:gridCol w:w="268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CATEGORIA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LA PAZ</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UYUNI</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DESIERTO</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Standard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Madero 3* / Naira 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Kachi 3* / Casa de Sal 3*/ Cielo&amp;Sal 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Flamencos 3*</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Turista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Novum 3* / Illampu 3* / Gloria Calacoto 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Coscaña 3* / Andina Boitique 3*/ Jardines de Uyuni 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Flamencos 3*</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Primera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Mitru Sur 5*/ Casa Grande Express 4* / Ritz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 / Cristal Samaña 3*S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 </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Deluxe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Camino Real Suite 5*/ Met 5*/ Atix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 </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Top Hotels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Casa Grande Hotel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w:t>
            </w:r>
          </w:p>
        </w:tc>
      </w:tr>
    </w:tbl>
    <w:p w:rsidR="00000000" w:rsidDel="00000000" w:rsidP="00000000" w:rsidRDefault="00000000" w:rsidRPr="00000000" w14:paraId="00000096">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w:t>
      </w:r>
      <w:r w:rsidDel="00000000" w:rsidR="00000000" w:rsidRPr="00000000">
        <w:rPr>
          <w:rFonts w:ascii="Calibri" w:cs="Calibri" w:eastAsia="Calibri" w:hAnsi="Calibri"/>
          <w:b w:val="1"/>
          <w:color w:val="1f3864"/>
          <w:rtl w:val="0"/>
        </w:rPr>
        <w:t xml:space="preserve">un 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9B">
      <w:pPr>
        <w:numPr>
          <w:ilvl w:val="0"/>
          <w:numId w:val="1"/>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 </w:t>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9D">
      <w:pPr>
        <w:numPr>
          <w:ilvl w:val="0"/>
          <w:numId w:val="1"/>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9E">
      <w:pPr>
        <w:numPr>
          <w:ilvl w:val="0"/>
          <w:numId w:val="1"/>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9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Vacuna contra </w:t>
      </w:r>
      <w:r w:rsidDel="00000000" w:rsidR="00000000" w:rsidRPr="00000000">
        <w:rPr>
          <w:rFonts w:ascii="Calibri" w:cs="Calibri" w:eastAsia="Calibri" w:hAnsi="Calibri"/>
          <w:b w:val="0"/>
          <w:i w:val="1"/>
          <w:smallCaps w:val="0"/>
          <w:strike w:val="0"/>
          <w:color w:val="1f3864"/>
          <w:sz w:val="22"/>
          <w:szCs w:val="22"/>
          <w:u w:val="single"/>
          <w:shd w:fill="auto" w:val="clear"/>
          <w:vertAlign w:val="baseline"/>
          <w:rtl w:val="0"/>
        </w:rPr>
        <w:t xml:space="preserve">la Fiebre Amarilla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en caso se visite: Pando, Beni, Santa Cruz o Cochabamba) </w:t>
      </w:r>
    </w:p>
    <w:p w:rsidR="00000000" w:rsidDel="00000000" w:rsidP="00000000" w:rsidRDefault="00000000" w:rsidRPr="00000000" w14:paraId="000000A0">
      <w:pPr>
        <w:numPr>
          <w:ilvl w:val="0"/>
          <w:numId w:val="1"/>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A1">
      <w:pPr>
        <w:widowControl w:val="1"/>
        <w:tabs>
          <w:tab w:val="left" w:leader="none" w:pos="160"/>
        </w:tabs>
        <w:ind w:left="168" w:right="283"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2">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A3">
      <w:pPr>
        <w:ind w:left="8" w:right="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A4">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5">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Políticas en caso de anulaciones</w:t>
      </w:r>
    </w:p>
    <w:p w:rsidR="00000000" w:rsidDel="00000000" w:rsidP="00000000" w:rsidRDefault="00000000" w:rsidRPr="00000000" w14:paraId="000000A6">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Para individuales (de 1 a 4 personas)  </w:t>
      </w:r>
    </w:p>
    <w:p w:rsidR="00000000" w:rsidDel="00000000" w:rsidP="00000000" w:rsidRDefault="00000000" w:rsidRPr="00000000" w14:paraId="000000A7">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30 a 16 días antes de su llegada paga o se cobra el 25% de penalidad del total del tour </w:t>
      </w:r>
    </w:p>
    <w:p w:rsidR="00000000" w:rsidDel="00000000" w:rsidP="00000000" w:rsidRDefault="00000000" w:rsidRPr="00000000" w14:paraId="000000A8">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15 a 08 días antes de su llegada paga o se cobra el 50% de penalidad del total del tour </w:t>
      </w:r>
    </w:p>
    <w:p w:rsidR="00000000" w:rsidDel="00000000" w:rsidP="00000000" w:rsidRDefault="00000000" w:rsidRPr="00000000" w14:paraId="000000A9">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07 a 04 días antes de su llegada paga o se cobra el 75% de penalidad del total del tour </w:t>
      </w:r>
    </w:p>
    <w:p w:rsidR="00000000" w:rsidDel="00000000" w:rsidP="00000000" w:rsidRDefault="00000000" w:rsidRPr="00000000" w14:paraId="000000AA">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03 días antes de su llegada paga o se cobra el 100% de penalidad del total del tour </w:t>
      </w:r>
    </w:p>
    <w:p w:rsidR="00000000" w:rsidDel="00000000" w:rsidP="00000000" w:rsidRDefault="00000000" w:rsidRPr="00000000" w14:paraId="000000AB">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C">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AD">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E">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Para grupos (de 5 a más personas) </w:t>
      </w:r>
    </w:p>
    <w:p w:rsidR="00000000" w:rsidDel="00000000" w:rsidP="00000000" w:rsidRDefault="00000000" w:rsidRPr="00000000" w14:paraId="000000AF">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45 a 31 días antes de su llegada paga o se cobra el 50% de penalidad del total del tour </w:t>
      </w:r>
    </w:p>
    <w:p w:rsidR="00000000" w:rsidDel="00000000" w:rsidP="00000000" w:rsidRDefault="00000000" w:rsidRPr="00000000" w14:paraId="000000B0">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30 a 16 días antes de su llegada paga o se cobra el 75% de penalidad del total del tour </w:t>
      </w:r>
    </w:p>
    <w:p w:rsidR="00000000" w:rsidDel="00000000" w:rsidP="00000000" w:rsidRDefault="00000000" w:rsidRPr="00000000" w14:paraId="000000B1">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15 a 04 días antes de su llegada paga o se cobra el 90% de penalidad del total del tour </w:t>
      </w:r>
    </w:p>
    <w:p w:rsidR="00000000" w:rsidDel="00000000" w:rsidP="00000000" w:rsidRDefault="00000000" w:rsidRPr="00000000" w14:paraId="000000B2">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03 días antes de su llegada paga o se cobra el 100% de penalidad del total del tour </w:t>
      </w:r>
    </w:p>
    <w:p w:rsidR="00000000" w:rsidDel="00000000" w:rsidP="00000000" w:rsidRDefault="00000000" w:rsidRPr="00000000" w14:paraId="000000B3">
      <w:pPr>
        <w:widowControl w:val="1"/>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4">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B5">
      <w:pPr>
        <w:ind w:left="8"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B7">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Es recomendable buscar un guía local para actividades de senderismo en zonas aisladas del país. En ocasiones, si bien muy puntuales, se han detectado casos de asalto a turistas.</w:t>
      </w:r>
    </w:p>
    <w:p w:rsidR="00000000" w:rsidDel="00000000" w:rsidP="00000000" w:rsidRDefault="00000000" w:rsidRPr="00000000" w14:paraId="000000B8">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Los cargos en los Cajeros Automáticos pueden ser elevados en algunas máquinas así que trata los de los bancos como </w:t>
      </w:r>
      <w:r w:rsidDel="00000000" w:rsidR="00000000" w:rsidRPr="00000000">
        <w:rPr>
          <w:rFonts w:ascii="Calibri" w:cs="Calibri" w:eastAsia="Calibri" w:hAnsi="Calibri"/>
          <w:color w:val="1f3864"/>
          <w:rtl w:val="0"/>
        </w:rPr>
        <w:t xml:space="preserve">BNB</w:t>
      </w:r>
      <w:r w:rsidDel="00000000" w:rsidR="00000000" w:rsidRPr="00000000">
        <w:rPr>
          <w:rFonts w:ascii="Calibri" w:cs="Calibri" w:eastAsia="Calibri" w:hAnsi="Calibri"/>
          <w:color w:val="1f3864"/>
          <w:rtl w:val="0"/>
        </w:rPr>
        <w:t xml:space="preserve">/BCP.</w:t>
      </w:r>
    </w:p>
    <w:p w:rsidR="00000000" w:rsidDel="00000000" w:rsidP="00000000" w:rsidRDefault="00000000" w:rsidRPr="00000000" w14:paraId="000000B9">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idioma nacional es el Español.</w:t>
      </w:r>
    </w:p>
    <w:p w:rsidR="00000000" w:rsidDel="00000000" w:rsidP="00000000" w:rsidRDefault="00000000" w:rsidRPr="00000000" w14:paraId="000000BA">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Objetos usuales como bloqueador solar, cámara, lentes de sol, etc.</w:t>
      </w:r>
    </w:p>
    <w:p w:rsidR="00000000" w:rsidDel="00000000" w:rsidP="00000000" w:rsidRDefault="00000000" w:rsidRPr="00000000" w14:paraId="000000BB">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Lleva una chaqueta para la lluvia ya que llueve casi TODO el año</w:t>
      </w:r>
    </w:p>
    <w:p w:rsidR="00000000" w:rsidDel="00000000" w:rsidP="00000000" w:rsidRDefault="00000000" w:rsidRPr="00000000" w14:paraId="000000BC">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hyperlink r:id="rId10">
        <w:r w:rsidDel="00000000" w:rsidR="00000000" w:rsidRPr="00000000">
          <w:rPr>
            <w:rFonts w:ascii="Calibri" w:cs="Calibri" w:eastAsia="Calibri" w:hAnsi="Calibri"/>
            <w:color w:val="0563c1"/>
            <w:u w:val="single"/>
            <w:rtl w:val="0"/>
          </w:rPr>
          <w:t xml:space="preserve">https://www.exteriores.gob.es/es/ServiciosAlCiudadano/Paginas/Detalle-recomendaciones-de-viaje.aspx?trc=Bolivia</w:t>
        </w:r>
      </w:hyperlink>
      <w:r w:rsidDel="00000000" w:rsidR="00000000" w:rsidRPr="00000000">
        <w:rPr>
          <w:rtl w:val="0"/>
        </w:rPr>
      </w:r>
    </w:p>
    <w:p w:rsidR="00000000" w:rsidDel="00000000" w:rsidP="00000000" w:rsidRDefault="00000000" w:rsidRPr="00000000" w14:paraId="000000BD">
      <w:pPr>
        <w:ind w:left="8"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BF">
      <w:pPr>
        <w:numPr>
          <w:ilvl w:val="0"/>
          <w:numId w:val="2"/>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C0">
      <w:pPr>
        <w:numPr>
          <w:ilvl w:val="0"/>
          <w:numId w:val="2"/>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C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Vacuna contra la Fiebre Amarilla en caso se visite: Pando, Beni, Santa Cruz o Cochabamba).</w:t>
      </w:r>
    </w:p>
    <w:p w:rsidR="00000000" w:rsidDel="00000000" w:rsidP="00000000" w:rsidRDefault="00000000" w:rsidRPr="00000000" w14:paraId="000000C2">
      <w:pPr>
        <w:numPr>
          <w:ilvl w:val="0"/>
          <w:numId w:val="2"/>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C3">
      <w:pPr>
        <w:numPr>
          <w:ilvl w:val="0"/>
          <w:numId w:val="2"/>
        </w:numPr>
        <w:pBdr>
          <w:top w:space="0" w:sz="0" w:val="nil"/>
          <w:left w:space="0" w:sz="0" w:val="nil"/>
          <w:bottom w:space="0" w:sz="0" w:val="nil"/>
          <w:right w:space="0" w:sz="0" w:val="nil"/>
          <w:between w:space="0" w:sz="0" w:val="nil"/>
        </w:pBdr>
        <w:spacing w:before="22" w:lineRule="auto"/>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color w:val="000000"/>
          <w:rtl w:val="0"/>
        </w:rPr>
        <w:t xml:space="preserve"> </w:t>
      </w:r>
      <w:r w:rsidDel="00000000" w:rsidR="00000000" w:rsidRPr="00000000">
        <w:rPr>
          <w:rFonts w:ascii="Calibri" w:cs="Calibri" w:eastAsia="Calibri" w:hAnsi="Calibri"/>
          <w:b w:val="1"/>
          <w:color w:val="1f3864"/>
          <w:rtl w:val="0"/>
        </w:rPr>
        <w:t xml:space="preserve"> </w:t>
      </w:r>
      <w:hyperlink r:id="rId11">
        <w:r w:rsidDel="00000000" w:rsidR="00000000" w:rsidRPr="00000000">
          <w:rPr>
            <w:rFonts w:ascii="Calibri" w:cs="Calibri" w:eastAsia="Calibri" w:hAnsi="Calibri"/>
            <w:color w:val="0563c1"/>
            <w:u w:val="single"/>
            <w:rtl w:val="0"/>
          </w:rPr>
          <w:t xml:space="preserve">https://migracion.gob.bo/autorizacionturismovisita</w:t>
        </w:r>
      </w:hyperlink>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C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7">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720" w:top="720" w:left="1418" w:right="1325" w:header="850"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-909954</wp:posOffset>
          </wp:positionH>
          <wp:positionV relativeFrom="paragraph">
            <wp:posOffset>252095</wp:posOffset>
          </wp:positionV>
          <wp:extent cx="7809865" cy="1000125"/>
          <wp:effectExtent b="0" l="0" r="0" t="0"/>
          <wp:wrapNone/>
          <wp:docPr id="209485583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9865" cy="10001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-633729</wp:posOffset>
          </wp:positionH>
          <wp:positionV relativeFrom="paragraph">
            <wp:posOffset>2489200</wp:posOffset>
          </wp:positionV>
          <wp:extent cx="330200" cy="2686050"/>
          <wp:effectExtent b="0" l="0" r="0" t="0"/>
          <wp:wrapNone/>
          <wp:docPr id="20948558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30200" cy="26860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-995679</wp:posOffset>
          </wp:positionH>
          <wp:positionV relativeFrom="paragraph">
            <wp:posOffset>-247649</wp:posOffset>
          </wp:positionV>
          <wp:extent cx="2317750" cy="1214270"/>
          <wp:effectExtent b="0" l="0" r="0" t="0"/>
          <wp:wrapNone/>
          <wp:docPr id="2094855838" name="image2.png"/>
          <a:graphic>
            <a:graphicData uri="http://schemas.openxmlformats.org/drawingml/2006/picture">
              <pic:pic>
                <pic:nvPicPr>
                  <pic:cNvPr id="0" name="image2.png"/>
                  <pic:cNvPicPr preferRelativeResize="0"/>
                </pic:nvPicPr>
                <pic:blipFill>
                  <a:blip r:embed="rId2"/>
                  <a:srcRect b="0" l="0" r="-7499" t="16268"/>
                  <a:stretch>
                    <a:fillRect/>
                  </a:stretch>
                </pic:blipFill>
                <pic:spPr>
                  <a:xfrm>
                    <a:off x="0" y="0"/>
                    <a:ext cx="2317750" cy="121427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-1059179</wp:posOffset>
          </wp:positionH>
          <wp:positionV relativeFrom="paragraph">
            <wp:posOffset>-532764</wp:posOffset>
          </wp:positionV>
          <wp:extent cx="8016875" cy="955040"/>
          <wp:effectExtent b="0" l="0" r="0" t="0"/>
          <wp:wrapNone/>
          <wp:docPr id="2094855836"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paragraph" w:styleId="Sinespaciado">
    <w:name w:val="No Spacing"/>
    <w:uiPriority w:val="1"/>
    <w:qFormat w:val="1"/>
    <w:rsid w:val="0099430C"/>
    <w:pPr>
      <w:widowControl w:val="1"/>
    </w:pPr>
    <w:rPr>
      <w:rFonts w:asciiTheme="minorHAnsi" w:cstheme="minorBidi" w:eastAsiaTheme="minorHAnsi" w:hAnsiTheme="minorHAnsi"/>
      <w:lang w:eastAsia="en-US" w:val="es-PE"/>
    </w:rPr>
  </w:style>
  <w:style w:type="character" w:styleId="Mencinsinresolver">
    <w:name w:val="Unresolved Mention"/>
    <w:basedOn w:val="Fuentedeprrafopredeter"/>
    <w:uiPriority w:val="99"/>
    <w:semiHidden w:val="1"/>
    <w:unhideWhenUsed w:val="1"/>
    <w:rsid w:val="00AC521E"/>
    <w:rPr>
      <w:color w:val="605e5c"/>
      <w:shd w:color="auto" w:fill="e1dfdd" w:val="clear"/>
    </w:r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unhideWhenUsed w:val="1"/>
    <w:rsid w:val="007C6489"/>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migracion.gob.bo/autorizacionturismovisita" TargetMode="External"/><Relationship Id="rId10" Type="http://schemas.openxmlformats.org/officeDocument/2006/relationships/hyperlink" Target="https://www.exteriores.gob.es/es/ServiciosAlCiudadano/Paginas/Detalle-recomendaciones-de-viaje.aspx?trc=Bolivia"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rZfFaM1h1mFcvh2Elhje3dbU5A==">CgMxLjAyCGguZ2pkZ3hzMgloLjMwajB6bGw4AHIhMXF0aHlGNzBOUnNPSFlKV3Qxa3ZhZEdSTUJHTkpSZno0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2024-04-11T14:28:00Z</dcterms:created>
  <dc:creator>Eliana Gomez</dc:creator>
</cp:coreProperties>
</file>