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1f3864"/>
          <w:sz w:val="52"/>
          <w:szCs w:val="52"/>
        </w:rPr>
      </w:pPr>
      <w:r w:rsidDel="00000000" w:rsidR="00000000" w:rsidRPr="00000000">
        <w:rPr>
          <w:rFonts w:ascii="Calibri" w:cs="Calibri" w:eastAsia="Calibri" w:hAnsi="Calibri"/>
          <w:b w:val="1"/>
          <w:color w:val="1f3864"/>
          <w:sz w:val="48"/>
          <w:szCs w:val="48"/>
          <w:rtl w:val="0"/>
        </w:rPr>
        <w:t xml:space="preserve">PANAMÁ COMBINADO - RIU</w:t>
        <w:br w:type="textWrapping"/>
        <w:t xml:space="preserve">4N/5D</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VIGENCIA DE VIAJE Y VENTA:</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Hasta el 23 Diciembre 2025. </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color="000000" w:space="0" w:sz="12" w:val="single"/>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1f3864"/>
          <w:sz w:val="6"/>
          <w:szCs w:val="6"/>
          <w:u w:val="none"/>
          <w:shd w:fill="auto" w:val="clear"/>
          <w:vertAlign w:val="baseline"/>
        </w:rPr>
      </w:pPr>
      <w:r w:rsidDel="00000000" w:rsidR="00000000" w:rsidRPr="00000000">
        <w:rPr>
          <w:rtl w:val="0"/>
        </w:rPr>
      </w:r>
    </w:p>
    <w:p w:rsidR="00000000" w:rsidDel="00000000" w:rsidP="00000000" w:rsidRDefault="00000000" w:rsidRPr="00000000" w14:paraId="00000005">
      <w:pPr>
        <w:jc w:val="center"/>
        <w:rPr>
          <w:sz w:val="12"/>
          <w:szCs w:val="12"/>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drawing>
          <wp:inline distB="0" distT="0" distL="0" distR="0">
            <wp:extent cx="1768384" cy="1473653"/>
            <wp:effectExtent b="0" l="0" r="0" t="0"/>
            <wp:docPr descr="Hotel Riu Playa Blanca | Hotel Playa Blanca Panamá todo incluido" id="1973775945" name="image5.jpg"/>
            <a:graphic>
              <a:graphicData uri="http://schemas.openxmlformats.org/drawingml/2006/picture">
                <pic:pic>
                  <pic:nvPicPr>
                    <pic:cNvPr descr="Hotel Riu Playa Blanca | Hotel Playa Blanca Panamá todo incluido" id="0" name="image5.jpg"/>
                    <pic:cNvPicPr preferRelativeResize="0"/>
                  </pic:nvPicPr>
                  <pic:blipFill>
                    <a:blip r:embed="rId7"/>
                    <a:srcRect b="0" l="13825" r="6134" t="0"/>
                    <a:stretch>
                      <a:fillRect/>
                    </a:stretch>
                  </pic:blipFill>
                  <pic:spPr>
                    <a:xfrm>
                      <a:off x="0" y="0"/>
                      <a:ext cx="1768384" cy="1473653"/>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727291" cy="1475200"/>
            <wp:effectExtent b="0" l="0" r="0" t="0"/>
            <wp:docPr descr="Hotel Riu Plaza Panama | RIU Hotels &amp; Resorts" id="1973775947" name="image7.jpg"/>
            <a:graphic>
              <a:graphicData uri="http://schemas.openxmlformats.org/drawingml/2006/picture">
                <pic:pic>
                  <pic:nvPicPr>
                    <pic:cNvPr descr="Hotel Riu Plaza Panama | RIU Hotels &amp; Resorts" id="0" name="image7.jpg"/>
                    <pic:cNvPicPr preferRelativeResize="0"/>
                  </pic:nvPicPr>
                  <pic:blipFill>
                    <a:blip r:embed="rId8"/>
                    <a:srcRect b="0" l="9101" r="6762" t="0"/>
                    <a:stretch>
                      <a:fillRect/>
                    </a:stretch>
                  </pic:blipFill>
                  <pic:spPr>
                    <a:xfrm>
                      <a:off x="0" y="0"/>
                      <a:ext cx="1727291" cy="147520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816282" cy="1462107"/>
            <wp:effectExtent b="0" l="0" r="0" t="0"/>
            <wp:docPr descr="Riu Playa Blanca Archivos RIU.com | Blog" id="1973775946" name="image3.jpg"/>
            <a:graphic>
              <a:graphicData uri="http://schemas.openxmlformats.org/drawingml/2006/picture">
                <pic:pic>
                  <pic:nvPicPr>
                    <pic:cNvPr descr="Riu Playa Blanca Archivos RIU.com | Blog" id="0" name="image3.jpg"/>
                    <pic:cNvPicPr preferRelativeResize="0"/>
                  </pic:nvPicPr>
                  <pic:blipFill>
                    <a:blip r:embed="rId9"/>
                    <a:srcRect b="24" l="8715" r="9384" t="2746"/>
                    <a:stretch>
                      <a:fillRect/>
                    </a:stretch>
                  </pic:blipFill>
                  <pic:spPr>
                    <a:xfrm>
                      <a:off x="0" y="0"/>
                      <a:ext cx="1816282" cy="1462107"/>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8">
      <w:pP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INCLUYE:</w:t>
      </w:r>
      <w:r w:rsidDel="00000000" w:rsidR="00000000" w:rsidRPr="00000000">
        <w:rPr>
          <w:rtl w:val="0"/>
        </w:rPr>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3 noches hotel Playa RIU PLAYA BLANCA. (Plan Todo Incluido)</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1 noche Hotel RIU PLAZA </w:t>
      </w:r>
      <w:r w:rsidDel="00000000" w:rsidR="00000000" w:rsidRPr="00000000">
        <w:rPr>
          <w:rFonts w:ascii="Calibri" w:cs="Calibri" w:eastAsia="Calibri" w:hAnsi="Calibri"/>
          <w:color w:val="1f3864"/>
          <w:rtl w:val="0"/>
        </w:rPr>
        <w:t xml:space="preserve">PANAMÁ</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(desayuno diario).</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1"/>
          <w:i w:val="1"/>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Traslados Aeropuerto – Hotel – Aeropuerto. A partir de 2 pax </w:t>
      </w:r>
      <w:r w:rsidDel="00000000" w:rsidR="00000000" w:rsidRPr="00000000">
        <w:rPr>
          <w:rFonts w:ascii="Calibri" w:cs="Calibri" w:eastAsia="Calibri" w:hAnsi="Calibri"/>
          <w:b w:val="1"/>
          <w:i w:val="1"/>
          <w:smallCaps w:val="0"/>
          <w:strike w:val="0"/>
          <w:color w:val="1f3864"/>
          <w:sz w:val="22"/>
          <w:szCs w:val="22"/>
          <w:u w:val="none"/>
          <w:shd w:fill="auto" w:val="clear"/>
          <w:vertAlign w:val="baseline"/>
          <w:rtl w:val="0"/>
        </w:rPr>
        <w:t xml:space="preserve">(Aplican de 6:00 a 16:00 </w:t>
      </w:r>
      <w:r w:rsidDel="00000000" w:rsidR="00000000" w:rsidRPr="00000000">
        <w:rPr>
          <w:rFonts w:ascii="Calibri" w:cs="Calibri" w:eastAsia="Calibri" w:hAnsi="Calibri"/>
          <w:b w:val="1"/>
          <w:i w:val="1"/>
          <w:color w:val="1f3864"/>
          <w:rtl w:val="0"/>
        </w:rPr>
        <w:t xml:space="preserve">después</w:t>
      </w:r>
      <w:r w:rsidDel="00000000" w:rsidR="00000000" w:rsidRPr="00000000">
        <w:rPr>
          <w:rFonts w:ascii="Calibri" w:cs="Calibri" w:eastAsia="Calibri" w:hAnsi="Calibri"/>
          <w:b w:val="1"/>
          <w:i w:val="1"/>
          <w:smallCaps w:val="0"/>
          <w:strike w:val="0"/>
          <w:color w:val="1f3864"/>
          <w:sz w:val="22"/>
          <w:szCs w:val="22"/>
          <w:u w:val="none"/>
          <w:shd w:fill="auto" w:val="clear"/>
          <w:vertAlign w:val="baseline"/>
          <w:rtl w:val="0"/>
        </w:rPr>
        <w:t xml:space="preserve"> o antes de estas horas aplica suplemento)</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1"/>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Traslados compartidos con horario fijo</w:t>
      </w:r>
      <w:r w:rsidDel="00000000" w:rsidR="00000000" w:rsidRPr="00000000">
        <w:rPr>
          <w:rFonts w:ascii="Calibri" w:cs="Calibri" w:eastAsia="Calibri" w:hAnsi="Calibri"/>
          <w:b w:val="0"/>
          <w:i w:val="1"/>
          <w:smallCaps w:val="0"/>
          <w:strike w:val="0"/>
          <w:color w:val="1f3864"/>
          <w:sz w:val="22"/>
          <w:szCs w:val="22"/>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1f3864"/>
          <w:sz w:val="22"/>
          <w:szCs w:val="22"/>
          <w:u w:val="none"/>
          <w:shd w:fill="auto" w:val="clear"/>
          <w:vertAlign w:val="baseline"/>
          <w:rtl w:val="0"/>
        </w:rPr>
        <w:t xml:space="preserve">(CIUDAD-PLAYA a las 10:00 AM y PLAYA-CIUDAD a las 1:30 PM).</w:t>
      </w:r>
      <w:r w:rsidDel="00000000" w:rsidR="00000000" w:rsidRPr="00000000">
        <w:rPr>
          <w:rtl w:val="0"/>
        </w:rPr>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Tour de Gira de ciudad de </w:t>
      </w:r>
      <w:r w:rsidDel="00000000" w:rsidR="00000000" w:rsidRPr="00000000">
        <w:rPr>
          <w:rFonts w:ascii="Calibri" w:cs="Calibri" w:eastAsia="Calibri" w:hAnsi="Calibri"/>
          <w:color w:val="1f3864"/>
          <w:rtl w:val="0"/>
        </w:rPr>
        <w:t xml:space="preserve">Panamá</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y canal de Miraflores </w:t>
      </w:r>
      <w:r w:rsidDel="00000000" w:rsidR="00000000" w:rsidRPr="00000000">
        <w:rPr>
          <w:rFonts w:ascii="Calibri" w:cs="Calibri" w:eastAsia="Calibri" w:hAnsi="Calibri"/>
          <w:b w:val="1"/>
          <w:i w:val="1"/>
          <w:smallCaps w:val="0"/>
          <w:strike w:val="0"/>
          <w:color w:val="1f3864"/>
          <w:sz w:val="22"/>
          <w:szCs w:val="22"/>
          <w:u w:val="none"/>
          <w:shd w:fill="auto" w:val="clear"/>
          <w:vertAlign w:val="baseline"/>
          <w:rtl w:val="0"/>
        </w:rPr>
        <w:t xml:space="preserve">(salida diaria desde las 7:30 desde el hotel de ciudad)</w:t>
      </w:r>
      <w:r w:rsidDel="00000000" w:rsidR="00000000" w:rsidRPr="00000000">
        <w:rPr>
          <w:rtl w:val="0"/>
        </w:rPr>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Tarjeta de asistencia médica (Cobertura máxima 55.000 USD)</w:t>
      </w:r>
    </w:p>
    <w:p w:rsidR="00000000" w:rsidDel="00000000" w:rsidP="00000000" w:rsidRDefault="00000000" w:rsidRPr="00000000" w14:paraId="0000000F">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0">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1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Tiquetes aéreos internacionales (consulta por nuestras tarifas especiales).</w:t>
      </w:r>
    </w:p>
    <w:p w:rsidR="00000000" w:rsidDel="00000000" w:rsidP="00000000" w:rsidRDefault="00000000" w:rsidRPr="00000000" w14:paraId="0000001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Gastos personales, extras, Seguro viaje.</w:t>
      </w:r>
    </w:p>
    <w:p w:rsidR="00000000" w:rsidDel="00000000" w:rsidP="00000000" w:rsidRDefault="00000000" w:rsidRPr="00000000" w14:paraId="0000001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Fee Bancario.</w:t>
      </w:r>
    </w:p>
    <w:p w:rsidR="00000000" w:rsidDel="00000000" w:rsidP="00000000" w:rsidRDefault="00000000" w:rsidRPr="00000000" w14:paraId="00000014">
      <w:pPr>
        <w:widowControl w:val="1"/>
        <w:spacing w:after="160" w:line="259" w:lineRule="auto"/>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15">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POR PERSONA EN DÓLARES</w:t>
        <w:br w:type="textWrapping"/>
      </w:r>
    </w:p>
    <w:tbl>
      <w:tblPr>
        <w:tblStyle w:val="Table1"/>
        <w:tblW w:w="11370.0" w:type="dxa"/>
        <w:jc w:val="center"/>
        <w:tblLayout w:type="fixed"/>
        <w:tblLook w:val="0400"/>
      </w:tblPr>
      <w:tblGrid>
        <w:gridCol w:w="2640"/>
        <w:gridCol w:w="4305"/>
        <w:gridCol w:w="1065"/>
        <w:gridCol w:w="1065"/>
        <w:gridCol w:w="1065"/>
        <w:gridCol w:w="1230"/>
        <w:tblGridChange w:id="0">
          <w:tblGrid>
            <w:gridCol w:w="2640"/>
            <w:gridCol w:w="4305"/>
            <w:gridCol w:w="1065"/>
            <w:gridCol w:w="1065"/>
            <w:gridCol w:w="1065"/>
            <w:gridCol w:w="1230"/>
          </w:tblGrid>
        </w:tblGridChange>
      </w:tblGrid>
      <w:tr>
        <w:trPr>
          <w:cantSplit w:val="0"/>
          <w:trHeight w:val="58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1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HABITACIÓN</w:t>
            </w:r>
          </w:p>
        </w:tc>
        <w:tc>
          <w:tcPr>
            <w:tcBorders>
              <w:top w:color="000000" w:space="0" w:sz="8"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17">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FECHA DE VIAJE</w:t>
            </w:r>
          </w:p>
        </w:tc>
        <w:tc>
          <w:tcPr>
            <w:tcBorders>
              <w:top w:color="000000" w:space="0" w:sz="8"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1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TRIPLE</w:t>
            </w:r>
          </w:p>
        </w:tc>
        <w:tc>
          <w:tcPr>
            <w:tcBorders>
              <w:top w:color="000000" w:space="0" w:sz="8"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1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c>
          <w:tcPr>
            <w:tcBorders>
              <w:top w:color="000000" w:space="0" w:sz="8"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1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w:t>
            </w:r>
          </w:p>
        </w:tc>
        <w:tc>
          <w:tcPr>
            <w:tcBorders>
              <w:top w:color="000000" w:space="0" w:sz="8"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1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NIÑOS 3-12 AÑOS</w:t>
            </w:r>
          </w:p>
        </w:tc>
      </w:tr>
      <w:tr>
        <w:trPr>
          <w:cantSplit w:val="0"/>
          <w:trHeight w:val="290" w:hRule="atLeast"/>
          <w:tblHeader w:val="0"/>
        </w:trPr>
        <w:tc>
          <w:tcPr>
            <w:vMerge w:val="restart"/>
            <w:tcBorders>
              <w:top w:color="000000" w:space="0" w:sz="0" w:val="nil"/>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1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Estándar Vista Al Jardín + Deluxe Premium Twin (DLT)</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1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 al 31 Octubre de 2025</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1E">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384 USD</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1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400 USD</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2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546 USD</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2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238 USD</w:t>
            </w:r>
          </w:p>
        </w:tc>
      </w:tr>
      <w:tr>
        <w:trPr>
          <w:cantSplit w:val="0"/>
          <w:trHeight w:val="290" w:hRule="atLeast"/>
          <w:tblHeader w:val="0"/>
        </w:trPr>
        <w:tc>
          <w:tcPr>
            <w:vMerge w:val="continue"/>
            <w:tcBorders>
              <w:top w:color="000000" w:space="0" w:sz="0" w:val="nil"/>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2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Noche adicional</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2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80 USD</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2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84 USD</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2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122 USD</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2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44 USD</w:t>
            </w:r>
          </w:p>
        </w:tc>
      </w:tr>
      <w:tr>
        <w:trPr>
          <w:cantSplit w:val="0"/>
          <w:trHeight w:val="290" w:hRule="atLeast"/>
          <w:tblHeader w:val="0"/>
        </w:trPr>
        <w:tc>
          <w:tcPr>
            <w:vMerge w:val="continue"/>
            <w:tcBorders>
              <w:top w:color="000000" w:space="0" w:sz="0" w:val="nil"/>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2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01 de Noviembre al 23 de Diciembre de 2025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2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394 USD</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2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410 USD</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2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562 USD</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2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242 USD</w:t>
            </w:r>
          </w:p>
        </w:tc>
      </w:tr>
      <w:tr>
        <w:trPr>
          <w:cantSplit w:val="0"/>
          <w:trHeight w:val="290" w:hRule="atLeast"/>
          <w:tblHeader w:val="0"/>
        </w:trPr>
        <w:tc>
          <w:tcPr>
            <w:vMerge w:val="continue"/>
            <w:tcBorders>
              <w:top w:color="000000" w:space="0" w:sz="0" w:val="nil"/>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2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Noche adicional</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3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82 USD</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3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86 USD</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3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124 USD</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46 USD</w:t>
            </w:r>
          </w:p>
        </w:tc>
      </w:tr>
      <w:tr>
        <w:trPr>
          <w:cantSplit w:val="0"/>
          <w:trHeight w:val="290" w:hRule="atLeast"/>
          <w:tblHeader w:val="0"/>
        </w:trPr>
        <w:tc>
          <w:tcPr>
            <w:vMerge w:val="restart"/>
            <w:tcBorders>
              <w:top w:color="000000" w:space="0" w:sz="0" w:val="nil"/>
              <w:left w:color="000000" w:space="0" w:sz="8" w:val="single"/>
              <w:bottom w:color="000000" w:space="0" w:sz="8" w:val="single"/>
              <w:right w:color="000000" w:space="0" w:sz="4" w:val="single"/>
            </w:tcBorders>
            <w:shd w:fill="ffffff" w:val="clear"/>
            <w:vAlign w:val="center"/>
          </w:tcPr>
          <w:p w:rsidR="00000000" w:rsidDel="00000000" w:rsidP="00000000" w:rsidRDefault="00000000" w:rsidRPr="00000000" w14:paraId="0000003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Estándar Vista Mar + Deluxe Premium King Sofá </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3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 al 31 Octubre de 2025</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3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426 USD</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3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444 USD</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610 USD</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260 USD</w:t>
            </w:r>
          </w:p>
        </w:tc>
      </w:tr>
      <w:tr>
        <w:trPr>
          <w:cantSplit w:val="0"/>
          <w:trHeight w:val="290" w:hRule="atLeast"/>
          <w:tblHeader w:val="0"/>
        </w:trPr>
        <w:tc>
          <w:tcPr>
            <w:vMerge w:val="continue"/>
            <w:tcBorders>
              <w:top w:color="000000" w:space="0" w:sz="0" w:val="nil"/>
              <w:left w:color="000000" w:space="0" w:sz="8" w:val="single"/>
              <w:bottom w:color="000000" w:space="0" w:sz="8" w:val="single"/>
              <w:right w:color="000000" w:space="0" w:sz="4" w:val="single"/>
            </w:tcBorders>
            <w:shd w:fill="ffffff" w:val="clear"/>
            <w:vAlign w:val="cente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Noche adicional</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3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90 USD</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3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96 USD</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3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136 USD</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3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50 USD</w:t>
            </w:r>
          </w:p>
        </w:tc>
      </w:tr>
      <w:tr>
        <w:trPr>
          <w:cantSplit w:val="0"/>
          <w:trHeight w:val="290" w:hRule="atLeast"/>
          <w:tblHeader w:val="0"/>
        </w:trPr>
        <w:tc>
          <w:tcPr>
            <w:vMerge w:val="continue"/>
            <w:tcBorders>
              <w:top w:color="000000" w:space="0" w:sz="0" w:val="nil"/>
              <w:left w:color="000000" w:space="0" w:sz="8" w:val="single"/>
              <w:bottom w:color="000000" w:space="0" w:sz="8" w:val="single"/>
              <w:right w:color="000000" w:space="0" w:sz="4" w:val="single"/>
            </w:tcBorders>
            <w:shd w:fill="ffffff" w:val="clear"/>
            <w:vAlign w:val="cente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4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01 de Noviembre al 23 de Diciembre de 2025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4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434 USD</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4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454 USD</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4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624 USD</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4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264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4" w:val="single"/>
            </w:tcBorders>
            <w:shd w:fill="ffffff" w:val="clear"/>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ffffff" w:val="clear"/>
            <w:vAlign w:val="center"/>
          </w:tcPr>
          <w:p w:rsidR="00000000" w:rsidDel="00000000" w:rsidP="00000000" w:rsidRDefault="00000000" w:rsidRPr="00000000" w14:paraId="0000004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Noche adicional</w:t>
            </w:r>
          </w:p>
        </w:tc>
        <w:tc>
          <w:tcPr>
            <w:tcBorders>
              <w:top w:color="000000" w:space="0" w:sz="0" w:val="nil"/>
              <w:left w:color="000000" w:space="0" w:sz="0" w:val="nil"/>
              <w:bottom w:color="000000" w:space="0" w:sz="8" w:val="single"/>
              <w:right w:color="000000" w:space="0" w:sz="4" w:val="single"/>
            </w:tcBorders>
            <w:shd w:fill="ffffff" w:val="clear"/>
            <w:vAlign w:val="center"/>
          </w:tcPr>
          <w:p w:rsidR="00000000" w:rsidDel="00000000" w:rsidP="00000000" w:rsidRDefault="00000000" w:rsidRPr="00000000" w14:paraId="0000004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94 USD</w:t>
            </w:r>
          </w:p>
        </w:tc>
        <w:tc>
          <w:tcPr>
            <w:tcBorders>
              <w:top w:color="000000" w:space="0" w:sz="0" w:val="nil"/>
              <w:left w:color="000000" w:space="0" w:sz="0" w:val="nil"/>
              <w:bottom w:color="000000" w:space="0" w:sz="8" w:val="single"/>
              <w:right w:color="000000" w:space="0" w:sz="4" w:val="single"/>
            </w:tcBorders>
            <w:shd w:fill="ffffff" w:val="clear"/>
            <w:vAlign w:val="center"/>
          </w:tcPr>
          <w:p w:rsidR="00000000" w:rsidDel="00000000" w:rsidP="00000000" w:rsidRDefault="00000000" w:rsidRPr="00000000" w14:paraId="0000004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98 USD</w:t>
            </w:r>
          </w:p>
        </w:tc>
        <w:tc>
          <w:tcPr>
            <w:tcBorders>
              <w:top w:color="000000" w:space="0" w:sz="0" w:val="nil"/>
              <w:left w:color="000000" w:space="0" w:sz="0" w:val="nil"/>
              <w:bottom w:color="000000" w:space="0" w:sz="8" w:val="single"/>
              <w:right w:color="000000" w:space="0" w:sz="4" w:val="single"/>
            </w:tcBorders>
            <w:shd w:fill="ffffff" w:val="clear"/>
            <w:vAlign w:val="center"/>
          </w:tcPr>
          <w:p w:rsidR="00000000" w:rsidDel="00000000" w:rsidP="00000000" w:rsidRDefault="00000000" w:rsidRPr="00000000" w14:paraId="0000004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140 USD</w:t>
            </w:r>
          </w:p>
        </w:tc>
        <w:tc>
          <w:tcPr>
            <w:tcBorders>
              <w:top w:color="000000" w:space="0" w:sz="0" w:val="nil"/>
              <w:left w:color="000000" w:space="0" w:sz="0" w:val="nil"/>
              <w:bottom w:color="000000" w:space="0" w:sz="8" w:val="single"/>
              <w:right w:color="000000" w:space="0" w:sz="4" w:val="single"/>
            </w:tcBorders>
            <w:shd w:fill="ffffff" w:val="clear"/>
            <w:vAlign w:val="center"/>
          </w:tcPr>
          <w:p w:rsidR="00000000" w:rsidDel="00000000" w:rsidP="00000000" w:rsidRDefault="00000000" w:rsidRPr="00000000" w14:paraId="0000004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50 USD</w:t>
            </w:r>
          </w:p>
        </w:tc>
      </w:tr>
    </w:tbl>
    <w:p w:rsidR="00000000" w:rsidDel="00000000" w:rsidP="00000000" w:rsidRDefault="00000000" w:rsidRPr="00000000" w14:paraId="0000004C">
      <w:pPr>
        <w:rPr>
          <w:b w:val="1"/>
          <w:color w:val="002060"/>
        </w:rPr>
      </w:pPr>
      <w:r w:rsidDel="00000000" w:rsidR="00000000" w:rsidRPr="00000000">
        <w:rPr>
          <w:rtl w:val="0"/>
        </w:rPr>
      </w:r>
    </w:p>
    <w:p w:rsidR="00000000" w:rsidDel="00000000" w:rsidP="00000000" w:rsidRDefault="00000000" w:rsidRPr="00000000" w14:paraId="0000004D">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4E">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tarifa por persona en dólares, se liquida a la TRM negociada.</w:t>
      </w:r>
    </w:p>
    <w:p w:rsidR="00000000" w:rsidDel="00000000" w:rsidP="00000000" w:rsidRDefault="00000000" w:rsidRPr="00000000" w14:paraId="0000004F">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w:t>
      </w:r>
      <w:r w:rsidDel="00000000" w:rsidR="00000000" w:rsidRPr="00000000">
        <w:rPr>
          <w:rFonts w:ascii="Calibri" w:cs="Calibri" w:eastAsia="Calibri" w:hAnsi="Calibri"/>
          <w:b w:val="1"/>
          <w:color w:val="1f3864"/>
          <w:rtl w:val="0"/>
        </w:rPr>
        <w:t xml:space="preserve">depósito del 30 %</w:t>
      </w:r>
      <w:r w:rsidDel="00000000" w:rsidR="00000000" w:rsidRPr="00000000">
        <w:rPr>
          <w:rFonts w:ascii="Calibri" w:cs="Calibri" w:eastAsia="Calibri" w:hAnsi="Calibri"/>
          <w:color w:val="1f3864"/>
          <w:rtl w:val="0"/>
        </w:rPr>
        <w:t xml:space="preserve"> del valor del paquete por persona.</w:t>
      </w:r>
    </w:p>
    <w:p w:rsidR="00000000" w:rsidDel="00000000" w:rsidP="00000000" w:rsidRDefault="00000000" w:rsidRPr="00000000" w14:paraId="00000050">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pago total deberá realizarse 45 días antes del inicio del circuito.</w:t>
      </w:r>
    </w:p>
    <w:p w:rsidR="00000000" w:rsidDel="00000000" w:rsidP="00000000" w:rsidRDefault="00000000" w:rsidRPr="00000000" w14:paraId="00000051">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52">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sujetas a cambios sin previo aviso.</w:t>
      </w:r>
    </w:p>
    <w:p w:rsidR="00000000" w:rsidDel="00000000" w:rsidP="00000000" w:rsidRDefault="00000000" w:rsidRPr="00000000" w14:paraId="00000053">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54">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 los servicios podrá ser variado a criterio del operador, para poder garantizar la prestación óptima de los mismos y la completa seguridad de los viajeros.</w:t>
      </w:r>
    </w:p>
    <w:p w:rsidR="00000000" w:rsidDel="00000000" w:rsidP="00000000" w:rsidRDefault="00000000" w:rsidRPr="00000000" w14:paraId="00000055">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Niños 0 - 2 Años con 2 adultos FREE. Niños de 3-12 Años pagan tarifa compartiendo habitación con 2 adultos.</w:t>
      </w:r>
    </w:p>
    <w:p w:rsidR="00000000" w:rsidDel="00000000" w:rsidP="00000000" w:rsidRDefault="00000000" w:rsidRPr="00000000" w14:paraId="00000056">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Tener en cuenta que el tour de canal no incluye la entrada es solo vista panorámica, además </w:t>
      </w:r>
      <w:r w:rsidDel="00000000" w:rsidR="00000000" w:rsidRPr="00000000">
        <w:rPr>
          <w:rFonts w:ascii="Calibri" w:cs="Calibri" w:eastAsia="Calibri" w:hAnsi="Calibri"/>
          <w:b w:val="1"/>
          <w:i w:val="1"/>
          <w:color w:val="1f3864"/>
          <w:rtl w:val="0"/>
        </w:rPr>
        <w:t xml:space="preserve">no</w:t>
      </w:r>
      <w:r w:rsidDel="00000000" w:rsidR="00000000" w:rsidRPr="00000000">
        <w:rPr>
          <w:rFonts w:ascii="Calibri" w:cs="Calibri" w:eastAsia="Calibri" w:hAnsi="Calibri"/>
          <w:color w:val="1f3864"/>
          <w:rtl w:val="0"/>
        </w:rPr>
        <w:t xml:space="preserve"> aplica para las siguientes fechas (2,3, y 5 de noviembre, 20 de diciembre al 02 de enero del 2026.</w:t>
      </w:r>
    </w:p>
    <w:p w:rsidR="00000000" w:rsidDel="00000000" w:rsidP="00000000" w:rsidRDefault="00000000" w:rsidRPr="00000000" w14:paraId="00000057">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65 años. Para conocer los detalles de los beneficios de tu asistencia, contáctanos o revisa la información en tu voucher.</w:t>
      </w:r>
    </w:p>
    <w:p w:rsidR="00000000" w:rsidDel="00000000" w:rsidP="00000000" w:rsidRDefault="00000000" w:rsidRPr="00000000" w14:paraId="00000058">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5A">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a través de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5B">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C">
      <w:pPr>
        <w:ind w:right="520"/>
        <w:jc w:val="both"/>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5D">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PENALIDADES Y GASTOS POR CANCELACIONES:</w:t>
      </w: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sin gastos a 30 días antes del inicio de viaje. </w:t>
      </w:r>
    </w:p>
    <w:p w:rsidR="00000000" w:rsidDel="00000000" w:rsidP="00000000" w:rsidRDefault="00000000" w:rsidRPr="00000000" w14:paraId="0000005F">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color w:val="1f3864"/>
          <w:highlight w:val="lightGray"/>
          <w:rtl w:val="0"/>
        </w:rPr>
        <w:t xml:space="preserve">Cancelación con gastos al 100% a menos de 29 días de inicio de viaje y/o no show. </w:t>
      </w:r>
      <w:r w:rsidDel="00000000" w:rsidR="00000000" w:rsidRPr="00000000">
        <w:rPr>
          <w:rtl w:val="0"/>
        </w:rPr>
      </w:r>
    </w:p>
    <w:p w:rsidR="00000000" w:rsidDel="00000000" w:rsidP="00000000" w:rsidRDefault="00000000" w:rsidRPr="00000000" w14:paraId="00000060">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1">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62">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63">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4">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r>
    </w:p>
    <w:p w:rsidR="00000000" w:rsidDel="00000000" w:rsidP="00000000" w:rsidRDefault="00000000" w:rsidRPr="00000000" w14:paraId="0000006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El Ministerio de Salud de Panamá (MINSA) ha declarado alerta sanitaria por dengue en varias regiones del país (Panamá, Panamá Oeste y Colón) debido al aumento del número de casos de la enfermedad. Se recomienda extremar las precauciones para evitar picaduras de mosquito. </w:t>
      </w:r>
    </w:p>
    <w:p w:rsidR="00000000" w:rsidDel="00000000" w:rsidP="00000000" w:rsidRDefault="00000000" w:rsidRPr="00000000" w14:paraId="0000006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Se recomienda el uso de repelente de mosquitos, especialmente durante los meses de más calor, lluvias y humedad (abril - noviembre), cuando aumenta la incidencia de las infecciones por los virus del Dengue.</w:t>
      </w:r>
    </w:p>
    <w:p w:rsidR="00000000" w:rsidDel="00000000" w:rsidP="00000000" w:rsidRDefault="00000000" w:rsidRPr="00000000" w14:paraId="0000006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Llevar ropa ligera y transpirable, como camisetas, pantalones cortos, vestidos y trajes de baño.</w:t>
      </w:r>
    </w:p>
    <w:p w:rsidR="00000000" w:rsidDel="00000000" w:rsidP="00000000" w:rsidRDefault="00000000" w:rsidRPr="00000000" w14:paraId="0000006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En algunas zonas remotas, mercados locales y establecimientos pequeños, es posible que solo se </w:t>
      </w:r>
      <w:r w:rsidDel="00000000" w:rsidR="00000000" w:rsidRPr="00000000">
        <w:rPr>
          <w:rFonts w:ascii="Calibri" w:cs="Calibri" w:eastAsia="Calibri" w:hAnsi="Calibri"/>
          <w:color w:val="1f3864"/>
          <w:rtl w:val="0"/>
        </w:rPr>
        <w:t xml:space="preserve">acepta</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efectivo.</w:t>
      </w:r>
    </w:p>
    <w:p w:rsidR="00000000" w:rsidDel="00000000" w:rsidP="00000000" w:rsidRDefault="00000000" w:rsidRPr="00000000" w14:paraId="0000006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Se aconseja beber agua embotellada, ya que el agua de la canilla puede provocar problemas estomacales.</w:t>
      </w:r>
    </w:p>
    <w:p w:rsidR="00000000" w:rsidDel="00000000" w:rsidP="00000000" w:rsidRDefault="00000000" w:rsidRPr="00000000" w14:paraId="0000006A">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B">
      <w:pPr>
        <w:widowControl w:val="1"/>
        <w:spacing w:after="160" w:line="259" w:lineRule="auto"/>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REQUISITOS:</w:t>
      </w:r>
    </w:p>
    <w:p w:rsidR="00000000" w:rsidDel="00000000" w:rsidP="00000000" w:rsidRDefault="00000000" w:rsidRPr="00000000" w14:paraId="0000006C">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w:t>
      </w:r>
    </w:p>
    <w:p w:rsidR="00000000" w:rsidDel="00000000" w:rsidP="00000000" w:rsidRDefault="00000000" w:rsidRPr="00000000" w14:paraId="0000006D">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 </w:t>
      </w:r>
    </w:p>
    <w:p w:rsidR="00000000" w:rsidDel="00000000" w:rsidP="00000000" w:rsidRDefault="00000000" w:rsidRPr="00000000" w14:paraId="0000006E">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motivo de viaje.</w:t>
      </w:r>
    </w:p>
    <w:p w:rsidR="00000000" w:rsidDel="00000000" w:rsidP="00000000" w:rsidRDefault="00000000" w:rsidRPr="00000000" w14:paraId="0000006F">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Demostrar solvencia económica.</w:t>
      </w:r>
    </w:p>
    <w:p w:rsidR="00000000" w:rsidDel="00000000" w:rsidP="00000000" w:rsidRDefault="00000000" w:rsidRPr="00000000" w14:paraId="00000070">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vacuna de la fiebre amarilla es obligatoria para todas las personas que viajan desde Brasil.</w:t>
      </w:r>
    </w:p>
    <w:p w:rsidR="00000000" w:rsidDel="00000000" w:rsidP="00000000" w:rsidRDefault="00000000" w:rsidRPr="00000000" w14:paraId="00000071">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br w:type="textWrapping"/>
        <w:t xml:space="preserve">CLÁUSULA DE RESPONSABILIDAD: </w:t>
      </w:r>
      <w:hyperlink r:id="rId10">
        <w:r w:rsidDel="00000000" w:rsidR="00000000" w:rsidRPr="00000000">
          <w:rPr>
            <w:rFonts w:ascii="Calibri" w:cs="Calibri" w:eastAsia="Calibri" w:hAnsi="Calibri"/>
            <w:color w:val="0563c1"/>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72">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3">
      <w:pPr>
        <w:ind w:right="520"/>
        <w:jc w:val="both"/>
        <w:rPr>
          <w:sz w:val="20"/>
          <w:szCs w:val="20"/>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1" w:type="default"/>
      <w:footerReference r:id="rId12" w:type="default"/>
      <w:pgSz w:h="15840" w:w="12240" w:orient="portrait"/>
      <w:pgMar w:bottom="1417" w:top="1417" w:left="1701" w:right="1701" w:header="709" w:footer="221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114300" distR="114300" hidden="0" layoutInCell="1" locked="0" relativeHeight="0" simplePos="0">
          <wp:simplePos x="0" y="0"/>
          <wp:positionH relativeFrom="column">
            <wp:posOffset>-1066799</wp:posOffset>
          </wp:positionH>
          <wp:positionV relativeFrom="paragraph">
            <wp:posOffset>560105</wp:posOffset>
          </wp:positionV>
          <wp:extent cx="7810500" cy="1011520"/>
          <wp:effectExtent b="0" l="0" r="0" t="0"/>
          <wp:wrapNone/>
          <wp:docPr id="1973775944"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810500" cy="101152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-1209674</wp:posOffset>
          </wp:positionH>
          <wp:positionV relativeFrom="paragraph">
            <wp:posOffset>-212089</wp:posOffset>
          </wp:positionV>
          <wp:extent cx="2205990" cy="1250315"/>
          <wp:effectExtent b="0" l="0" r="0" t="0"/>
          <wp:wrapNone/>
          <wp:docPr id="1973775942" name="image6.png"/>
          <a:graphic>
            <a:graphicData uri="http://schemas.openxmlformats.org/drawingml/2006/picture">
              <pic:pic>
                <pic:nvPicPr>
                  <pic:cNvPr id="0" name="image6.png"/>
                  <pic:cNvPicPr preferRelativeResize="0"/>
                </pic:nvPicPr>
                <pic:blipFill>
                  <a:blip r:embed="rId1"/>
                  <a:srcRect b="0" l="0" r="-2026" t="13474"/>
                  <a:stretch>
                    <a:fillRect/>
                  </a:stretch>
                </pic:blipFill>
                <pic:spPr>
                  <a:xfrm>
                    <a:off x="0" y="0"/>
                    <a:ext cx="2205990" cy="125031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-603884</wp:posOffset>
          </wp:positionH>
          <wp:positionV relativeFrom="paragraph">
            <wp:posOffset>3180715</wp:posOffset>
          </wp:positionV>
          <wp:extent cx="393700" cy="2628900"/>
          <wp:effectExtent b="0" l="0" r="0" t="0"/>
          <wp:wrapNone/>
          <wp:docPr id="1973775948"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393700" cy="26289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-1171574</wp:posOffset>
          </wp:positionH>
          <wp:positionV relativeFrom="paragraph">
            <wp:posOffset>-450214</wp:posOffset>
          </wp:positionV>
          <wp:extent cx="8016875" cy="955040"/>
          <wp:effectExtent b="0" l="0" r="0" t="0"/>
          <wp:wrapSquare wrapText="bothSides" distB="0" distT="0" distL="114300" distR="114300"/>
          <wp:docPr id="1973775943"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8016875" cy="95504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spacing w:after="0" w:line="240" w:lineRule="auto"/>
    </w:pPr>
    <w:rPr>
      <w:rFonts w:ascii="Calibri" w:cs="Calibri" w:hAnsi="Calibri"/>
      <w:color w:val="000000"/>
      <w:sz w:val="24"/>
      <w:szCs w:val="24"/>
      <w:lang w:val="es-ES"/>
    </w:rPr>
  </w:style>
  <w:style w:type="table" w:styleId="TableNormal1" w:customStyle="1">
    <w:name w:val="Table Normal1"/>
    <w:uiPriority w:val="2"/>
    <w:semiHidden w:val="1"/>
    <w:unhideWhenUsed w:val="1"/>
    <w:qFormat w:val="1"/>
    <w:rsid w:val="009E7667"/>
    <w:pPr>
      <w:widowControl w:val="0"/>
      <w:autoSpaceDE w:val="0"/>
      <w:autoSpaceDN w:val="0"/>
      <w:spacing w:after="0" w:line="240" w:lineRule="auto"/>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cinsinresolver">
    <w:name w:val="Unresolved Mention"/>
    <w:basedOn w:val="Fuentedeprrafopredeter"/>
    <w:uiPriority w:val="99"/>
    <w:semiHidden w:val="1"/>
    <w:unhideWhenUsed w:val="1"/>
    <w:rsid w:val="00E96CAF"/>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tropitours.co/es/clausula-de-responsabilidad" TargetMode="External"/><Relationship Id="rId12" Type="http://schemas.openxmlformats.org/officeDocument/2006/relationships/footer" Target="footer1.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1.png"/><Relationship Id="rId3"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srzwjV7KY4LmKln9DHonDWaspA==">CgMxLjA4AHIhMUlDWWFkWjBQMFpYdWo0U20zT3EzRHdGRnFPZFR1eFkz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2024-08-15T21:00:00Z</dcterms:created>
  <dc:creator>Eliana Gomez</dc:creator>
</cp:coreProperties>
</file>