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24"/>
          <w:szCs w:val="24"/>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COMBINADO PANAMÁ FIN DE AÑO </w:t>
      </w:r>
    </w:p>
    <w:p w:rsidR="00000000" w:rsidDel="00000000" w:rsidP="00000000" w:rsidRDefault="00000000" w:rsidRPr="00000000" w14:paraId="00000003">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4N/5D</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VIGENCIA DE VIAJE: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Del </w:t>
      </w:r>
      <w:r w:rsidDel="00000000" w:rsidR="00000000" w:rsidRPr="00000000">
        <w:rPr>
          <w:rFonts w:ascii="Calibri" w:cs="Calibri" w:eastAsia="Calibri" w:hAnsi="Calibri"/>
          <w:color w:val="1f3864"/>
          <w:rtl w:val="0"/>
        </w:rPr>
        <w:t xml:space="preserve">30</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 diciembre al 0</w:t>
      </w:r>
      <w:r w:rsidDel="00000000" w:rsidR="00000000" w:rsidRPr="00000000">
        <w:rPr>
          <w:rFonts w:ascii="Calibri" w:cs="Calibri" w:eastAsia="Calibri" w:hAnsi="Calibri"/>
          <w:color w:val="1f3864"/>
          <w:rtl w:val="0"/>
        </w:rPr>
        <w:t xml:space="preserve">3</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 </w:t>
      </w:r>
      <w:r w:rsidDel="00000000" w:rsidR="00000000" w:rsidRPr="00000000">
        <w:rPr>
          <w:rFonts w:ascii="Calibri" w:cs="Calibri" w:eastAsia="Calibri" w:hAnsi="Calibri"/>
          <w:color w:val="1f3864"/>
          <w:rtl w:val="0"/>
        </w:rPr>
        <w:t xml:space="preserve">enero</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de 2026.</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color="000000" w:space="0" w:sz="12" w:val="single"/>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1f3864"/>
          <w:sz w:val="6"/>
          <w:szCs w:val="6"/>
          <w:u w:val="none"/>
          <w:shd w:fill="auto" w:val="clear"/>
          <w:vertAlign w:val="baseline"/>
        </w:rPr>
      </w:pPr>
      <w:r w:rsidDel="00000000" w:rsidR="00000000" w:rsidRPr="00000000">
        <w:rPr>
          <w:rtl w:val="0"/>
        </w:rPr>
      </w:r>
    </w:p>
    <w:p w:rsidR="00000000" w:rsidDel="00000000" w:rsidP="00000000" w:rsidRDefault="00000000" w:rsidRPr="00000000" w14:paraId="00000007">
      <w:pPr>
        <w:rPr>
          <w:sz w:val="16"/>
          <w:szCs w:val="1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0" distT="0" distL="0" distR="0">
            <wp:extent cx="1744034" cy="1178401"/>
            <wp:effectExtent b="0" l="0" r="0" t="0"/>
            <wp:docPr descr="Hotel Gran Evenia Bijao - All Inclusive, Playa Blanca - Central de Reservas" id="1623507373" name="image4.jpg"/>
            <a:graphic>
              <a:graphicData uri="http://schemas.openxmlformats.org/drawingml/2006/picture">
                <pic:pic>
                  <pic:nvPicPr>
                    <pic:cNvPr descr="Hotel Gran Evenia Bijao - All Inclusive, Playa Blanca - Central de Reservas" id="0" name="image4.jpg"/>
                    <pic:cNvPicPr preferRelativeResize="0"/>
                  </pic:nvPicPr>
                  <pic:blipFill>
                    <a:blip r:embed="rId7"/>
                    <a:srcRect b="0" l="0" r="0" t="0"/>
                    <a:stretch>
                      <a:fillRect/>
                    </a:stretch>
                  </pic:blipFill>
                  <pic:spPr>
                    <a:xfrm>
                      <a:off x="0" y="0"/>
                      <a:ext cx="1744034" cy="117840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52341" cy="1189398"/>
            <wp:effectExtent b="0" l="0" r="0" t="0"/>
            <wp:docPr id="1623507375" name="image5.jpg"/>
            <a:graphic>
              <a:graphicData uri="http://schemas.openxmlformats.org/drawingml/2006/picture">
                <pic:pic>
                  <pic:nvPicPr>
                    <pic:cNvPr id="0" name="image5.jpg"/>
                    <pic:cNvPicPr preferRelativeResize="0"/>
                  </pic:nvPicPr>
                  <pic:blipFill>
                    <a:blip r:embed="rId8"/>
                    <a:srcRect b="0" l="2028" r="19772" t="0"/>
                    <a:stretch>
                      <a:fillRect/>
                    </a:stretch>
                  </pic:blipFill>
                  <pic:spPr>
                    <a:xfrm>
                      <a:off x="0" y="0"/>
                      <a:ext cx="1852341" cy="1189398"/>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783817" cy="1188000"/>
            <wp:effectExtent b="0" l="0" r="0" t="0"/>
            <wp:docPr descr="Gran Evenia Bijao - All Inclusive, Playa Blanca (precios actualizados 2025)" id="1623507374" name="image6.jpg"/>
            <a:graphic>
              <a:graphicData uri="http://schemas.openxmlformats.org/drawingml/2006/picture">
                <pic:pic>
                  <pic:nvPicPr>
                    <pic:cNvPr descr="Gran Evenia Bijao - All Inclusive, Playa Blanca (precios actualizados 2025)" id="0" name="image6.jpg"/>
                    <pic:cNvPicPr preferRelativeResize="0"/>
                  </pic:nvPicPr>
                  <pic:blipFill>
                    <a:blip r:embed="rId9"/>
                    <a:srcRect b="0" l="0" r="0" t="0"/>
                    <a:stretch>
                      <a:fillRect/>
                    </a:stretch>
                  </pic:blipFill>
                  <pic:spPr>
                    <a:xfrm>
                      <a:off x="0" y="0"/>
                      <a:ext cx="1783817" cy="11880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rFonts w:ascii="Calibri" w:cs="Calibri" w:eastAsia="Calibri" w:hAnsi="Calibri"/>
          <w:color w:val="1f3864"/>
        </w:rPr>
      </w:pPr>
      <w:r w:rsidDel="00000000" w:rsidR="00000000" w:rsidRPr="00000000">
        <w:rPr>
          <w:rFonts w:ascii="Calibri" w:cs="Calibri" w:eastAsia="Calibri" w:hAnsi="Calibri"/>
          <w:b w:val="1"/>
          <w:color w:val="1f3864"/>
          <w:rtl w:val="0"/>
        </w:rPr>
        <w:br w:type="textWrapping"/>
        <w:t xml:space="preserve">INCLUYE:</w:t>
      </w:r>
      <w:r w:rsidDel="00000000" w:rsidR="00000000" w:rsidRPr="00000000">
        <w:rPr>
          <w:rtl w:val="0"/>
        </w:rPr>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Traslados en svs compartido.</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color w:val="1f3864"/>
          <w:rtl w:val="0"/>
        </w:rPr>
        <w:t xml:space="preserve">3 noches de hospedaje en Gran Evenia Bijao.</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color w:val="1f3864"/>
          <w:rtl w:val="0"/>
        </w:rPr>
        <w:t xml:space="preserve">Plan todo incluido en Bijao.</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Habitación vista al mar.</w:t>
      </w:r>
    </w:p>
    <w:p w:rsidR="00000000" w:rsidDel="00000000" w:rsidP="00000000" w:rsidRDefault="00000000" w:rsidRPr="00000000" w14:paraId="0000000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color w:val="1f3864"/>
          <w:rtl w:val="0"/>
        </w:rPr>
        <w:t xml:space="preserve">Cena y fiesta de fin de año.</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color w:val="1f3864"/>
          <w:rtl w:val="0"/>
        </w:rPr>
        <w:t xml:space="preserve">1 noche de hospedaje en hotel de la ciudad con desayuno.</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rlito" w:cs="Carlito" w:eastAsia="Carlito" w:hAnsi="Carlito"/>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color w:val="1f3864"/>
          <w:rtl w:val="0"/>
        </w:rPr>
        <w:t xml:space="preserve">Tour Nocturno.</w:t>
      </w:r>
    </w:p>
    <w:p w:rsidR="00000000" w:rsidDel="00000000" w:rsidP="00000000" w:rsidRDefault="00000000" w:rsidRPr="00000000" w14:paraId="000000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SIM CARD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Conecty</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de regalo por </w:t>
      </w:r>
      <w:r w:rsidDel="00000000" w:rsidR="00000000" w:rsidRPr="00000000">
        <w:rPr>
          <w:rFonts w:ascii="Calibri" w:cs="Calibri" w:eastAsia="Calibri" w:hAnsi="Calibri"/>
          <w:b w:val="1"/>
          <w:i w:val="1"/>
          <w:color w:val="1f3864"/>
          <w:rtl w:val="0"/>
        </w:rPr>
        <w:t xml:space="preserve">habitación</w:t>
      </w:r>
      <w:r w:rsidDel="00000000" w:rsidR="00000000" w:rsidRPr="00000000">
        <w:rPr>
          <w:rFonts w:ascii="Calibri" w:cs="Calibri" w:eastAsia="Calibri" w:hAnsi="Calibri"/>
          <w:b w:val="1"/>
          <w:i w:val="1"/>
          <w:smallCaps w:val="0"/>
          <w:strike w:val="0"/>
          <w:color w:val="1f3864"/>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(2 GB). </w:t>
      </w: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Nota importante:</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La Sim Card o Chip es un obsequio, si no es compatible con su teléfono, daño o pérdida, no aplica ningún reembolso.</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60.000 USD).</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color w:val="1f3864"/>
        </w:rPr>
      </w:pPr>
      <w:r w:rsidDel="00000000" w:rsidR="00000000" w:rsidRPr="00000000">
        <w:rPr>
          <w:rFonts w:ascii="Calibri" w:cs="Calibri" w:eastAsia="Calibri" w:hAnsi="Calibri"/>
          <w:color w:val="1f3864"/>
          <w:rtl w:val="0"/>
        </w:rPr>
        <w:t xml:space="preserve">Tiquetes aéreos internacionales (Pregunta por nuestras tarifas especiales).</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color w:val="1f3864"/>
        </w:rPr>
      </w:pPr>
      <w:r w:rsidDel="00000000" w:rsidR="00000000" w:rsidRPr="00000000">
        <w:rPr>
          <w:rFonts w:ascii="Calibri" w:cs="Calibri" w:eastAsia="Calibri" w:hAnsi="Calibri"/>
          <w:color w:val="1f3864"/>
          <w:rtl w:val="0"/>
        </w:rPr>
        <w:t xml:space="preserve">Visitas o servicios no mencionados en el </w:t>
      </w:r>
      <w:r w:rsidDel="00000000" w:rsidR="00000000" w:rsidRPr="00000000">
        <w:rPr>
          <w:rFonts w:ascii="Calibri" w:cs="Calibri" w:eastAsia="Calibri" w:hAnsi="Calibri"/>
          <w:color w:val="1f3864"/>
          <w:rtl w:val="0"/>
        </w:rPr>
        <w:t xml:space="preserve">parágrafo</w:t>
      </w:r>
      <w:r w:rsidDel="00000000" w:rsidR="00000000" w:rsidRPr="00000000">
        <w:rPr>
          <w:rFonts w:ascii="Calibri" w:cs="Calibri" w:eastAsia="Calibri" w:hAnsi="Calibri"/>
          <w:color w:val="1f3864"/>
          <w:rtl w:val="0"/>
        </w:rPr>
        <w:t xml:space="preserve"> incluye.</w:t>
      </w:r>
      <w:r w:rsidDel="00000000" w:rsidR="00000000" w:rsidRPr="00000000">
        <w:rPr>
          <w:rtl w:val="0"/>
        </w:rPr>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color w:val="1f3864"/>
        </w:rPr>
      </w:pPr>
      <w:r w:rsidDel="00000000" w:rsidR="00000000" w:rsidRPr="00000000">
        <w:rPr>
          <w:rFonts w:ascii="Calibri" w:cs="Calibri" w:eastAsia="Calibri" w:hAnsi="Calibri"/>
          <w:color w:val="1f3864"/>
          <w:rtl w:val="0"/>
        </w:rPr>
        <w:t xml:space="preserve">Gastos personales, extras, Seguro viaje.</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19">
      <w:pPr>
        <w:rPr>
          <w:b w:val="1"/>
          <w:color w:val="002060"/>
        </w:rPr>
      </w:pPr>
      <w:r w:rsidDel="00000000" w:rsidR="00000000" w:rsidRPr="00000000">
        <w:rPr>
          <w:rtl w:val="0"/>
        </w:rPr>
      </w:r>
    </w:p>
    <w:p w:rsidR="00000000" w:rsidDel="00000000" w:rsidP="00000000" w:rsidRDefault="00000000" w:rsidRPr="00000000" w14:paraId="0000001A">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w:t>
        <w:br w:type="textWrapping"/>
      </w:r>
    </w:p>
    <w:tbl>
      <w:tblPr>
        <w:tblStyle w:val="Table1"/>
        <w:tblW w:w="7928.000000000001" w:type="dxa"/>
        <w:jc w:val="center"/>
        <w:tblLayout w:type="fixed"/>
        <w:tblLook w:val="0400"/>
      </w:tblPr>
      <w:tblGrid>
        <w:gridCol w:w="3080"/>
        <w:gridCol w:w="1446"/>
        <w:gridCol w:w="1418"/>
        <w:gridCol w:w="1984"/>
        <w:tblGridChange w:id="0">
          <w:tblGrid>
            <w:gridCol w:w="3080"/>
            <w:gridCol w:w="1446"/>
            <w:gridCol w:w="1418"/>
            <w:gridCol w:w="1984"/>
          </w:tblGrid>
        </w:tblGridChange>
      </w:tblGrid>
      <w:tr>
        <w:trPr>
          <w:cantSplit w:val="0"/>
          <w:trHeight w:val="152" w:hRule="atLeast"/>
          <w:tblHeader w:val="0"/>
        </w:trPr>
        <w:tc>
          <w:tcPr>
            <w:tcBorders>
              <w:top w:color="000000" w:space="0" w:sz="8" w:val="single"/>
              <w:left w:color="000000" w:space="0" w:sz="8" w:val="single"/>
              <w:bottom w:color="000000" w:space="0" w:sz="4" w:val="single"/>
              <w:right w:color="000000" w:space="0" w:sz="4"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CATEGORÍA DE HABITACIONES</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 </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2 - 12 AÑOS</w:t>
            </w:r>
          </w:p>
        </w:tc>
      </w:tr>
      <w:tr>
        <w:trPr>
          <w:cantSplit w:val="0"/>
          <w:trHeight w:val="156"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Marinn Place</w:t>
            </w:r>
          </w:p>
        </w:tc>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675 USD</w:t>
            </w:r>
          </w:p>
        </w:tc>
        <w:tc>
          <w:tcPr>
            <w:tcBorders>
              <w:top w:color="000000" w:space="0" w:sz="8" w:val="single"/>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381 USD</w:t>
            </w:r>
          </w:p>
        </w:tc>
      </w:tr>
      <w:tr>
        <w:trPr>
          <w:cantSplit w:val="0"/>
          <w:trHeight w:val="16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Victoria</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669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381 USD</w:t>
            </w:r>
          </w:p>
        </w:tc>
      </w:tr>
      <w:tr>
        <w:trPr>
          <w:cantSplit w:val="0"/>
          <w:trHeight w:val="136"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Hilton Garden Inn</w:t>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727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405 USD</w:t>
            </w:r>
          </w:p>
        </w:tc>
      </w:tr>
      <w:tr>
        <w:trPr>
          <w:cantSplit w:val="0"/>
          <w:trHeight w:val="32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Waymore / Evenia Panamá</w:t>
            </w:r>
          </w:p>
        </w:tc>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733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401 USD</w:t>
            </w:r>
          </w:p>
        </w:tc>
      </w:tr>
      <w:tr>
        <w:trPr>
          <w:cantSplit w:val="0"/>
          <w:trHeight w:val="74"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Las Américas</w:t>
            </w:r>
          </w:p>
        </w:tc>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403 USD</w:t>
            </w:r>
          </w:p>
        </w:tc>
      </w:tr>
    </w:tbl>
    <w:p w:rsidR="00000000" w:rsidDel="00000000" w:rsidP="00000000" w:rsidRDefault="00000000" w:rsidRPr="00000000" w14:paraId="0000003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3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3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 y en el horario previamente establecido.</w:t>
      </w:r>
    </w:p>
    <w:p w:rsidR="00000000" w:rsidDel="00000000" w:rsidP="00000000" w:rsidRDefault="00000000" w:rsidRPr="00000000" w14:paraId="0000003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Edad para Chd aplica desde 2 a 12 años.</w:t>
      </w:r>
    </w:p>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4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4">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Cambios hechos fuera del tiempo están sujetos a cargos.</w:t>
      </w:r>
    </w:p>
    <w:p w:rsidR="00000000" w:rsidDel="00000000" w:rsidP="00000000" w:rsidRDefault="00000000" w:rsidRPr="00000000" w14:paraId="0000004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7">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8">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4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Ministerio de Salud de Panamá (MINSA) ha declarado alerta sanitaria por dengue en varias regiones del país (Panamá, Panamá Oeste y Colón) debido al aumento del número de casos de la enfermedad. Se recomienda extremar las precauciones para evitar picaduras de mosquito. </w:t>
      </w:r>
    </w:p>
    <w:p w:rsidR="00000000" w:rsidDel="00000000" w:rsidP="00000000" w:rsidRDefault="00000000" w:rsidRPr="00000000" w14:paraId="0000004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el uso de repelente de mosquitos, especialmente durante los meses de más calor, lluvias y humedad (abril - noviembre), cuando aumenta la incidencia de las infecciones por los virus del Dengue.</w:t>
      </w:r>
    </w:p>
    <w:p w:rsidR="00000000" w:rsidDel="00000000" w:rsidP="00000000" w:rsidRDefault="00000000" w:rsidRPr="00000000" w14:paraId="0000004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Llevar ropa ligera y transpirable, como camisetas, pantalones cortos, vestidos y trajes de baño.</w:t>
      </w:r>
    </w:p>
    <w:p w:rsidR="00000000" w:rsidDel="00000000" w:rsidP="00000000" w:rsidRDefault="00000000" w:rsidRPr="00000000" w14:paraId="0000004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En algunas zonas remotas, mercados locales y establecimientos pequeños, es posible que solo se </w:t>
      </w:r>
      <w:r w:rsidDel="00000000" w:rsidR="00000000" w:rsidRPr="00000000">
        <w:rPr>
          <w:rFonts w:ascii="Calibri" w:cs="Calibri" w:eastAsia="Calibri" w:hAnsi="Calibri"/>
          <w:color w:val="1f3864"/>
          <w:rtl w:val="0"/>
        </w:rPr>
        <w:t xml:space="preserve">acepta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efectivo.</w:t>
      </w:r>
    </w:p>
    <w:p w:rsidR="00000000" w:rsidDel="00000000" w:rsidP="00000000" w:rsidRDefault="00000000" w:rsidRPr="00000000" w14:paraId="0000004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aconseja beber agua embotellada, ya que el agua de la canilla puede provocar problemas estomacales.</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52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5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5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 </w:t>
      </w:r>
    </w:p>
    <w:p w:rsidR="00000000" w:rsidDel="00000000" w:rsidP="00000000" w:rsidRDefault="00000000" w:rsidRPr="00000000" w14:paraId="0000005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motivo de viaje.</w:t>
      </w:r>
    </w:p>
    <w:p w:rsidR="00000000" w:rsidDel="00000000" w:rsidP="00000000" w:rsidRDefault="00000000" w:rsidRPr="00000000" w14:paraId="0000005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Demostrar solvencia económica.</w:t>
      </w:r>
    </w:p>
    <w:p w:rsidR="00000000" w:rsidDel="00000000" w:rsidP="00000000" w:rsidRDefault="00000000" w:rsidRPr="00000000" w14:paraId="0000005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vacuna de la fiebre amarilla es obligatoria para todas las personas que viajan desde Brasil.</w:t>
      </w:r>
    </w:p>
    <w:p w:rsidR="00000000" w:rsidDel="00000000" w:rsidP="00000000" w:rsidRDefault="00000000" w:rsidRPr="00000000" w14:paraId="0000005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r>
    </w:p>
    <w:p w:rsidR="00000000" w:rsidDel="00000000" w:rsidP="00000000" w:rsidRDefault="00000000" w:rsidRPr="00000000" w14:paraId="00000057">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9">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footerReference r:id="rId12" w:type="default"/>
      <w:pgSz w:h="15840" w:w="12240" w:orient="portrait"/>
      <w:pgMar w:bottom="680" w:top="1418"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-1099184</wp:posOffset>
          </wp:positionH>
          <wp:positionV relativeFrom="paragraph">
            <wp:posOffset>685800</wp:posOffset>
          </wp:positionV>
          <wp:extent cx="7806690" cy="1042035"/>
          <wp:effectExtent b="0" l="0" r="0" t="0"/>
          <wp:wrapNone/>
          <wp:docPr id="162350737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-1076324</wp:posOffset>
          </wp:positionH>
          <wp:positionV relativeFrom="paragraph">
            <wp:posOffset>-439067</wp:posOffset>
          </wp:positionV>
          <wp:extent cx="8016875" cy="955040"/>
          <wp:effectExtent b="0" l="0" r="0" t="0"/>
          <wp:wrapNone/>
          <wp:docPr id="162350737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-603884</wp:posOffset>
          </wp:positionH>
          <wp:positionV relativeFrom="paragraph">
            <wp:posOffset>2865120</wp:posOffset>
          </wp:positionV>
          <wp:extent cx="368300" cy="2622550"/>
          <wp:effectExtent b="0" l="0" r="0" t="0"/>
          <wp:wrapNone/>
          <wp:docPr id="162350737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368300" cy="26225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99"/>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
    <w:name w:val="Unresolved Mention"/>
    <w:basedOn w:val="Fuentedeprrafopredeter"/>
    <w:uiPriority w:val="99"/>
    <w:semiHidden w:val="1"/>
    <w:unhideWhenUsed w:val="1"/>
    <w:rsid w:val="00E96CAF"/>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8bz2m+mRbgkfWX7B8XhE1m8CA==">CgMxLjA4AHIhMUV6NGFpcVNic1BQN0NMNXZWcE5ZaDFScjkyRWtROU1V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2024-08-15T21:00:00Z</dcterms:created>
  <dc:creator>Eliana Gomez</dc:creator>
</cp:coreProperties>
</file>