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5430"/>
        </w:tabs>
        <w:jc w:val="center"/>
        <w:rPr>
          <w:rFonts w:ascii="Calibri" w:cs="Calibri" w:eastAsia="Calibri" w:hAnsi="Calibri"/>
          <w:b w:val="1"/>
          <w:bCs w:val="1"/>
          <w:color w:val="1f3864"/>
          <w:sz w:val="44"/>
          <w:szCs w:val="44"/>
        </w:rPr>
      </w:pPr>
      <w:r w:rsidDel="00000000" w:rsidR="00000000" w:rsidRPr="00000000">
        <w:rPr>
          <w:rFonts w:ascii="Calibri" w:cs="Calibri" w:eastAsia="Calibri" w:hAnsi="Calibri"/>
          <w:b w:val="1"/>
          <w:bCs w:val="1"/>
          <w:color w:val="1f3864"/>
          <w:sz w:val="44"/>
          <w:szCs w:val="44"/>
          <w:rtl w:val="0"/>
        </w:rPr>
        <w:t xml:space="preserve">CARIBE SIN VISA</w:t>
      </w:r>
    </w:p>
    <w:p w:rsidR="00000000" w:rsidDel="00000000" w:rsidP="00000000" w:rsidRDefault="00000000" w:rsidRPr="00000000" w14:paraId="00000002">
      <w:pPr>
        <w:tabs>
          <w:tab w:val="left" w:leader="none" w:pos="5430"/>
        </w:tabs>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(Crucero MSC Opera)</w:t>
      </w:r>
    </w:p>
    <w:p w:rsidR="00000000" w:rsidDel="00000000" w:rsidP="00000000" w:rsidRDefault="00000000" w:rsidRPr="00000000" w14:paraId="00000003">
      <w:pPr>
        <w:jc w:val="center"/>
        <w:rPr>
          <w:rFonts w:ascii="Calibri" w:cs="Calibri" w:eastAsia="Calibri" w:hAnsi="Calibri"/>
          <w:b w:val="1"/>
          <w:bCs w:val="1"/>
          <w:color w:val="1f3864"/>
          <w:sz w:val="44"/>
          <w:szCs w:val="44"/>
        </w:rPr>
      </w:pPr>
      <w:r w:rsidDel="00000000" w:rsidR="00000000" w:rsidRPr="00000000">
        <w:rPr>
          <w:rFonts w:ascii="Calibri" w:cs="Calibri" w:eastAsia="Calibri" w:hAnsi="Calibri"/>
          <w:b w:val="1"/>
          <w:bCs w:val="1"/>
          <w:color w:val="1f3864"/>
          <w:sz w:val="44"/>
          <w:szCs w:val="44"/>
          <w:rtl w:val="0"/>
        </w:rPr>
        <w:t xml:space="preserve">7N/8D</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SALIDA PUNTUAL:</w:t>
      </w:r>
      <w:r w:rsidDel="00000000" w:rsidR="00000000" w:rsidRPr="00000000">
        <w:rPr>
          <w:rFonts w:ascii="Calibri" w:cs="Calibri" w:eastAsia="Calibri" w:hAnsi="Calibri"/>
          <w:color w:val="1f3864"/>
          <w:rtl w:val="0"/>
        </w:rPr>
        <w:t xml:space="preserve"> Del 11 al 18 de Enero del 2027.</w:t>
      </w:r>
    </w:p>
    <w:p w:rsidR="00000000" w:rsidDel="00000000" w:rsidP="00000000" w:rsidRDefault="00000000" w:rsidRPr="00000000" w14:paraId="00000006">
      <w:pP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RESERVAS</w:t>
      </w:r>
      <w:r w:rsidDel="00000000" w:rsidR="00000000" w:rsidRPr="00000000">
        <w:rPr>
          <w:rFonts w:ascii="Calibri" w:cs="Calibri" w:eastAsia="Calibri" w:hAnsi="Calibri"/>
          <w:color w:val="1f3864"/>
          <w:rtl w:val="0"/>
        </w:rPr>
        <w:t xml:space="preserve">: Hasta el 25 Junio del 2026.</w:t>
      </w:r>
    </w:p>
    <w:p w:rsidR="00000000" w:rsidDel="00000000" w:rsidP="00000000" w:rsidRDefault="00000000" w:rsidRPr="00000000" w14:paraId="00000007">
      <w:pPr>
        <w:pBdr>
          <w:top w:space="0" w:sz="0" w:val="nil"/>
          <w:left w:space="0" w:sz="0" w:val="nil"/>
          <w:bottom w:color="000000" w:space="0" w:sz="12" w:val="single"/>
          <w:right w:space="0" w:sz="0" w:val="nil"/>
          <w:between w:space="0" w:sz="0" w:val="nil"/>
        </w:pBdr>
        <w:jc w:val="both"/>
        <w:rPr>
          <w:rFonts w:ascii="Calibri" w:cs="Calibri" w:eastAsia="Calibri" w:hAnsi="Calibri"/>
          <w:color w:val="1f3864"/>
          <w:sz w:val="6"/>
          <w:szCs w:val="6"/>
        </w:rPr>
      </w:pPr>
      <w:r w:rsidDel="00000000" w:rsidR="00000000" w:rsidRPr="00000000">
        <w:rPr>
          <w:rtl w:val="0"/>
        </w:rPr>
      </w:r>
    </w:p>
    <w:p w:rsidR="00000000" w:rsidDel="00000000" w:rsidP="00000000" w:rsidRDefault="00000000" w:rsidRPr="00000000" w14:paraId="00000008">
      <w:pPr>
        <w:spacing w:line="276" w:lineRule="auto"/>
        <w:rPr>
          <w:rFonts w:ascii="Quattrocento Sans" w:cs="Quattrocento Sans" w:eastAsia="Quattrocento Sans" w:hAnsi="Quattrocento Sans"/>
          <w:b w:val="1"/>
          <w:bCs w:val="1"/>
          <w:color w:val="538135"/>
          <w:sz w:val="10"/>
          <w:szCs w:val="10"/>
        </w:rPr>
      </w:pPr>
      <w:r w:rsidDel="00000000" w:rsidR="00000000" w:rsidRPr="00000000">
        <w:rPr>
          <w:rtl w:val="0"/>
        </w:rPr>
      </w:r>
    </w:p>
    <w:p w:rsidR="00000000" w:rsidDel="00000000" w:rsidP="00000000" w:rsidRDefault="00000000" w:rsidRPr="00000000" w14:paraId="00000009">
      <w:pPr>
        <w:spacing w:line="276" w:lineRule="auto"/>
        <w:jc w:val="center"/>
        <w:rPr>
          <w:rFonts w:ascii="Calibri" w:cs="Calibri" w:eastAsia="Calibri" w:hAnsi="Calibri"/>
          <w:b w:val="1"/>
          <w:bCs w:val="1"/>
          <w:color w:val="1f3864"/>
          <w:sz w:val="18"/>
          <w:szCs w:val="18"/>
        </w:rPr>
      </w:pPr>
      <w:r w:rsidDel="00000000" w:rsidR="00000000" w:rsidRPr="00000000">
        <w:rPr/>
        <w:drawing>
          <wp:inline distB="0" distT="0" distL="0" distR="0">
            <wp:extent cx="5903707" cy="1288792"/>
            <wp:effectExtent b="0" l="0" r="0" t="0"/>
            <wp:docPr id="2037140051"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5903707" cy="1288792"/>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sz w:val="10"/>
          <w:szCs w:val="1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sz w:val="10"/>
          <w:szCs w:val="10"/>
        </w:rPr>
      </w:pPr>
      <w:r w:rsidDel="00000000" w:rsidR="00000000" w:rsidRPr="00000000">
        <w:rPr>
          <w:rFonts w:ascii="Calibri" w:cs="Calibri" w:eastAsia="Calibri" w:hAnsi="Calibri"/>
          <w:b w:val="1"/>
          <w:bCs w:val="1"/>
          <w:color w:val="1f3864"/>
          <w:rtl w:val="0"/>
        </w:rPr>
        <w:t xml:space="preserve">ITINERARIO</w:t>
        <w:br w:type="textWrapping"/>
      </w:r>
      <w:r w:rsidDel="00000000" w:rsidR="00000000" w:rsidRPr="00000000">
        <w:rPr>
          <w:rtl w:val="0"/>
        </w:rPr>
      </w:r>
    </w:p>
    <w:tbl>
      <w:tblPr>
        <w:tblStyle w:val="Table1"/>
        <w:tblW w:w="8860.0" w:type="dxa"/>
        <w:jc w:val="center"/>
        <w:tblLayout w:type="fixed"/>
        <w:tblLook w:val="0400"/>
      </w:tblPr>
      <w:tblGrid>
        <w:gridCol w:w="1820"/>
        <w:gridCol w:w="3840"/>
        <w:gridCol w:w="1600"/>
        <w:gridCol w:w="1600"/>
        <w:tblGridChange w:id="0">
          <w:tblGrid>
            <w:gridCol w:w="1820"/>
            <w:gridCol w:w="3840"/>
            <w:gridCol w:w="1600"/>
            <w:gridCol w:w="1600"/>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0C">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Día</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0D">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Itinerario</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0E">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Llegada</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0F">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Salida</w:t>
            </w:r>
          </w:p>
        </w:tc>
      </w:tr>
      <w:tr>
        <w:trPr>
          <w:cantSplit w:val="0"/>
          <w:trHeight w:val="285"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10">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11 Ene. '26</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11">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La Romana, República Dominicana</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12">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13">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23:30</w:t>
            </w:r>
          </w:p>
        </w:tc>
      </w:tr>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14">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12 Ene. '26</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15">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Catalina Island, Dominican Republic</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16">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7:00</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17">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17:00</w:t>
            </w:r>
          </w:p>
        </w:tc>
      </w:tr>
      <w:tr>
        <w:trPr>
          <w:cantSplit w:val="0"/>
          <w:trHeight w:val="285"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18">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13 Ene. '26</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19">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Navegación</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1A">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1B">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w:t>
            </w:r>
          </w:p>
        </w:tc>
      </w:tr>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1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14 Ene. '26</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1D">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Bridgetown, Barbados</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1E">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9:00</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1F">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19:00</w:t>
            </w:r>
          </w:p>
        </w:tc>
      </w:tr>
      <w:tr>
        <w:trPr>
          <w:cantSplit w:val="0"/>
          <w:trHeight w:val="285"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20">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15 Ene. '26</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21">
            <w:pPr>
              <w:widowControl w:val="1"/>
              <w:jc w:val="center"/>
              <w:rPr>
                <w:rFonts w:ascii="Calibri" w:cs="Calibri" w:eastAsia="Calibri" w:hAnsi="Calibri"/>
                <w:color w:val="002060"/>
                <w:sz w:val="20"/>
                <w:szCs w:val="20"/>
              </w:rPr>
            </w:pPr>
            <w:hyperlink r:id="rId8">
              <w:r w:rsidDel="00000000" w:rsidR="00000000" w:rsidRPr="00000000">
                <w:rPr>
                  <w:rFonts w:ascii="Calibri" w:cs="Calibri" w:eastAsia="Calibri" w:hAnsi="Calibri"/>
                  <w:color w:val="002060"/>
                  <w:sz w:val="20"/>
                  <w:szCs w:val="20"/>
                  <w:rtl w:val="0"/>
                </w:rPr>
                <w:t xml:space="preserve">Fort de France, Martinica</w:t>
              </w:r>
            </w:hyperlink>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22">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8:00</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23">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19:00</w:t>
            </w:r>
          </w:p>
        </w:tc>
      </w:tr>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4">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16 Ene. '26</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5">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St. John's, Antigua y Barbuda</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6">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8:00</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7">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18:00</w:t>
            </w:r>
          </w:p>
        </w:tc>
      </w:tr>
      <w:tr>
        <w:trPr>
          <w:cantSplit w:val="0"/>
          <w:trHeight w:val="285"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28">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17 Ene. '26</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29">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Virgin Gorda, Virgin Islands</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2A">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8:00</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2B">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15:00</w:t>
            </w:r>
          </w:p>
        </w:tc>
      </w:tr>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18 Ene. '26</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D">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La Romana, República Dominicana</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E">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9:00</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F">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w:t>
            </w:r>
          </w:p>
        </w:tc>
      </w:tr>
    </w:tbl>
    <w:p w:rsidR="00000000" w:rsidDel="00000000" w:rsidP="00000000" w:rsidRDefault="00000000" w:rsidRPr="00000000" w14:paraId="00000030">
      <w:pPr>
        <w:jc w:val="center"/>
        <w:rPr>
          <w:rFonts w:ascii="Calibri" w:cs="Calibri" w:eastAsia="Calibri" w:hAnsi="Calibri"/>
          <w:b w:val="1"/>
          <w:bCs w:val="1"/>
          <w:color w:val="1f386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1929279</wp:posOffset>
            </wp:positionH>
            <wp:positionV relativeFrom="paragraph">
              <wp:posOffset>113030</wp:posOffset>
            </wp:positionV>
            <wp:extent cx="2295525" cy="1526426"/>
            <wp:effectExtent b="0" l="0" r="0" t="0"/>
            <wp:wrapNone/>
            <wp:docPr id="2037140050"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295525" cy="1526426"/>
                    </a:xfrm>
                    <a:prstGeom prst="rect"/>
                    <a:ln/>
                  </pic:spPr>
                </pic:pic>
              </a:graphicData>
            </a:graphic>
          </wp:anchor>
        </w:drawing>
      </w:r>
    </w:p>
    <w:p w:rsidR="00000000" w:rsidDel="00000000" w:rsidP="00000000" w:rsidRDefault="00000000" w:rsidRPr="00000000" w14:paraId="00000031">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 </w:t>
      </w:r>
    </w:p>
    <w:p w:rsidR="00000000" w:rsidDel="00000000" w:rsidP="00000000" w:rsidRDefault="00000000" w:rsidRPr="00000000" w14:paraId="00000032">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3">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4">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5">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6">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7">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8">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9">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A">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TARIFA POR PERSONA EN DÓLARES</w:t>
      </w:r>
    </w:p>
    <w:p w:rsidR="00000000" w:rsidDel="00000000" w:rsidP="00000000" w:rsidRDefault="00000000" w:rsidRPr="00000000" w14:paraId="0000003B">
      <w:pPr>
        <w:jc w:val="center"/>
        <w:rPr>
          <w:rFonts w:ascii="Calibri" w:cs="Calibri" w:eastAsia="Calibri" w:hAnsi="Calibri"/>
          <w:b w:val="1"/>
          <w:bCs w:val="1"/>
          <w:color w:val="1f3864"/>
          <w:sz w:val="18"/>
          <w:szCs w:val="18"/>
        </w:rPr>
      </w:pPr>
      <w:r w:rsidDel="00000000" w:rsidR="00000000" w:rsidRPr="00000000">
        <w:rPr>
          <w:rtl w:val="0"/>
        </w:rPr>
      </w:r>
    </w:p>
    <w:tbl>
      <w:tblPr>
        <w:tblStyle w:val="Table2"/>
        <w:tblW w:w="9792.0" w:type="dxa"/>
        <w:jc w:val="center"/>
        <w:tblLayout w:type="fixed"/>
        <w:tblLook w:val="0400"/>
      </w:tblPr>
      <w:tblGrid>
        <w:gridCol w:w="2266"/>
        <w:gridCol w:w="1714"/>
        <w:gridCol w:w="1843"/>
        <w:gridCol w:w="2126"/>
        <w:gridCol w:w="1843"/>
        <w:tblGridChange w:id="0">
          <w:tblGrid>
            <w:gridCol w:w="2266"/>
            <w:gridCol w:w="1714"/>
            <w:gridCol w:w="1843"/>
            <w:gridCol w:w="2126"/>
            <w:gridCol w:w="1843"/>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3C">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CATEGORÍA</w:t>
            </w:r>
          </w:p>
        </w:tc>
        <w:tc>
          <w:tcPr>
            <w:tcBorders>
              <w:top w:color="000000" w:space="0" w:sz="8" w:val="single"/>
              <w:left w:color="000000" w:space="0" w:sz="0" w:val="nil"/>
              <w:bottom w:color="000000" w:space="0" w:sz="8" w:val="single"/>
              <w:right w:color="000000" w:space="0" w:sz="0" w:val="nil"/>
            </w:tcBorders>
            <w:shd w:fill="203764" w:val="clear"/>
            <w:vAlign w:val="center"/>
          </w:tcPr>
          <w:p w:rsidR="00000000" w:rsidDel="00000000" w:rsidP="00000000" w:rsidRDefault="00000000" w:rsidRPr="00000000" w14:paraId="0000003D">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INTERIOR</w:t>
            </w:r>
          </w:p>
        </w:tc>
        <w:tc>
          <w:tcPr>
            <w:tcBorders>
              <w:top w:color="000000" w:space="0" w:sz="8" w:val="single"/>
              <w:left w:color="000000" w:space="0" w:sz="8" w:val="single"/>
              <w:bottom w:color="000000" w:space="0" w:sz="8" w:val="single"/>
              <w:right w:color="000000" w:space="0" w:sz="0" w:val="nil"/>
            </w:tcBorders>
            <w:shd w:fill="203764" w:val="clear"/>
            <w:vAlign w:val="center"/>
          </w:tcPr>
          <w:p w:rsidR="00000000" w:rsidDel="00000000" w:rsidP="00000000" w:rsidRDefault="00000000" w:rsidRPr="00000000" w14:paraId="0000003E">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VISTA AL MAR </w:t>
            </w:r>
          </w:p>
        </w:tc>
        <w:tc>
          <w:tcPr>
            <w:tcBorders>
              <w:top w:color="000000" w:space="0" w:sz="8" w:val="single"/>
              <w:left w:color="000000" w:space="0" w:sz="8" w:val="single"/>
              <w:bottom w:color="000000" w:space="0" w:sz="8" w:val="single"/>
              <w:right w:color="000000" w:space="0" w:sz="0" w:val="nil"/>
            </w:tcBorders>
            <w:shd w:fill="203764" w:val="clear"/>
            <w:vAlign w:val="center"/>
          </w:tcPr>
          <w:p w:rsidR="00000000" w:rsidDel="00000000" w:rsidP="00000000" w:rsidRDefault="00000000" w:rsidRPr="00000000" w14:paraId="0000003F">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CAMAROTE CON BALCÓN</w:t>
            </w:r>
          </w:p>
        </w:tc>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0">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SUITE</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1">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SALIDAS</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2">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Base Doble</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3">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Base Doble</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4">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Base Doble</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5">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Base Doble</w:t>
            </w:r>
          </w:p>
        </w:tc>
      </w:tr>
      <w:tr>
        <w:trPr>
          <w:cantSplit w:val="0"/>
          <w:trHeight w:val="29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6">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11 de Enero de 2026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7">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839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999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1.499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2.089 USD</w:t>
            </w:r>
          </w:p>
        </w:tc>
      </w:tr>
    </w:tbl>
    <w:p w:rsidR="00000000" w:rsidDel="00000000" w:rsidP="00000000" w:rsidRDefault="00000000" w:rsidRPr="00000000" w14:paraId="0000004B">
      <w:pPr>
        <w:widowControl w:val="1"/>
        <w:spacing w:line="259" w:lineRule="auto"/>
        <w:jc w:val="center"/>
        <w:rPr>
          <w:rFonts w:ascii="Calibri" w:cs="Calibri" w:eastAsia="Calibri" w:hAnsi="Calibri"/>
          <w:i w:val="1"/>
          <w:iCs w:val="1"/>
          <w:color w:val="002060"/>
          <w:u w:val="single"/>
        </w:rPr>
      </w:pPr>
      <w:r w:rsidDel="00000000" w:rsidR="00000000" w:rsidRPr="00000000">
        <w:rPr>
          <w:rFonts w:ascii="Calibri" w:cs="Calibri" w:eastAsia="Calibri" w:hAnsi="Calibri"/>
          <w:i w:val="1"/>
          <w:iCs w:val="1"/>
          <w:color w:val="002060"/>
          <w:u w:val="single"/>
          <w:rtl w:val="0"/>
        </w:rPr>
        <w:t xml:space="preserve">Tarifas dinámicas sujetas a disponibilidad al momento de la reserva.</w:t>
      </w:r>
    </w:p>
    <w:p w:rsidR="00000000" w:rsidDel="00000000" w:rsidP="00000000" w:rsidRDefault="00000000" w:rsidRPr="00000000" w14:paraId="0000004C">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D">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INCLUYE:</w:t>
      </w:r>
    </w:p>
    <w:p w:rsidR="00000000" w:rsidDel="00000000" w:rsidP="00000000" w:rsidRDefault="00000000" w:rsidRPr="00000000" w14:paraId="0000004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Servicio de limpieza.</w:t>
      </w:r>
    </w:p>
    <w:p w:rsidR="00000000" w:rsidDel="00000000" w:rsidP="00000000" w:rsidRDefault="00000000" w:rsidRPr="00000000" w14:paraId="0000004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Pensión completa (</w:t>
      </w:r>
      <w:r w:rsidDel="00000000" w:rsidR="00000000" w:rsidRPr="00000000">
        <w:rPr>
          <w:rFonts w:ascii="Calibri" w:cs="Calibri" w:eastAsia="Calibri" w:hAnsi="Calibri"/>
          <w:color w:val="1f3864"/>
          <w:rtl w:val="0"/>
        </w:rPr>
        <w:t xml:space="preserve">Desayuno, almuerzo, cenas y meriendas con bebidas de dispensador exclusivas en los restaurantes buffet)</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w:t>
      </w:r>
    </w:p>
    <w:p w:rsidR="00000000" w:rsidDel="00000000" w:rsidP="00000000" w:rsidRDefault="00000000" w:rsidRPr="00000000" w14:paraId="0000005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Piscina y gimnasio.</w:t>
      </w:r>
    </w:p>
    <w:p w:rsidR="00000000" w:rsidDel="00000000" w:rsidP="00000000" w:rsidRDefault="00000000" w:rsidRPr="00000000" w14:paraId="0000005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Tasas portuarias.</w:t>
      </w:r>
    </w:p>
    <w:p w:rsidR="00000000" w:rsidDel="00000000" w:rsidP="00000000" w:rsidRDefault="00000000" w:rsidRPr="00000000" w14:paraId="0000005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Cargo por Servicio Hotelero Obligatorio.</w:t>
      </w:r>
    </w:p>
    <w:p w:rsidR="00000000" w:rsidDel="00000000" w:rsidP="00000000" w:rsidRDefault="00000000" w:rsidRPr="00000000" w14:paraId="0000005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Clubs para niños (de 1 a 17 años).</w:t>
      </w:r>
    </w:p>
    <w:p w:rsidR="00000000" w:rsidDel="00000000" w:rsidP="00000000" w:rsidRDefault="00000000" w:rsidRPr="00000000" w14:paraId="0000005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Shows y música en directo.</w:t>
      </w:r>
    </w:p>
    <w:p w:rsidR="00000000" w:rsidDel="00000000" w:rsidP="00000000" w:rsidRDefault="00000000" w:rsidRPr="00000000" w14:paraId="0000005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Tarjeta de asistencia médica. (Cobertura máxima USD 150.000).</w:t>
      </w:r>
    </w:p>
    <w:p w:rsidR="00000000" w:rsidDel="00000000" w:rsidP="00000000" w:rsidRDefault="00000000" w:rsidRPr="00000000" w14:paraId="00000056">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57">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 INCLUYE:</w:t>
      </w:r>
    </w:p>
    <w:p w:rsidR="00000000" w:rsidDel="00000000" w:rsidP="00000000" w:rsidRDefault="00000000" w:rsidRPr="00000000" w14:paraId="0000005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Tiquetes aéreos (Consulta por nuestras tarifas especiales).</w:t>
      </w:r>
    </w:p>
    <w:p w:rsidR="00000000" w:rsidDel="00000000" w:rsidP="00000000" w:rsidRDefault="00000000" w:rsidRPr="00000000" w14:paraId="00000059">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Paquetes de bebidas.</w:t>
      </w:r>
    </w:p>
    <w:p w:rsidR="00000000" w:rsidDel="00000000" w:rsidP="00000000" w:rsidRDefault="00000000" w:rsidRPr="00000000" w14:paraId="0000005A">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Traslados Aeropuerto - Muelle - Aeropuerto. Suplemento </w:t>
      </w:r>
      <w:r w:rsidDel="00000000" w:rsidR="00000000" w:rsidRPr="00000000">
        <w:rPr>
          <w:rFonts w:ascii="Calibri" w:cs="Calibri" w:eastAsia="Calibri" w:hAnsi="Calibri"/>
          <w:i w:val="1"/>
          <w:iCs w:val="1"/>
          <w:color w:val="1f3864"/>
          <w:u w:val="single"/>
          <w:rtl w:val="0"/>
        </w:rPr>
        <w:t xml:space="preserve">199 USD</w:t>
      </w:r>
      <w:r w:rsidDel="00000000" w:rsidR="00000000" w:rsidRPr="00000000">
        <w:rPr>
          <w:rtl w:val="0"/>
        </w:rPr>
      </w:r>
    </w:p>
    <w:p w:rsidR="00000000" w:rsidDel="00000000" w:rsidP="00000000" w:rsidRDefault="00000000" w:rsidRPr="00000000" w14:paraId="0000005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Servicios opcionales como: Gastos personales, llamadas telefónicas, alimentación o bebidas no mencionadas, restaurantes especializados, excursiones, servicios no Confirmados y guía.</w:t>
      </w:r>
    </w:p>
    <w:p w:rsidR="00000000" w:rsidDel="00000000" w:rsidP="00000000" w:rsidRDefault="00000000" w:rsidRPr="00000000" w14:paraId="0000005C">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Impuestos de Muelle Aprox 30 USD P.P (Solo pago en destino).</w:t>
      </w:r>
    </w:p>
    <w:p w:rsidR="00000000" w:rsidDel="00000000" w:rsidP="00000000" w:rsidRDefault="00000000" w:rsidRPr="00000000" w14:paraId="0000005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Cargo adicional de aprox. 4 USD por persona, que deberá pagarse directamente en el destino.</w:t>
      </w:r>
    </w:p>
    <w:p w:rsidR="00000000" w:rsidDel="00000000" w:rsidP="00000000" w:rsidRDefault="00000000" w:rsidRPr="00000000" w14:paraId="0000005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1"/>
          <w:bCs w:val="1"/>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Fee Bancario del 3% para pago con Tarjeta de crédito y demás transacciones bancarias.</w:t>
      </w:r>
      <w:r w:rsidDel="00000000" w:rsidR="00000000" w:rsidRPr="00000000">
        <w:rPr>
          <w:rtl w:val="0"/>
        </w:rPr>
      </w:r>
    </w:p>
    <w:p w:rsidR="00000000" w:rsidDel="00000000" w:rsidP="00000000" w:rsidRDefault="00000000" w:rsidRPr="00000000" w14:paraId="0000005F">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60">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CONDICIONES:</w:t>
      </w:r>
    </w:p>
    <w:p w:rsidR="00000000" w:rsidDel="00000000" w:rsidP="00000000" w:rsidRDefault="00000000" w:rsidRPr="00000000" w14:paraId="0000006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bookmarkStart w:colFirst="0" w:colLast="0" w:name="_heading=h.30j0zll" w:id="0"/>
      <w:bookmarkEnd w:id="0"/>
      <w:r w:rsidDel="00000000" w:rsidR="00000000" w:rsidRPr="00000000">
        <w:rPr>
          <w:rFonts w:ascii="Calibri" w:cs="Calibri" w:eastAsia="Calibri" w:hAnsi="Calibri"/>
          <w:color w:val="1f3864"/>
          <w:rtl w:val="0"/>
        </w:rPr>
        <w:t xml:space="preserve">La tarifa</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por persona en Dólares, se liquida a la TRM negociada. </w:t>
      </w:r>
    </w:p>
    <w:p w:rsidR="00000000" w:rsidDel="00000000" w:rsidP="00000000" w:rsidRDefault="00000000" w:rsidRPr="00000000" w14:paraId="0000006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Sujetos a disponibilidad y cambio sin previo aviso</w:t>
      </w:r>
    </w:p>
    <w:p w:rsidR="00000000" w:rsidDel="00000000" w:rsidP="00000000" w:rsidRDefault="00000000" w:rsidRPr="00000000" w14:paraId="0000006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1"/>
          <w:bCs w:val="1"/>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color w:val="1f3864"/>
          <w:rtl w:val="0"/>
        </w:rPr>
        <w:t xml:space="preserve">Para garantía de reserva se requiere un depósito del 30% del valor del paquete por persona.</w:t>
      </w:r>
      <w:r w:rsidDel="00000000" w:rsidR="00000000" w:rsidRPr="00000000">
        <w:rPr>
          <w:rtl w:val="0"/>
        </w:rPr>
      </w:r>
    </w:p>
    <w:p w:rsidR="00000000" w:rsidDel="00000000" w:rsidP="00000000" w:rsidRDefault="00000000" w:rsidRPr="00000000" w14:paraId="0000006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1"/>
          <w:bCs w:val="1"/>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Al momento de confirmación de reserva, usted acepta el compromiso de pago mensual, garantizando el pago total 95 días previo a la fecha de viaje.</w:t>
      </w:r>
    </w:p>
    <w:p w:rsidR="00000000" w:rsidDel="00000000" w:rsidP="00000000" w:rsidRDefault="00000000" w:rsidRPr="00000000" w14:paraId="0000006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Depósitos no reembolsables. </w:t>
      </w:r>
    </w:p>
    <w:p w:rsidR="00000000" w:rsidDel="00000000" w:rsidP="00000000" w:rsidRDefault="00000000" w:rsidRPr="00000000" w14:paraId="0000006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El orden de los servicios puede ser modificado sin previo aviso. </w:t>
      </w:r>
    </w:p>
    <w:p w:rsidR="00000000" w:rsidDel="00000000" w:rsidP="00000000" w:rsidRDefault="00000000" w:rsidRPr="00000000" w14:paraId="0000006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El Pasajero reconoce que, aunque haya un médico cualificado a bordo, es obligación y responsabilidad del Pasajero buscar asistencia médica si fuera necesario durante el crucero y que será responsable de pagar los servicios médicos de a bordo.</w:t>
      </w:r>
    </w:p>
    <w:p w:rsidR="00000000" w:rsidDel="00000000" w:rsidP="00000000" w:rsidRDefault="00000000" w:rsidRPr="00000000" w14:paraId="0000006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MSC cruceros solicita que todos los pasajeros estén informados de la política de conducta para huéspedes, las puedes </w:t>
      </w: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Consultar aquí: </w:t>
      </w:r>
      <w:hyperlink r:id="rId10">
        <w:r w:rsidDel="00000000" w:rsidR="00000000" w:rsidRPr="00000000">
          <w:rPr>
            <w:rFonts w:ascii="Calibri" w:cs="Calibri" w:eastAsia="Calibri" w:hAnsi="Calibri"/>
            <w:b w:val="0"/>
            <w:bCs w:val="0"/>
            <w:i w:val="0"/>
            <w:iCs w:val="0"/>
            <w:smallCaps w:val="0"/>
            <w:strike w:val="0"/>
            <w:color w:val="0563c1"/>
            <w:sz w:val="22"/>
            <w:szCs w:val="22"/>
            <w:u w:val="none"/>
            <w:shd w:fill="auto" w:val="clear"/>
            <w:vertAlign w:val="baseline"/>
            <w:rtl w:val="0"/>
          </w:rPr>
          <w:t xml:space="preserve">https://www.msccruceros.com.ar/-/media/argentina/documents/poltica-de-conducta-de-los-huspedes-de-msc-cruceros.pdf</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Consulta mas condiciones de la naviera aquí:</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w:t>
      </w:r>
      <w:hyperlink r:id="rId11">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https://www.msccruceros.com/-/media/latam/documents/lta-updated-15-may.pdf</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asistencia médica está sujeta a un suplemento adicional para personas mayores de 70 años. Para conocer los detalles de los beneficios de tu asistencia, contáctanos o revisa la información en tu voucher.</w:t>
      </w:r>
    </w:p>
    <w:p w:rsidR="00000000" w:rsidDel="00000000" w:rsidP="00000000" w:rsidRDefault="00000000" w:rsidRPr="00000000" w14:paraId="0000006B">
      <w:pPr>
        <w:ind w:left="8" w:right="520" w:firstLine="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6C">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6D">
      <w:pPr>
        <w:ind w:left="8" w:right="520" w:firstLine="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6E">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No aplica reembolso para Tiquetes aéreos. Todos los cambios están sujetos a las políticas de los operadores, nos reservamos el derecho de cobrar un cargo de gestión.</w:t>
      </w:r>
    </w:p>
    <w:p w:rsidR="00000000" w:rsidDel="00000000" w:rsidP="00000000" w:rsidRDefault="00000000" w:rsidRPr="00000000" w14:paraId="0000006F">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0">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71">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2">
      <w:pPr>
        <w:widowControl w:val="1"/>
        <w:spacing w:line="259" w:lineRule="auto"/>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RECOMENDACIONES:</w:t>
      </w:r>
    </w:p>
    <w:p w:rsidR="00000000" w:rsidDel="00000000" w:rsidP="00000000" w:rsidRDefault="00000000" w:rsidRPr="00000000" w14:paraId="0000007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Es recomendable llevar ropa ligera y fresca, protección solar, repelente de insectos y un botiquín básico.</w:t>
      </w:r>
    </w:p>
    <w:p w:rsidR="00000000" w:rsidDel="00000000" w:rsidP="00000000" w:rsidRDefault="00000000" w:rsidRPr="00000000" w14:paraId="0000007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Asegúrate de llevar tu pasaporte con suficiente validez, los boletos de entrada y salida del país, y cualquier otro documento requerido por la línea de cruceros.</w:t>
      </w:r>
    </w:p>
    <w:p w:rsidR="00000000" w:rsidDel="00000000" w:rsidP="00000000" w:rsidRDefault="00000000" w:rsidRPr="00000000" w14:paraId="0000007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Lleva efectivo en pesos dominicanos para compras pequeñas en tierra, pero también puedes usar tarjetas de crédito en la mayoría de los lugares turísticos. </w:t>
      </w:r>
    </w:p>
    <w:p w:rsidR="00000000" w:rsidDel="00000000" w:rsidP="00000000" w:rsidRDefault="00000000" w:rsidRPr="00000000" w14:paraId="0000007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Es recomendable contratar un seguro de viaje que cubra posibles emergencias médicas o cancelaciones de viaje. </w:t>
      </w:r>
    </w:p>
    <w:p w:rsidR="00000000" w:rsidDel="00000000" w:rsidP="00000000" w:rsidRDefault="00000000" w:rsidRPr="00000000" w14:paraId="00000077">
      <w:pPr>
        <w:widowControl w:val="1"/>
        <w:spacing w:line="259" w:lineRule="auto"/>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8">
      <w:pPr>
        <w:widowControl w:val="1"/>
        <w:spacing w:line="259" w:lineRule="auto"/>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REQUISITOS:</w:t>
      </w:r>
    </w:p>
    <w:p w:rsidR="00000000" w:rsidDel="00000000" w:rsidP="00000000" w:rsidRDefault="00000000" w:rsidRPr="00000000" w14:paraId="0000007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Pasaporte con vigencia de mínimo 6 meses a partir de la fecha de viaje.</w:t>
      </w:r>
    </w:p>
    <w:p w:rsidR="00000000" w:rsidDel="00000000" w:rsidP="00000000" w:rsidRDefault="00000000" w:rsidRPr="00000000" w14:paraId="0000007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Tiquete aéreo ida y regreso.</w:t>
      </w:r>
    </w:p>
    <w:p w:rsidR="00000000" w:rsidDel="00000000" w:rsidP="00000000" w:rsidRDefault="00000000" w:rsidRPr="00000000" w14:paraId="0000007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Voucher de alojamiento y demostrar solvencia económica.</w:t>
      </w:r>
    </w:p>
    <w:p w:rsidR="00000000" w:rsidDel="00000000" w:rsidP="00000000" w:rsidRDefault="00000000" w:rsidRPr="00000000" w14:paraId="0000007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Autorización de viaje ETIAS</w:t>
      </w:r>
    </w:p>
    <w:p w:rsidR="00000000" w:rsidDel="00000000" w:rsidP="00000000" w:rsidRDefault="00000000" w:rsidRPr="00000000" w14:paraId="0000007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Se recomienda tener un seguro médico</w:t>
      </w:r>
    </w:p>
    <w:p w:rsidR="00000000" w:rsidDel="00000000" w:rsidP="00000000" w:rsidRDefault="00000000" w:rsidRPr="00000000" w14:paraId="0000007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información debe ser confirmada permanentemente, debido a que las embajadas y consulados se reservan el derecho de modificar sin previo aviso la documentación y requisitos establecidos. </w:t>
      </w:r>
      <w:hyperlink r:id="rId12">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https://apply.joinsherpa.com/travel-restrictions/DOM?affiliateId=sherpa&amp;language=es-XL&amp;originCountry=COL&amp;nationality=COL</w:t>
        </w:r>
      </w:hyperlink>
      <w:r w:rsidDel="00000000" w:rsidR="00000000" w:rsidRPr="00000000">
        <w:rPr>
          <w:rtl w:val="0"/>
        </w:rPr>
      </w:r>
    </w:p>
    <w:p w:rsidR="00000000" w:rsidDel="00000000" w:rsidP="00000000" w:rsidRDefault="00000000" w:rsidRPr="00000000" w14:paraId="0000007F">
      <w:pPr>
        <w:widowControl w:val="1"/>
        <w:spacing w:after="160" w:line="259" w:lineRule="auto"/>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80">
      <w:pPr>
        <w:widowControl w:val="1"/>
        <w:spacing w:after="160" w:line="259" w:lineRule="auto"/>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CLÁUSULA DE RESPONSABILIDAD: </w:t>
      </w:r>
      <w:hyperlink r:id="rId13">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81">
      <w:pPr>
        <w:widowControl w:val="1"/>
        <w:spacing w:after="160" w:line="259" w:lineRule="auto"/>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 </w:t>
      </w:r>
    </w:p>
    <w:sectPr>
      <w:headerReference r:id="rId14" w:type="default"/>
      <w:headerReference r:id="rId15" w:type="first"/>
      <w:headerReference r:id="rId16" w:type="even"/>
      <w:footerReference r:id="rId17" w:type="default"/>
      <w:footerReference r:id="rId18" w:type="first"/>
      <w:footerReference r:id="rId19" w:type="even"/>
      <w:pgSz w:h="15840" w:w="12240" w:orient="portrait"/>
      <w:pgMar w:bottom="720" w:top="720" w:left="1418" w:right="1325" w:header="1134" w:footer="17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-936231</wp:posOffset>
          </wp:positionH>
          <wp:positionV relativeFrom="paragraph">
            <wp:posOffset>137795</wp:posOffset>
          </wp:positionV>
          <wp:extent cx="7809865" cy="1102954"/>
          <wp:effectExtent b="0" l="0" r="0" t="0"/>
          <wp:wrapNone/>
          <wp:docPr id="203714005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65" cy="1102954"/>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-1036954</wp:posOffset>
          </wp:positionH>
          <wp:positionV relativeFrom="paragraph">
            <wp:posOffset>-564514</wp:posOffset>
          </wp:positionV>
          <wp:extent cx="2197100" cy="1367790"/>
          <wp:effectExtent b="0" l="0" r="0" t="0"/>
          <wp:wrapNone/>
          <wp:docPr id="2037140052" name="image3.png"/>
          <a:graphic>
            <a:graphicData uri="http://schemas.openxmlformats.org/drawingml/2006/picture">
              <pic:pic>
                <pic:nvPicPr>
                  <pic:cNvPr id="0" name="image3.png"/>
                  <pic:cNvPicPr preferRelativeResize="0"/>
                </pic:nvPicPr>
                <pic:blipFill>
                  <a:blip r:embed="rId1"/>
                  <a:srcRect b="0" l="0" r="-30" t="7315"/>
                  <a:stretch>
                    <a:fillRect/>
                  </a:stretch>
                </pic:blipFill>
                <pic:spPr>
                  <a:xfrm>
                    <a:off x="0" y="0"/>
                    <a:ext cx="2197100" cy="136779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-500379</wp:posOffset>
          </wp:positionH>
          <wp:positionV relativeFrom="paragraph">
            <wp:posOffset>2813685</wp:posOffset>
          </wp:positionV>
          <wp:extent cx="406400" cy="2622550"/>
          <wp:effectExtent b="0" l="0" r="0" t="0"/>
          <wp:wrapNone/>
          <wp:docPr id="2037140048"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406400" cy="26225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-1038224</wp:posOffset>
          </wp:positionH>
          <wp:positionV relativeFrom="paragraph">
            <wp:posOffset>-720089</wp:posOffset>
          </wp:positionV>
          <wp:extent cx="8016875" cy="955040"/>
          <wp:effectExtent b="0" l="0" r="0" t="0"/>
          <wp:wrapNone/>
          <wp:docPr id="2037140049"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bCs w:val="1"/>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table" w:styleId="4" w:customStyle="1">
    <w:name w:val="4"/>
    <w:basedOn w:val="TableNormal2"/>
    <w:tblPr>
      <w:tblStyleRowBandSize w:val="1"/>
      <w:tblStyleColBandSize w:val="1"/>
    </w:tblPr>
  </w:style>
  <w:style w:type="table" w:styleId="3" w:customStyle="1">
    <w:name w:val="3"/>
    <w:basedOn w:val="TableNormal2"/>
    <w:tblPr>
      <w:tblStyleRowBandSize w:val="1"/>
      <w:tblStyleColBandSize w:val="1"/>
    </w:tblPr>
  </w:style>
  <w:style w:type="table" w:styleId="2" w:customStyle="1">
    <w:name w:val="2"/>
    <w:basedOn w:val="TableNormal2"/>
    <w:tblPr>
      <w:tblStyleRowBandSize w:val="1"/>
      <w:tblStyleColBandSize w:val="1"/>
    </w:tblPr>
  </w:style>
  <w:style w:type="table" w:styleId="1" w:customStyle="1">
    <w:name w:val="1"/>
    <w:basedOn w:val="TableNormal2"/>
    <w:tblPr>
      <w:tblStyleRowBandSize w:val="1"/>
      <w:tblStyleColBandSize w:val="1"/>
    </w:tblPr>
  </w:style>
  <w:style w:type="character" w:styleId="Mencinsinresolver">
    <w:name w:val="Unresolved Mention"/>
    <w:basedOn w:val="Fuentedeprrafopredeter"/>
    <w:uiPriority w:val="99"/>
    <w:semiHidden w:val="1"/>
    <w:unhideWhenUsed w:val="1"/>
    <w:rsid w:val="006F5834"/>
    <w:rPr>
      <w:color w:val="605e5c"/>
      <w:shd w:color="auto" w:fill="e1dfdd" w:val="clear"/>
    </w:rPr>
  </w:style>
  <w:style w:type="paragraph" w:styleId="NormalWeb">
    <w:name w:val="Normal (Web)"/>
    <w:basedOn w:val="Normal"/>
    <w:uiPriority w:val="99"/>
    <w:unhideWhenUsed w:val="1"/>
    <w:rsid w:val="0001647A"/>
    <w:pPr>
      <w:widowControl w:val="1"/>
      <w:autoSpaceDE w:val="1"/>
      <w:autoSpaceDN w:val="1"/>
      <w:spacing w:after="100" w:afterAutospacing="1" w:before="100" w:beforeAutospacing="1"/>
    </w:pPr>
    <w:rPr>
      <w:rFonts w:ascii="Times New Roman" w:cs="Times New Roman" w:eastAsia="Times New Roman" w:hAnsi="Times New Roman"/>
      <w:sz w:val="24"/>
      <w:szCs w:val="24"/>
      <w:lang w:val="es-CO"/>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msccruceros.com/-/media/latam/documents/lta-updated-15-may.pdf" TargetMode="External"/><Relationship Id="rId10" Type="http://schemas.openxmlformats.org/officeDocument/2006/relationships/hyperlink" Target="https://www.msccruceros.com.ar/-/media/argentina/documents/poltica-de-conducta-de-los-huspedes-de-msc-cruceros.pdf" TargetMode="External"/><Relationship Id="rId13" Type="http://schemas.openxmlformats.org/officeDocument/2006/relationships/hyperlink" Target="https://www.tropitours.co/es/clausula-de-responsabilidad" TargetMode="External"/><Relationship Id="rId12" Type="http://schemas.openxmlformats.org/officeDocument/2006/relationships/hyperlink" Target="https://apply.joinsherpa.com/travel-restrictions/DOM?affiliateId=sherpa&amp;language=es-XL&amp;originCountry=COL&amp;nationality=CO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eader" Target="header3.xml"/><Relationship Id="rId14" Type="http://schemas.openxmlformats.org/officeDocument/2006/relationships/header" Target="header2.xml"/><Relationship Id="rId17" Type="http://schemas.openxmlformats.org/officeDocument/2006/relationships/footer" Target="foot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image" Target="media/image5.jpg"/><Relationship Id="rId8" Type="http://schemas.openxmlformats.org/officeDocument/2006/relationships/hyperlink" Target="https://www.msccruceros.com/api/sitecore/destination/ports?code=FDF&amp;lang=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6.png"/><Relationship Id="rId3"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KLsSIk6sDhIvJagzhsuLrYV50A==">CgMxLjAyCWguMzBqMHpsbDgAciExNUpuNXVFZ0Yzdk5nU1VWV0Y0VjRmeG5FUXpXWi1BWDg=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2024-08-22T18:54:00Z</dcterms:created>
  <dc:creator>Eliana Gomez</dc:creator>
</cp:coreProperties>
</file>