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ff0000"/>
          <w:sz w:val="42"/>
          <w:szCs w:val="42"/>
        </w:rPr>
      </w:pPr>
      <w:r w:rsidDel="00000000" w:rsidR="00000000" w:rsidRPr="00000000">
        <w:rPr>
          <w:b w:val="1"/>
          <w:bCs w:val="1"/>
          <w:color w:val="002060"/>
          <w:sz w:val="48"/>
          <w:szCs w:val="48"/>
          <w:rtl w:val="0"/>
        </w:rPr>
        <w:t xml:space="preserve">BUENOS AIRES Y CATARATAS DE IGUAZÚ </w:t>
      </w:r>
      <w:r w:rsidDel="00000000" w:rsidR="00000000" w:rsidRPr="00000000">
        <w:rPr>
          <w:rtl w:val="0"/>
        </w:rPr>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5N/6D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w:t>
      </w:r>
    </w:p>
    <w:p w:rsidR="00000000" w:rsidDel="00000000" w:rsidP="00000000" w:rsidRDefault="00000000" w:rsidRPr="00000000" w14:paraId="00000004">
      <w:pPr>
        <w:pBdr>
          <w:bottom w:color="000000" w:space="1" w:sz="6" w:val="single"/>
        </w:pBdr>
        <w:rPr>
          <w:color w:val="1f3864"/>
        </w:rPr>
      </w:pPr>
      <w:bookmarkStart w:colFirst="0" w:colLast="0" w:name="_heading=h.30j0zll" w:id="0"/>
      <w:bookmarkEnd w:id="0"/>
      <w:r w:rsidDel="00000000" w:rsidR="00000000" w:rsidRPr="00000000">
        <w:rPr>
          <w:b w:val="1"/>
          <w:bCs w:val="1"/>
          <w:color w:val="1f3864"/>
          <w:rtl w:val="0"/>
        </w:rPr>
        <w:t xml:space="preserve">VIGENCIA DE VIAJE: </w:t>
      </w:r>
      <w:r w:rsidDel="00000000" w:rsidR="00000000" w:rsidRPr="00000000">
        <w:rPr>
          <w:color w:val="1f3864"/>
          <w:rtl w:val="0"/>
        </w:rPr>
        <w:t xml:space="preserve">Hasta el 28 de Febrero del 2027.</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613400" cy="1225550"/>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7">
      <w:pPr>
        <w:spacing w:after="0" w:line="240" w:lineRule="auto"/>
        <w:jc w:val="both"/>
        <w:rPr>
          <w:b w:val="1"/>
          <w:bCs w:val="1"/>
          <w:color w:val="002060"/>
        </w:rPr>
      </w:pPr>
      <w:r w:rsidDel="00000000" w:rsidR="00000000" w:rsidRPr="00000000">
        <w:rPr>
          <w:b w:val="1"/>
          <w:bCs w:val="1"/>
          <w:color w:val="002060"/>
          <w:rtl w:val="0"/>
        </w:rPr>
        <w:t xml:space="preserve">DIA 1 - BUENOS AIRES</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Llegada al Aeropuerto Internacional de Ezeiza, recibimiento y traslado privado al hotel seleccionado.</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DIA 2 - BUENOS AIRES</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En las horas de la mañana, salida para conocer la ciudad en nuestro exclusivo City tour Premium. La excursión comienza con algunos símbolos de la ciudad, la Floralis Genérica, la elegante zona de las embajadas y el monumento a Evita. Luego, en la Plaza Francia se visitará la fachada del Centro Cultural Recoleta, la iglesia Del Pilar y la fachada del Cementerio de la Recoleta. El recorrido continúa hacia la Av. 9 de Julio donde se encuentra el Teatro Colón y el Obelisco. Al llegar a Plaza de Mayo, se brindará tiempo libre para ver por fuera la Casa Rosada, el Cabildo y la posibilidad de ingresar a la Catedral Metropolitana. El recorrido continúa por San Telmo. Luego, se continúa hacia la Boca, con un breve descenso y la posibilidad de pasear por la famosa calle "Caminito". Al finalizar el tour tiene la opción de que los dejen en Puerto Madero o en el hotel. Tarde libre.</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DIA 3 - BUENOS AIRES</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Día libre para tours opcionales. Por la noche nos espera una inolvidable cena con un espectáculo de tango de primer nivel en una de las renombradas tanguerías de la ciudad, acompañado de la mejor carne y vinos argentinos.</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DIA 4 - BUENOS AIRES - PUERTO IGUAZÚ</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Traslado privado al aeropuerto Jorge Newbery para su vuelo a Puerto Iguazú. Nota: el vuelo debe arribar a Iguazú antes de las 11 am. Recepción en el aeropuerto de Iguazú y traslado regular a hotel. Por la tarde, salida hacia Brasil para visitar las cataratas del lado brasileño. El paseo consiste en una caminata de 1 Km durante la cual es posible apreciar el mayor conjunto de cataratas del mundo. *Duración: 2:30 Hs.</w:t>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DIA 5 - PUERTO IGUAZÚ</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Tour de día completo al Parque Nacional Iguazú del lado argentino. Iniciamos el recorrido en el centro de interpretación partiendo hacia el circuito inferior desde donde podremos observar, entre otros, los saltos ‘Dos Hermanas’ y ‘Bosetti. Posteriormente, realizamos el paseo superior desplazándose por pasarelas hasta llegar al majestuoso salto San Martín. Como broche de oro, subimos al Eco-tren de la Selva hasta la estación Garganta del Diablo con destino al famoso salto homónimo. Nota: El orden de los circuitos puede variar; el circuito inferior posee escaleras por lo que puede no ser apto para personas con movilidad reducida.</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DIA 6 - PUERTO IGUAZÚ</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En el horario acordado traslado en servicio regular al aeropuerto de Puerto Iguazú. </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1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jc w:val="center"/>
        <w:rPr>
          <w:color w:val="002060"/>
        </w:rPr>
      </w:pPr>
      <w:r w:rsidDel="00000000" w:rsidR="00000000" w:rsidRPr="00000000">
        <w:rPr>
          <w:b w:val="1"/>
          <w:bCs w:val="1"/>
          <w:color w:val="002060"/>
          <w:rtl w:val="0"/>
        </w:rPr>
        <w:t xml:space="preserve">TARIFA EN DÓLARES POR PERSONA DESDE</w:t>
      </w: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rtl w:val="0"/>
        </w:rPr>
      </w:r>
    </w:p>
    <w:tbl>
      <w:tblPr>
        <w:tblStyle w:val="Table1"/>
        <w:tblW w:w="8580.0" w:type="dxa"/>
        <w:jc w:val="center"/>
        <w:tblLayout w:type="fixed"/>
        <w:tblLook w:val="0400"/>
      </w:tblPr>
      <w:tblGrid>
        <w:gridCol w:w="2000"/>
        <w:gridCol w:w="2980"/>
        <w:gridCol w:w="1200"/>
        <w:gridCol w:w="1200"/>
        <w:gridCol w:w="1200"/>
        <w:tblGridChange w:id="0">
          <w:tblGrid>
            <w:gridCol w:w="2000"/>
            <w:gridCol w:w="2980"/>
            <w:gridCol w:w="1200"/>
            <w:gridCol w:w="1200"/>
            <w:gridCol w:w="120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1D">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E">
            <w:pPr>
              <w:spacing w:after="0" w:line="240" w:lineRule="auto"/>
              <w:jc w:val="center"/>
              <w:rPr>
                <w:b w:val="1"/>
                <w:bCs w:val="1"/>
                <w:color w:val="ffffff"/>
              </w:rPr>
            </w:pPr>
            <w:r w:rsidDel="00000000" w:rsidR="00000000" w:rsidRPr="00000000">
              <w:rPr>
                <w:b w:val="1"/>
                <w:bCs w:val="1"/>
                <w:color w:val="ffffff"/>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F">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2">
            <w:pPr>
              <w:spacing w:after="0" w:line="240" w:lineRule="auto"/>
              <w:jc w:val="center"/>
              <w:rPr>
                <w:b w:val="1"/>
                <w:bCs w:val="1"/>
                <w:color w:val="002060"/>
              </w:rPr>
            </w:pPr>
            <w:r w:rsidDel="00000000" w:rsidR="00000000" w:rsidRPr="00000000">
              <w:rPr>
                <w:b w:val="1"/>
                <w:bCs w:val="1"/>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3">
            <w:pPr>
              <w:spacing w:after="0" w:line="240" w:lineRule="auto"/>
              <w:jc w:val="center"/>
              <w:rPr>
                <w:color w:val="002060"/>
              </w:rPr>
            </w:pPr>
            <w:r w:rsidDel="00000000" w:rsidR="00000000" w:rsidRPr="00000000">
              <w:rPr>
                <w:color w:val="002060"/>
                <w:rtl w:val="0"/>
              </w:rPr>
              <w:t xml:space="preserve">01/05/2026 al 31/05/2026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4">
            <w:pPr>
              <w:spacing w:after="0" w:line="240" w:lineRule="auto"/>
              <w:jc w:val="center"/>
              <w:rPr>
                <w:b w:val="1"/>
                <w:bCs w:val="1"/>
                <w:color w:val="002060"/>
              </w:rPr>
            </w:pPr>
            <w:r w:rsidDel="00000000" w:rsidR="00000000" w:rsidRPr="00000000">
              <w:rPr>
                <w:b w:val="1"/>
                <w:bCs w:val="1"/>
                <w:color w:val="002060"/>
                <w:rtl w:val="0"/>
              </w:rPr>
              <w:t xml:space="preserve">479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519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815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01/06/2026 al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485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529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825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01/07/2026 al 31/07/2026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515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559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885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01/08/2026 al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495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545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855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01/09/2026 al 30/09/2026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505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549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865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01/10/2026 al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545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595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939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01/12/2026 al 31/12/2026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519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565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885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01/01/2027 al 28/02/2027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525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575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895 USD</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b w:val="1"/>
                <w:bCs w:val="1"/>
                <w:color w:val="002060"/>
              </w:rPr>
            </w:pPr>
            <w:r w:rsidDel="00000000" w:rsidR="00000000" w:rsidRPr="00000000">
              <w:rPr>
                <w:b w:val="1"/>
                <w:bCs w:val="1"/>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01/05/2026 al 31/05/2026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655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659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1.089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01/06/2026 al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659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665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1.105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01/09/2026 al 30/09/2026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665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675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1.109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01/10/2026 al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749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795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1.339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01/12/2026 al 31/12/2026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719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749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1.249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01/01/2027 al 28/02/2027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729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755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1.259 USD</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b w:val="1"/>
                <w:bCs w:val="1"/>
                <w:color w:val="002060"/>
              </w:rPr>
            </w:pPr>
            <w:r w:rsidDel="00000000" w:rsidR="00000000" w:rsidRPr="00000000">
              <w:rPr>
                <w:b w:val="1"/>
                <w:bCs w:val="1"/>
                <w:color w:val="002060"/>
                <w:rtl w:val="0"/>
              </w:rPr>
              <w:t xml:space="preserve">CAT 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01/05/2026 al 31/05/2026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875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1.709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01/06/2026 al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875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1.719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01/07/2026 al 31/08/2026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1.019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1.809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01/09/2026 al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1.025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1.815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01/10/2026 al 30/11/2026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1.115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1.979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01/12/2026 al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1.045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1.839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01/01/2027 al 28/02/2027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935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1.055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2060"/>
              </w:rPr>
            </w:pPr>
            <w:r w:rsidDel="00000000" w:rsidR="00000000" w:rsidRPr="00000000">
              <w:rPr>
                <w:color w:val="002060"/>
                <w:rtl w:val="0"/>
              </w:rPr>
              <w:t xml:space="preserve">1.849 USD</w:t>
            </w:r>
          </w:p>
        </w:tc>
      </w:tr>
    </w:tbl>
    <w:p w:rsidR="00000000" w:rsidDel="00000000" w:rsidP="00000000" w:rsidRDefault="00000000" w:rsidRPr="00000000" w14:paraId="0000008B">
      <w:pPr>
        <w:jc w:val="center"/>
        <w:rPr>
          <w:b w:val="1"/>
          <w:bCs w:val="1"/>
          <w:i w:val="1"/>
          <w:iCs w:val="1"/>
          <w:color w:val="002060"/>
          <w:u w:val="single"/>
        </w:rPr>
      </w:pPr>
      <w:r w:rsidDel="00000000" w:rsidR="00000000" w:rsidRPr="00000000">
        <w:rPr>
          <w:b w:val="1"/>
          <w:bCs w:val="1"/>
          <w:i w:val="1"/>
          <w:iCs w:val="1"/>
          <w:color w:val="ee0000"/>
          <w:u w:val="single"/>
          <w:rtl w:val="0"/>
        </w:rPr>
        <w:t xml:space="preserve">(NO APLICA A FECHAS ESPECIALES: CARNAVAL, FIESTA DEL LAGO EN CALAFATE, SEMANA SANTA, NAVIDAD, Y AÑO NUEVO, ETC)</w:t>
      </w: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Traslado privado del Aeropuerto Internacional de Ezeiza al hotel seleccionado.</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03 noches de alojamiento en Buenos Aires en el hotel seleccionado, con desayuno.</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City tour Premium de medio día, en servicio regular.</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Cena con Espectáculo de Tango. Incluye 1/2 botella de vino por persona y traslado regular.</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Traslado privado del hotel seleccionado al Aeropuerto Metropolitana Jorge Newbery.</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Traslado del Aeropuerto de Iguazú al hotel seleccionado, en servicio regular.</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02 noches de alojamiento en Iguazú en el hotel seleccionado, con desayuno.</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Visita de medio día a las Cataratas del Iguazú del lado brasileño, en servicio regular.</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Excursión de día completo a las Cataratas del Iguazú del lado Argentino, en servicio regular.</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Traslado del hotel seleccionado al Aeropuerto de Iguazú, en servicio regular.</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after="0" w:line="240" w:lineRule="auto"/>
        <w:ind w:left="728"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9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99">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Pasajes aéreos.</w:t>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Early check in/late check out.</w:t>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Gastos personales y otros no mencionados en el itinerario.</w:t>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Tasa Visit Buenos Aires, a pagar en el hotel.</w:t>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Ticket de ingreso al Parque nacional Iguazú y Foz de Iguazú.</w:t>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Eco Tasa Iguazú, a pagar en el hotel.</w:t>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Tasa Visit Misiones, a pagar en el hotel.</w:t>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Fee Bancario</w:t>
      </w:r>
    </w:p>
    <w:p w:rsidR="00000000" w:rsidDel="00000000" w:rsidP="00000000" w:rsidRDefault="00000000" w:rsidRPr="00000000" w14:paraId="000000A2">
      <w:pPr>
        <w:spacing w:after="0" w:line="240" w:lineRule="auto"/>
        <w:jc w:val="center"/>
        <w:rPr>
          <w:b w:val="1"/>
          <w:bCs w:val="1"/>
          <w:color w:val="002060"/>
        </w:rPr>
      </w:pPr>
      <w:r w:rsidDel="00000000" w:rsidR="00000000" w:rsidRPr="00000000">
        <w:rPr>
          <w:b w:val="1"/>
          <w:bCs w:val="1"/>
          <w:color w:val="002060"/>
          <w:rtl w:val="0"/>
        </w:rPr>
        <w:t xml:space="preserve">HOTELES PREVISTOS O SIMILARES  </w:t>
      </w:r>
    </w:p>
    <w:p w:rsidR="00000000" w:rsidDel="00000000" w:rsidP="00000000" w:rsidRDefault="00000000" w:rsidRPr="00000000" w14:paraId="000000A3">
      <w:pPr>
        <w:spacing w:after="0" w:line="240" w:lineRule="auto"/>
        <w:jc w:val="center"/>
        <w:rPr>
          <w:b w:val="1"/>
          <w:bCs w:val="1"/>
          <w:color w:val="002060"/>
        </w:rPr>
      </w:pPr>
      <w:r w:rsidDel="00000000" w:rsidR="00000000" w:rsidRPr="00000000">
        <w:rPr>
          <w:rtl w:val="0"/>
        </w:rPr>
      </w:r>
    </w:p>
    <w:tbl>
      <w:tblPr>
        <w:tblStyle w:val="Table2"/>
        <w:tblW w:w="7928.0" w:type="dxa"/>
        <w:jc w:val="center"/>
        <w:tblLayout w:type="fixed"/>
        <w:tblLook w:val="0400"/>
      </w:tblPr>
      <w:tblGrid>
        <w:gridCol w:w="1363"/>
        <w:gridCol w:w="4723"/>
        <w:gridCol w:w="1842"/>
        <w:tblGridChange w:id="0">
          <w:tblGrid>
            <w:gridCol w:w="1363"/>
            <w:gridCol w:w="4723"/>
            <w:gridCol w:w="1842"/>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A4">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A5">
            <w:pPr>
              <w:spacing w:after="0" w:line="240" w:lineRule="auto"/>
              <w:jc w:val="center"/>
              <w:rPr>
                <w:b w:val="1"/>
                <w:bCs w:val="1"/>
                <w:color w:val="ffffff"/>
              </w:rPr>
            </w:pPr>
            <w:r w:rsidDel="00000000" w:rsidR="00000000" w:rsidRPr="00000000">
              <w:rPr>
                <w:b w:val="1"/>
                <w:bCs w:val="1"/>
                <w:color w:val="ffffff"/>
                <w:rtl w:val="0"/>
              </w:rPr>
              <w:t xml:space="preserve">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A6">
            <w:pPr>
              <w:spacing w:after="0" w:line="240" w:lineRule="auto"/>
              <w:jc w:val="center"/>
              <w:rPr>
                <w:b w:val="1"/>
                <w:bCs w:val="1"/>
                <w:color w:val="ffffff"/>
              </w:rPr>
            </w:pPr>
            <w:r w:rsidDel="00000000" w:rsidR="00000000" w:rsidRPr="00000000">
              <w:rPr>
                <w:b w:val="1"/>
                <w:bCs w:val="1"/>
                <w:color w:val="ffffff"/>
                <w:rtl w:val="0"/>
              </w:rPr>
              <w:t xml:space="preserve">CATEGORÍA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7">
            <w:pPr>
              <w:spacing w:after="0" w:line="240" w:lineRule="auto"/>
              <w:jc w:val="center"/>
              <w:rPr>
                <w:b w:val="1"/>
                <w:bCs w:val="1"/>
                <w:color w:val="002060"/>
              </w:rPr>
            </w:pPr>
            <w:r w:rsidDel="00000000" w:rsidR="00000000" w:rsidRPr="00000000">
              <w:rPr>
                <w:b w:val="1"/>
                <w:bCs w:val="1"/>
                <w:color w:val="002060"/>
                <w:rtl w:val="0"/>
              </w:rPr>
              <w:t xml:space="preserve">Turista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Rochester Concept/ Hotel Jardin de Iguazú</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9">
            <w:pPr>
              <w:spacing w:after="0" w:line="240" w:lineRule="auto"/>
              <w:jc w:val="center"/>
              <w:rPr>
                <w:rFonts w:ascii="Fira Mono" w:cs="Fira Mono" w:eastAsia="Fira Mono" w:hAnsi="Fira Mono"/>
                <w:color w:val="ffd965"/>
                <w:sz w:val="20"/>
                <w:szCs w:val="20"/>
              </w:rPr>
            </w:pPr>
            <w:sdt>
              <w:sdtPr>
                <w:id w:val="919161737"/>
                <w:tag w:val="goog_rdk_0"/>
              </w:sdtPr>
              <w:sdtContent>
                <w:r w:rsidDel="00000000" w:rsidR="00000000" w:rsidRPr="00000000">
                  <w:rPr>
                    <w:rFonts w:ascii="Fira Mono" w:cs="Fira Mono" w:eastAsia="Fira Mono" w:hAnsi="Fira Mono"/>
                    <w:sz w:val="20"/>
                    <w:szCs w:val="20"/>
                    <w:rtl w:val="0"/>
                  </w:rPr>
                  <w:t xml:space="preserve">⭐⭐⭐</w:t>
                </w:r>
              </w:sdtContent>
            </w:sdt>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b w:val="1"/>
                <w:bCs w:val="1"/>
                <w:color w:val="002060"/>
              </w:rPr>
            </w:pPr>
            <w:r w:rsidDel="00000000" w:rsidR="00000000" w:rsidRPr="00000000">
              <w:rPr>
                <w:b w:val="1"/>
                <w:bCs w:val="1"/>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Pulitzer Buenos Aires Hotel/ Mercure Iguazú</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spacing w:after="0" w:line="240" w:lineRule="auto"/>
              <w:jc w:val="center"/>
              <w:rPr>
                <w:rFonts w:ascii="Fira Mono" w:cs="Fira Mono" w:eastAsia="Fira Mono" w:hAnsi="Fira Mono"/>
                <w:color w:val="ffd965"/>
                <w:sz w:val="20"/>
                <w:szCs w:val="20"/>
              </w:rPr>
            </w:pPr>
            <w:sdt>
              <w:sdtPr>
                <w:id w:val="1664605925"/>
                <w:tag w:val="goog_rdk_1"/>
              </w:sdtPr>
              <w:sdtContent>
                <w:r w:rsidDel="00000000" w:rsidR="00000000" w:rsidRPr="00000000">
                  <w:rPr>
                    <w:rFonts w:ascii="Fira Mono" w:cs="Fira Mono" w:eastAsia="Fira Mono" w:hAnsi="Fira Mono"/>
                    <w:sz w:val="20"/>
                    <w:szCs w:val="20"/>
                    <w:rtl w:val="0"/>
                  </w:rPr>
                  <w:t xml:space="preserve">⭐⭐⭐⭐</w:t>
                </w:r>
              </w:sdtContent>
            </w:sdt>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D">
            <w:pPr>
              <w:spacing w:after="0" w:line="240" w:lineRule="auto"/>
              <w:jc w:val="center"/>
              <w:rPr>
                <w:b w:val="1"/>
                <w:bCs w:val="1"/>
                <w:color w:val="002060"/>
              </w:rPr>
            </w:pPr>
            <w:r w:rsidDel="00000000" w:rsidR="00000000" w:rsidRPr="00000000">
              <w:rPr>
                <w:b w:val="1"/>
                <w:bCs w:val="1"/>
                <w:color w:val="002060"/>
                <w:rtl w:val="0"/>
              </w:rPr>
              <w:t xml:space="preserve">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Loi Suites Recoleta Hotel/ Loi Suites Iguazú</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rFonts w:ascii="Fira Mono" w:cs="Fira Mono" w:eastAsia="Fira Mono" w:hAnsi="Fira Mono"/>
                <w:color w:val="ffd965"/>
                <w:sz w:val="20"/>
                <w:szCs w:val="20"/>
              </w:rPr>
            </w:pPr>
            <w:sdt>
              <w:sdtPr>
                <w:id w:val="-175241526"/>
                <w:tag w:val="goog_rdk_2"/>
              </w:sdtPr>
              <w:sdtContent>
                <w:r w:rsidDel="00000000" w:rsidR="00000000" w:rsidRPr="00000000">
                  <w:rPr>
                    <w:rFonts w:ascii="Fira Mono" w:cs="Fira Mono" w:eastAsia="Fira Mono" w:hAnsi="Fira Mono"/>
                    <w:sz w:val="20"/>
                    <w:szCs w:val="20"/>
                    <w:rtl w:val="0"/>
                  </w:rPr>
                  <w:t xml:space="preserve">⭐⭐⭐⭐⭐</w:t>
                </w:r>
              </w:sdtContent>
            </w:sdt>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B1">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 </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 </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previos a la fecha de viaje. </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 </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 </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0"/>
        </w:tabs>
        <w:spacing w:after="0" w:before="0" w:line="259" w:lineRule="auto"/>
        <w:ind w:left="888"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B9">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BA">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BB">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D">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BE">
      <w:pPr>
        <w:jc w:val="both"/>
        <w:rPr>
          <w:b w:val="1"/>
          <w:bCs w:val="1"/>
          <w:color w:val="1f3864"/>
        </w:rPr>
      </w:pPr>
      <w:bookmarkStart w:colFirst="0" w:colLast="0" w:name="_heading=h.gjdgxs" w:id="1"/>
      <w:bookmarkEnd w:id="1"/>
      <w:r w:rsidDel="00000000" w:rsidR="00000000" w:rsidRPr="00000000">
        <w:rPr>
          <w:b w:val="1"/>
          <w:bCs w:val="1"/>
          <w:color w:val="1f3864"/>
          <w:rtl w:val="0"/>
        </w:rPr>
        <w:t xml:space="preserve">RECOMENDACIONES:</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Recomendamos que al momento de conectarse a alguna red WIFI verifique que esta sea segura.</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peso argentino (ARS) es la moneda oficial.</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Consulte siempre antes de tomar una fotografía a un poblador local.</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No promueva el trabajo infantil. </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Infórmese y cumpla con el código de conducta del visitante en comunidades.</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Sea prudente con el consumo de agua y electricidad. </w:t>
      </w:r>
    </w:p>
    <w:p w:rsidR="00000000" w:rsidDel="00000000" w:rsidP="00000000" w:rsidRDefault="00000000" w:rsidRPr="00000000" w14:paraId="000000C7">
      <w:pPr>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after="0" w:lineRule="auto"/>
        <w:ind w:left="728" w:right="520" w:hanging="360"/>
        <w:rPr>
          <w:color w:val="1f3864"/>
        </w:rPr>
      </w:pPr>
      <w:r w:rsidDel="00000000" w:rsidR="00000000" w:rsidRPr="00000000">
        <w:rPr>
          <w:b w:val="1"/>
          <w:bCs w:val="1"/>
          <w:color w:val="1f3864"/>
          <w:rtl w:val="0"/>
        </w:rPr>
        <w:t xml:space="preserve">Consulta aquí embajada de Argentina en Colombia: </w:t>
      </w:r>
      <w:hyperlink r:id="rId8">
        <w:r w:rsidDel="00000000" w:rsidR="00000000" w:rsidRPr="00000000">
          <w:rPr>
            <w:color w:val="467886"/>
            <w:sz w:val="20"/>
            <w:szCs w:val="20"/>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 </w:t>
      </w:r>
      <w:hyperlink r:id="rId9">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D0">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footerReference r:id="rId11" w:type="default"/>
      <w:pgSz w:h="15840" w:w="12240" w:orient="portrait"/>
      <w:pgMar w:bottom="1417" w:top="1417" w:left="1701" w:right="1701" w:header="1134"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2"/>
        <w:szCs w:val="12"/>
      </w:rPr>
    </w:pPr>
    <w:r w:rsidDel="00000000" w:rsidR="00000000" w:rsidRPr="00000000">
      <w:rPr>
        <w:color w:val="808080"/>
        <w:sz w:val="12"/>
        <w:szCs w:val="12"/>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-1111249</wp:posOffset>
          </wp:positionH>
          <wp:positionV relativeFrom="paragraph">
            <wp:posOffset>174625</wp:posOffset>
          </wp:positionV>
          <wp:extent cx="7790815" cy="1000125"/>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815" cy="10001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-1626234</wp:posOffset>
          </wp:positionH>
          <wp:positionV relativeFrom="paragraph">
            <wp:posOffset>-434339</wp:posOffset>
          </wp:positionV>
          <wp:extent cx="2895906" cy="1384253"/>
          <wp:effectExtent b="0" l="0" r="0" t="0"/>
          <wp:wrapNone/>
          <wp:docPr id="4" name="image4.jpg"/>
          <a:graphic>
            <a:graphicData uri="http://schemas.openxmlformats.org/drawingml/2006/picture">
              <pic:pic>
                <pic:nvPicPr>
                  <pic:cNvPr id="0" name="image4.jpg"/>
                  <pic:cNvPicPr preferRelativeResize="0"/>
                </pic:nvPicPr>
                <pic:blipFill>
                  <a:blip r:embed="rId1"/>
                  <a:srcRect b="0" l="0" r="2313" t="24308"/>
                  <a:stretch>
                    <a:fillRect/>
                  </a:stretch>
                </pic:blipFill>
                <pic:spPr>
                  <a:xfrm>
                    <a:off x="0" y="0"/>
                    <a:ext cx="2895906" cy="138425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-739139</wp:posOffset>
          </wp:positionV>
          <wp:extent cx="8016875" cy="95504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-527684</wp:posOffset>
          </wp:positionH>
          <wp:positionV relativeFrom="paragraph">
            <wp:posOffset>2994660</wp:posOffset>
          </wp:positionV>
          <wp:extent cx="419100" cy="2628900"/>
          <wp:effectExtent b="0" l="0" r="0" t="0"/>
          <wp:wrapNone/>
          <wp:docPr id="3"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19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888" w:hanging="360"/>
      </w:pPr>
      <w:rPr>
        <w:rFonts w:ascii="Noto Sans Symbols" w:cs="Noto Sans Symbols" w:eastAsia="Noto Sans Symbols" w:hAnsi="Noto Sans Symbols"/>
      </w:rPr>
    </w:lvl>
    <w:lvl w:ilvl="1">
      <w:start w:val="1"/>
      <w:numFmt w:val="bullet"/>
      <w:lvlText w:val="o"/>
      <w:lvlJc w:val="left"/>
      <w:pPr>
        <w:ind w:left="1608" w:hanging="360"/>
      </w:pPr>
      <w:rPr>
        <w:rFonts w:ascii="Courier New" w:cs="Courier New" w:eastAsia="Courier New" w:hAnsi="Courier New"/>
      </w:rPr>
    </w:lvl>
    <w:lvl w:ilvl="2">
      <w:start w:val="1"/>
      <w:numFmt w:val="bullet"/>
      <w:lvlText w:val="▪"/>
      <w:lvlJc w:val="left"/>
      <w:pPr>
        <w:ind w:left="2328" w:hanging="360"/>
      </w:pPr>
      <w:rPr>
        <w:rFonts w:ascii="Noto Sans Symbols" w:cs="Noto Sans Symbols" w:eastAsia="Noto Sans Symbols" w:hAnsi="Noto Sans Symbols"/>
      </w:rPr>
    </w:lvl>
    <w:lvl w:ilvl="3">
      <w:start w:val="1"/>
      <w:numFmt w:val="bullet"/>
      <w:lvlText w:val="●"/>
      <w:lvlJc w:val="left"/>
      <w:pPr>
        <w:ind w:left="3048" w:hanging="360"/>
      </w:pPr>
      <w:rPr>
        <w:rFonts w:ascii="Noto Sans Symbols" w:cs="Noto Sans Symbols" w:eastAsia="Noto Sans Symbols" w:hAnsi="Noto Sans Symbols"/>
      </w:rPr>
    </w:lvl>
    <w:lvl w:ilvl="4">
      <w:start w:val="1"/>
      <w:numFmt w:val="bullet"/>
      <w:lvlText w:val="o"/>
      <w:lvlJc w:val="left"/>
      <w:pPr>
        <w:ind w:left="3768" w:hanging="360"/>
      </w:pPr>
      <w:rPr>
        <w:rFonts w:ascii="Courier New" w:cs="Courier New" w:eastAsia="Courier New" w:hAnsi="Courier New"/>
      </w:rPr>
    </w:lvl>
    <w:lvl w:ilvl="5">
      <w:start w:val="1"/>
      <w:numFmt w:val="bullet"/>
      <w:lvlText w:val="▪"/>
      <w:lvlJc w:val="left"/>
      <w:pPr>
        <w:ind w:left="4488" w:hanging="360"/>
      </w:pPr>
      <w:rPr>
        <w:rFonts w:ascii="Noto Sans Symbols" w:cs="Noto Sans Symbols" w:eastAsia="Noto Sans Symbols" w:hAnsi="Noto Sans Symbols"/>
      </w:rPr>
    </w:lvl>
    <w:lvl w:ilvl="6">
      <w:start w:val="1"/>
      <w:numFmt w:val="bullet"/>
      <w:lvlText w:val="●"/>
      <w:lvlJc w:val="left"/>
      <w:pPr>
        <w:ind w:left="5208" w:hanging="360"/>
      </w:pPr>
      <w:rPr>
        <w:rFonts w:ascii="Noto Sans Symbols" w:cs="Noto Sans Symbols" w:eastAsia="Noto Sans Symbols" w:hAnsi="Noto Sans Symbols"/>
      </w:rPr>
    </w:lvl>
    <w:lvl w:ilvl="7">
      <w:start w:val="1"/>
      <w:numFmt w:val="bullet"/>
      <w:lvlText w:val="o"/>
      <w:lvlJc w:val="left"/>
      <w:pPr>
        <w:ind w:left="5928" w:hanging="360"/>
      </w:pPr>
      <w:rPr>
        <w:rFonts w:ascii="Courier New" w:cs="Courier New" w:eastAsia="Courier New" w:hAnsi="Courier New"/>
      </w:rPr>
    </w:lvl>
    <w:lvl w:ilvl="8">
      <w:start w:val="1"/>
      <w:numFmt w:val="bullet"/>
      <w:lvlText w:val="▪"/>
      <w:lvlJc w:val="left"/>
      <w:pPr>
        <w:ind w:left="664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argentina.gob.ar/interior/migraciones/documentos-de-viaje-del-mercosu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M1sOz+NdRcxOpYtNJ5akmzEMg==">CgMxLjAaKQoBMBIkCiIIB0IeChFRdWF0dHJvY2VudG8gU2FucxIJRmlyYSBNb25vGikKATESJAoiCAdCHgoRUXVhdHRyb2NlbnRvIFNhbnMSCUZpcmEgTW9ubxopCgEyEiQKIggHQh4KEVF1YXR0cm9jZW50byBTYW5zEglGaXJhIE1vbm8yCWguMzBqMHpsbDIIaC5namRneHMyCWguMWZvYjl0ZTgAciExSld6a0pqUVZKY3o1RVFCMkg4RkRreDZXNEpDUXh2SVM=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