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EMIRATOS: DESIERTO SALVAJE </w:t>
      </w:r>
    </w:p>
    <w:p w:rsidR="00000000" w:rsidDel="00000000" w:rsidP="00000000" w:rsidRDefault="00000000" w:rsidRPr="00000000" w14:paraId="00000003">
      <w:pPr>
        <w:jc w:val="center"/>
        <w:rPr>
          <w:rFonts w:ascii="Calibri" w:cs="Calibri" w:eastAsia="Calibri" w:hAnsi="Calibri"/>
          <w:b w:val="1"/>
          <w:color w:val="1f3864"/>
          <w:sz w:val="48"/>
          <w:szCs w:val="48"/>
        </w:rPr>
      </w:pPr>
      <w:bookmarkStart w:colFirst="0" w:colLast="0" w:name="_heading=h.gjdgxs" w:id="0"/>
      <w:bookmarkEnd w:id="0"/>
      <w:r w:rsidDel="00000000" w:rsidR="00000000" w:rsidRPr="00000000">
        <w:rPr>
          <w:rFonts w:ascii="Calibri" w:cs="Calibri" w:eastAsia="Calibri" w:hAnsi="Calibri"/>
          <w:b w:val="1"/>
          <w:color w:val="1f3864"/>
          <w:sz w:val="48"/>
          <w:szCs w:val="48"/>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31 de Octubre del 2025</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8">
      <w:pPr>
        <w:spacing w:line="276" w:lineRule="auto"/>
        <w:jc w:val="both"/>
        <w:rPr>
          <w:rFonts w:ascii="Quattrocento Sans" w:cs="Quattrocento Sans" w:eastAsia="Quattrocento Sans" w:hAnsi="Quattrocento Sans"/>
          <w:b w:val="1"/>
          <w:color w:val="538135"/>
          <w:sz w:val="20"/>
          <w:szCs w:val="20"/>
        </w:rPr>
      </w:pPr>
      <w:r w:rsidDel="00000000" w:rsidR="00000000" w:rsidRPr="00000000">
        <w:rPr>
          <w:rtl w:val="0"/>
        </w:rPr>
      </w:r>
    </w:p>
    <w:p w:rsidR="00000000" w:rsidDel="00000000" w:rsidP="00000000" w:rsidRDefault="00000000" w:rsidRPr="00000000" w14:paraId="00000009">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drawing>
          <wp:inline distB="0" distT="0" distL="0" distR="0">
            <wp:extent cx="1667015" cy="1390650"/>
            <wp:effectExtent b="0" l="0" r="0" t="0"/>
            <wp:docPr descr="Abu Dhabi, &quot;ciudad más habitable&quot; de Oriente Próximo y el Norte de África -  Benoit Properties" id="2037140049" name="image5.png"/>
            <a:graphic>
              <a:graphicData uri="http://schemas.openxmlformats.org/drawingml/2006/picture">
                <pic:pic>
                  <pic:nvPicPr>
                    <pic:cNvPr descr="Abu Dhabi, &quot;ciudad más habitable&quot; de Oriente Próximo y el Norte de África -  Benoit Properties" id="0" name="image5.png"/>
                    <pic:cNvPicPr preferRelativeResize="0"/>
                  </pic:nvPicPr>
                  <pic:blipFill>
                    <a:blip r:embed="rId7"/>
                    <a:srcRect b="0" l="5933" r="30299" t="0"/>
                    <a:stretch>
                      <a:fillRect/>
                    </a:stretch>
                  </pic:blipFill>
                  <pic:spPr>
                    <a:xfrm>
                      <a:off x="0" y="0"/>
                      <a:ext cx="1667015" cy="139065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749414" cy="1396967"/>
            <wp:effectExtent b="0" l="0" r="0" t="0"/>
            <wp:docPr descr="10 MEJORES Safaris en Emiratos Árabes Unidos- 2024 - Viator" id="2037140051" name="image4.jpg"/>
            <a:graphic>
              <a:graphicData uri="http://schemas.openxmlformats.org/drawingml/2006/picture">
                <pic:pic>
                  <pic:nvPicPr>
                    <pic:cNvPr descr="10 MEJORES Safaris en Emiratos Árabes Unidos- 2024 - Viator" id="0" name="image4.jpg"/>
                    <pic:cNvPicPr preferRelativeResize="0"/>
                  </pic:nvPicPr>
                  <pic:blipFill>
                    <a:blip r:embed="rId8"/>
                    <a:srcRect b="0" l="10092" r="6421" t="0"/>
                    <a:stretch>
                      <a:fillRect/>
                    </a:stretch>
                  </pic:blipFill>
                  <pic:spPr>
                    <a:xfrm>
                      <a:off x="0" y="0"/>
                      <a:ext cx="1749414" cy="1396967"/>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558826" cy="1444381"/>
            <wp:effectExtent b="0" l="0" r="0" t="0"/>
            <wp:docPr descr="Anantara Desert Islands Resort &amp; Spa, Da'sah (updated prices 2024)" id="2037140050" name="image1.jpg"/>
            <a:graphic>
              <a:graphicData uri="http://schemas.openxmlformats.org/drawingml/2006/picture">
                <pic:pic>
                  <pic:nvPicPr>
                    <pic:cNvPr descr="Anantara Desert Islands Resort &amp; Spa, Da'sah (updated prices 2024)" id="0" name="image1.jpg"/>
                    <pic:cNvPicPr preferRelativeResize="0"/>
                  </pic:nvPicPr>
                  <pic:blipFill>
                    <a:blip r:embed="rId9"/>
                    <a:srcRect b="0" l="0" r="0" t="0"/>
                    <a:stretch>
                      <a:fillRect/>
                    </a:stretch>
                  </pic:blipFill>
                  <pic:spPr>
                    <a:xfrm>
                      <a:off x="0" y="0"/>
                      <a:ext cx="1558826" cy="144438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DUBÁI – Traslado de llegada en privado</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720" w:hanging="7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Dubai, serán recibidos por nuestro representante, que les dará la bienvenida y los llevarán al</w:t>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720" w:hanging="7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hotel en un vehículo privado. Check-In y alojamiento.</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 Desert Safari en regular con cena BBQ</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w:t>
      </w:r>
      <w:r w:rsidDel="00000000" w:rsidR="00000000" w:rsidRPr="00000000">
        <w:rPr>
          <w:rFonts w:ascii="Calibri" w:cs="Calibri" w:eastAsia="Calibri" w:hAnsi="Calibri"/>
          <w:b w:val="1"/>
          <w:color w:val="ff0000"/>
          <w:rtl w:val="0"/>
        </w:rPr>
        <w:t xml:space="preserve">opcionales.</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color w:val="1f3864"/>
          <w:rtl w:val="0"/>
        </w:rPr>
        <w:t xml:space="preserve">Sobre las 15.00 Hrs,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241300</wp:posOffset>
                </wp:positionV>
                <wp:extent cx="552450" cy="2593706"/>
                <wp:effectExtent b="0" l="0" r="0" t="0"/>
                <wp:wrapNone/>
                <wp:docPr id="2037140048"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bfbfbf"/>
                                <w:sz w:val="16"/>
                                <w:vertAlign w:val="baseline"/>
                              </w:rPr>
                              <w:t xml:space="preserve">NTS-AV-FT-14 </w:t>
                            </w:r>
                            <w:r w:rsidDel="00000000" w:rsidR="00000000" w:rsidRPr="00000000">
                              <w:rPr>
                                <w:rFonts w:ascii="Carlito" w:cs="Carlito" w:eastAsia="Carlito" w:hAnsi="Carlito"/>
                                <w:b w:val="0"/>
                                <w:i w:val="1"/>
                                <w:smallCaps w:val="0"/>
                                <w:strike w:val="0"/>
                                <w:color w:val="bfbfbf"/>
                                <w:sz w:val="16"/>
                                <w:vertAlign w:val="baseline"/>
                              </w:rPr>
                              <w:t xml:space="preserve"> VR. 1 – 06/12/2024</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0"/>
                                <w:smallCaps w:val="0"/>
                                <w:strike w:val="0"/>
                                <w:color w:val="bfbfbf"/>
                                <w:sz w:val="16"/>
                                <w:vertAlign w:val="baseline"/>
                              </w:rPr>
                              <w:br w:type="textWrapping"/>
                            </w:r>
                            <w:r w:rsidDel="00000000" w:rsidR="00000000" w:rsidRPr="00000000">
                              <w:rPr>
                                <w:rFonts w:ascii="Carlito" w:cs="Carlito" w:eastAsia="Carlito" w:hAnsi="Carlito"/>
                                <w:b w:val="1"/>
                                <w:i w:val="0"/>
                                <w:smallCaps w:val="0"/>
                                <w:strike w:val="0"/>
                                <w:color w:val="bfbfbf"/>
                                <w:sz w:val="16"/>
                                <w:vertAlign w:val="baseline"/>
                              </w:rPr>
                              <w:t xml:space="preserve">Programa</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1"/>
                                <w:smallCaps w:val="0"/>
                                <w:strike w:val="0"/>
                                <w:color w:val="bfbfbf"/>
                                <w:sz w:val="16"/>
                                <w:vertAlign w:val="baseline"/>
                              </w:rPr>
                              <w:t xml:space="preserve">EM DS78 Fecha de act 08-11-2024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241300</wp:posOffset>
                </wp:positionV>
                <wp:extent cx="552450" cy="2593706"/>
                <wp:effectExtent b="0" l="0" r="0" t="0"/>
                <wp:wrapNone/>
                <wp:docPr id="2037140048"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–Tour Dubái (Moderno y Antiguo) de medio día</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w:t>
      </w:r>
      <w:r w:rsidDel="00000000" w:rsidR="00000000" w:rsidRPr="00000000">
        <w:rPr>
          <w:rFonts w:ascii="Calibri" w:cs="Calibri" w:eastAsia="Calibri" w:hAnsi="Calibri"/>
          <w:color w:val="1f3864"/>
          <w:rtl w:val="0"/>
        </w:rPr>
        <w:t xml:space="preserve">recogida</w:t>
      </w:r>
      <w:r w:rsidDel="00000000" w:rsidR="00000000" w:rsidRPr="00000000">
        <w:rPr>
          <w:rFonts w:ascii="Calibri" w:cs="Calibri" w:eastAsia="Calibri" w:hAnsi="Calibri"/>
          <w:color w:val="1f3864"/>
          <w:rtl w:val="0"/>
        </w:rPr>
        <w:t xml:space="preserve">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mundo). Luego conduciremos a través de Sheikh Zayed Road, desde donde podremos apreciar los grandes </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rascacielos de la ciudad. Finalmente pasaremos por el Downtown, para tener unas panorámicas de la torre más alta del mundo, el “Burj Khalifa” (entradas no incluidas), junto al asombroso centro comercial El Dubái Mall. Al finalizar el tour volveremos al hotel.</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 Tour Abu Dhabi de día completo</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w:t>
      </w:r>
      <w:r w:rsidDel="00000000" w:rsidR="00000000" w:rsidRPr="00000000">
        <w:rPr>
          <w:rFonts w:ascii="Calibri" w:cs="Calibri" w:eastAsia="Calibri" w:hAnsi="Calibri"/>
          <w:color w:val="1f3864"/>
          <w:rtl w:val="0"/>
        </w:rPr>
        <w:t xml:space="preserve">recogida</w:t>
      </w:r>
      <w:r w:rsidDel="00000000" w:rsidR="00000000" w:rsidRPr="00000000">
        <w:rPr>
          <w:rFonts w:ascii="Calibri" w:cs="Calibri" w:eastAsia="Calibri" w:hAnsi="Calibri"/>
          <w:color w:val="1f3864"/>
          <w:rtl w:val="0"/>
        </w:rPr>
        <w:t xml:space="preserve"> en el hotel para </w:t>
      </w:r>
      <w:r w:rsidDel="00000000" w:rsidR="00000000" w:rsidRPr="00000000">
        <w:rPr>
          <w:rFonts w:ascii="Calibri" w:cs="Calibri" w:eastAsia="Calibri" w:hAnsi="Calibri"/>
          <w:color w:val="1f3864"/>
          <w:rtl w:val="0"/>
        </w:rPr>
        <w:t xml:space="preserve">dirigirno</w:t>
      </w:r>
      <w:r w:rsidDel="00000000" w:rsidR="00000000" w:rsidRPr="00000000">
        <w:rPr>
          <w:rFonts w:ascii="Calibri" w:cs="Calibri" w:eastAsia="Calibri" w:hAnsi="Calibri"/>
          <w:color w:val="1f3864"/>
          <w:rtl w:val="0"/>
        </w:rPr>
        <w:t xml:space="preserve"> a la ciudad de Abu Dhabi, capital de los Emiratos Árabes y el más grande de los siete emiratos. Una vez lleguemos a Abu Dhabi, nuestra primera parada será la Gran Mezquita Sheikh Zayed, una de las mezquitas más grandes y lujosas del mundo. Posteriormente nos dirigiremos a ver los asombrosos Palacios de los Jeques, y nos detendremos enfrente del majestuoso hotel Emirates Palace, para una sesión fotográfica. Luego realizaremos un corto trayecto a través de la ciudad, para conocer mejor la organización y arquitectura de la capital. Seguiremos hacia el Heritage Village, un pequeño museo abierto que recrea las actividades diarias tradicionales de la comunidad árabe antes del descubrimiento del petróleo. Desde aquí nos dirigiremos a lo largo de la espectacular Corniche, para obtener una vista espectacular del skyline de la ciudad. </w:t>
      </w:r>
      <w:r w:rsidDel="00000000" w:rsidR="00000000" w:rsidRPr="00000000">
        <w:rPr>
          <w:rFonts w:ascii="Calibri" w:cs="Calibri" w:eastAsia="Calibri" w:hAnsi="Calibri"/>
          <w:b w:val="1"/>
          <w:color w:val="ff0000"/>
          <w:rtl w:val="0"/>
        </w:rPr>
        <w:t xml:space="preserve">Opcionalmente</w:t>
      </w:r>
      <w:r w:rsidDel="00000000" w:rsidR="00000000" w:rsidRPr="00000000">
        <w:rPr>
          <w:rFonts w:ascii="Calibri" w:cs="Calibri" w:eastAsia="Calibri" w:hAnsi="Calibri"/>
          <w:color w:val="1f3864"/>
          <w:rtl w:val="0"/>
        </w:rPr>
        <w:t xml:space="preserve"> por un valor adicional, podremos entrar al parque temático Ferrari World, para conocer sus espectaculares instalaciones. Alojamiento en Abu Dhabi.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 Traslados en privado al Anantara Desert Island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10.00 Hrs Check-Out, para así ser recogidos en el lobby del hotel y trasladarnos al Anantara Desert Island, donde llegaremos al puerto para tomar un bote del hotel, el cual nos llevará finalmente hasta la Isla. Posteriormente, conduciremos hacia el hotel para realizar el Check In. Alojamiento en el Anantara Desert Island.</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Día libre en la Isla Resort</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disfrutar de las diferentes actividades que ofrece este maravilloso hotel. Nota: Este Hotel está situado en una isla reserva natural, donde podrán ver animales en su hábitat. Disfrute y relájese en esta espectacular propiedad.</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Traslado en privado a Dubái y Check-In.</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10.00 Hrs Check-Out del hotel, para así ser trasladados al puerto de la Isla donde un bote nos trasladará hasta la otra orilla, para encontrarnos con nuestro conductor que nos estará esperando para ser trasladados hacia la ciudad de Dubái. Al llegar al hotel, haremos el Check In. Tarde libre para actividades </w:t>
      </w:r>
      <w:r w:rsidDel="00000000" w:rsidR="00000000" w:rsidRPr="00000000">
        <w:rPr>
          <w:rFonts w:ascii="Calibri" w:cs="Calibri" w:eastAsia="Calibri" w:hAnsi="Calibri"/>
          <w:b w:val="1"/>
          <w:color w:val="ff0000"/>
          <w:rtl w:val="0"/>
        </w:rPr>
        <w:t xml:space="preserve">opcionales</w:t>
      </w:r>
      <w:r w:rsidDel="00000000" w:rsidR="00000000" w:rsidRPr="00000000">
        <w:rPr>
          <w:rFonts w:ascii="Calibri" w:cs="Calibri" w:eastAsia="Calibri" w:hAnsi="Calibri"/>
          <w:color w:val="1f3864"/>
          <w:rtl w:val="0"/>
        </w:rPr>
        <w:t xml:space="preserve"> en la ciudad de Dubái.</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 Traslado de salida en privado al aeropuerto</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salida.</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2C">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D">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31">
      <w:pPr>
        <w:jc w:val="both"/>
        <w:rPr>
          <w:rFonts w:ascii="Calibri" w:cs="Calibri" w:eastAsia="Calibri" w:hAnsi="Calibri"/>
          <w:b w:val="1"/>
          <w:color w:val="1f3864"/>
        </w:rPr>
      </w:pPr>
      <w:r w:rsidDel="00000000" w:rsidR="00000000" w:rsidRPr="00000000">
        <w:rPr>
          <w:rtl w:val="0"/>
        </w:rPr>
      </w:r>
    </w:p>
    <w:tbl>
      <w:tblPr>
        <w:tblStyle w:val="Table1"/>
        <w:tblW w:w="10480.0" w:type="dxa"/>
        <w:jc w:val="center"/>
        <w:tblLayout w:type="fixed"/>
        <w:tblLook w:val="0400"/>
      </w:tblPr>
      <w:tblGrid>
        <w:gridCol w:w="2800"/>
        <w:gridCol w:w="2100"/>
        <w:gridCol w:w="1327"/>
        <w:gridCol w:w="1418"/>
        <w:gridCol w:w="1417"/>
        <w:gridCol w:w="1418"/>
        <w:tblGridChange w:id="0">
          <w:tblGrid>
            <w:gridCol w:w="2800"/>
            <w:gridCol w:w="2100"/>
            <w:gridCol w:w="1327"/>
            <w:gridCol w:w="1418"/>
            <w:gridCol w:w="1417"/>
            <w:gridCol w:w="1418"/>
          </w:tblGrid>
        </w:tblGridChange>
      </w:tblGrid>
      <w:tr>
        <w:trPr>
          <w:cantSplit w:val="0"/>
          <w:trHeight w:val="650" w:hRule="atLeast"/>
          <w:tblHeader w:val="0"/>
        </w:trPr>
        <w:tc>
          <w:tcPr>
            <w:gridSpan w:val="6"/>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BAJA - PRECIO POR PAX EN USD</w:t>
              <w:br w:type="textWrapping"/>
              <w:t xml:space="preserve">DEL 01 MAYO AL 30 DE SEPTIEMBRE 2025</w:t>
            </w:r>
          </w:p>
        </w:tc>
      </w:tr>
      <w:tr>
        <w:trPr>
          <w:cantSplit w:val="0"/>
          <w:trHeight w:val="340" w:hRule="atLeast"/>
          <w:tblHeader w:val="0"/>
        </w:trPr>
        <w:tc>
          <w:tcPr>
            <w:gridSpan w:val="2"/>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w:t>
            </w:r>
          </w:p>
        </w:tc>
      </w:tr>
      <w:tr>
        <w:trPr>
          <w:cantSplit w:val="0"/>
          <w:trHeight w:val="650" w:hRule="atLeast"/>
          <w:tblHeader w:val="0"/>
        </w:trPr>
        <w:tc>
          <w:tcPr>
            <w:gridSpan w:val="2"/>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 Andaz Capital Gate by Hyatt 5* +Anantara Desert Island Resort 5*</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1.738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1.762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3.300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890 USD</w:t>
            </w:r>
          </w:p>
        </w:tc>
      </w:tr>
      <w:tr>
        <w:trPr>
          <w:cantSplit w:val="0"/>
          <w:trHeight w:val="650" w:hRule="atLeast"/>
          <w:tblHeader w:val="0"/>
        </w:trPr>
        <w:tc>
          <w:tcPr>
            <w:gridSpan w:val="2"/>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Superior + Conrad Etihad Towers 5* + Anantara Desert Island Resort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1.838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3.450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928 USD</w:t>
            </w:r>
          </w:p>
        </w:tc>
      </w:tr>
      <w:tr>
        <w:trPr>
          <w:cantSplit w:val="0"/>
          <w:trHeight w:val="11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tl w:val="0"/>
              </w:rPr>
            </w:r>
          </w:p>
        </w:tc>
      </w:tr>
      <w:tr>
        <w:trPr>
          <w:cantSplit w:val="0"/>
          <w:trHeight w:val="650" w:hRule="atLeast"/>
          <w:tblHeader w:val="0"/>
        </w:trPr>
        <w:tc>
          <w:tcPr>
            <w:gridSpan w:val="6"/>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5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ALTA - PRECIO POR PAX EN USD</w:t>
              <w:br w:type="textWrapping"/>
              <w:t xml:space="preserve">DEL 01 NOVIEMBRE DEL 2024 AL 30 ABRIL DEL 2025 Y DEL 01 AL 31 OCTUBRE DEL 2025</w:t>
            </w:r>
          </w:p>
        </w:tc>
      </w:tr>
      <w:tr>
        <w:trPr>
          <w:cantSplit w:val="0"/>
          <w:trHeight w:val="330" w:hRule="atLeast"/>
          <w:tblHeader w:val="0"/>
        </w:trPr>
        <w:tc>
          <w:tcPr>
            <w:gridSpan w:val="2"/>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5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5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5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5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w:t>
            </w:r>
          </w:p>
        </w:tc>
      </w:tr>
      <w:tr>
        <w:trPr>
          <w:cantSplit w:val="0"/>
          <w:trHeight w:val="650" w:hRule="atLeast"/>
          <w:tblHeader w:val="0"/>
        </w:trPr>
        <w:tc>
          <w:tcPr>
            <w:gridSpan w:val="2"/>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 Andaz Capital Gate by Hyatt 5* +Anantara Desert Island Resort 5*</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2.142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4.056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1.080 USD</w:t>
            </w:r>
          </w:p>
        </w:tc>
      </w:tr>
      <w:tr>
        <w:trPr>
          <w:cantSplit w:val="0"/>
          <w:trHeight w:val="650" w:hRule="atLeast"/>
          <w:tblHeader w:val="0"/>
        </w:trPr>
        <w:tc>
          <w:tcPr>
            <w:gridSpan w:val="2"/>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Superior + Conrad Etihad Towers 5* + Anantara Desert Island Resort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2.376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4.526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1.198 USD</w:t>
            </w:r>
          </w:p>
        </w:tc>
      </w:tr>
    </w:tbl>
    <w:p w:rsidR="00000000" w:rsidDel="00000000" w:rsidP="00000000" w:rsidRDefault="00000000" w:rsidRPr="00000000" w14:paraId="0000006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EN DÓLARES</w:t>
      </w:r>
    </w:p>
    <w:p w:rsidR="00000000" w:rsidDel="00000000" w:rsidP="00000000" w:rsidRDefault="00000000" w:rsidRPr="00000000" w14:paraId="0000006B">
      <w:pPr>
        <w:jc w:val="center"/>
        <w:rPr>
          <w:rFonts w:ascii="Calibri" w:cs="Calibri" w:eastAsia="Calibri" w:hAnsi="Calibri"/>
          <w:b w:val="1"/>
          <w:color w:val="1f3864"/>
        </w:rPr>
      </w:pPr>
      <w:r w:rsidDel="00000000" w:rsidR="00000000" w:rsidRPr="00000000">
        <w:rPr>
          <w:rtl w:val="0"/>
        </w:rPr>
      </w:r>
    </w:p>
    <w:tbl>
      <w:tblPr>
        <w:tblStyle w:val="Table2"/>
        <w:tblW w:w="7295.0" w:type="dxa"/>
        <w:jc w:val="center"/>
        <w:tblLayout w:type="fixed"/>
        <w:tblLook w:val="0400"/>
      </w:tblPr>
      <w:tblGrid>
        <w:gridCol w:w="4695"/>
        <w:gridCol w:w="2600"/>
        <w:tblGridChange w:id="0">
          <w:tblGrid>
            <w:gridCol w:w="4695"/>
            <w:gridCol w:w="26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OPCIONALES (MIN 2 PAX)</w:t>
            </w:r>
          </w:p>
        </w:tc>
        <w:tc>
          <w:tcPr>
            <w:tcBorders>
              <w:top w:color="000000" w:space="0" w:sz="8" w:val="single"/>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6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 POR PASAJERO</w:t>
            </w:r>
          </w:p>
        </w:tc>
      </w:tr>
      <w:tr>
        <w:trPr>
          <w:cantSplit w:val="0"/>
          <w:trHeight w:val="30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Subida al Burj Khalifa piso 124</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en Regular y español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Visita Parque IMG traslados incluidos</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188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Visita Parque Aquadventure Hotel Atlantis con</w:t>
              <w:br w:type="textWrapping"/>
              <w:t xml:space="preserve">traslados incluidos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208 USD</w:t>
            </w:r>
          </w:p>
        </w:tc>
      </w:tr>
    </w:tbl>
    <w:p w:rsidR="00000000" w:rsidDel="00000000" w:rsidP="00000000" w:rsidRDefault="00000000" w:rsidRPr="00000000" w14:paraId="0000007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en Dubai con desayunos</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Noche en Abu Dhabi con desayunos</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en el Anantara Desert Resort con desayunos</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 en privado</w:t>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en campamento beduino</w:t>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Abu Dhabi día completo en privado y español</w: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Todos los traslados mencionados en el paquete.</w:t>
      </w:r>
      <w:r w:rsidDel="00000000" w:rsidR="00000000" w:rsidRPr="00000000">
        <w:rPr>
          <w:rtl w:val="0"/>
        </w:rPr>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Tarjeta de asistencia médica. (Cobertura máxima USD 60.000).</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87">
      <w:pPr>
        <w:numPr>
          <w:ilvl w:val="0"/>
          <w:numId w:val="3"/>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(Consulta nuestras tarifas especiales)</w:t>
      </w:r>
    </w:p>
    <w:p w:rsidR="00000000" w:rsidDel="00000000" w:rsidP="00000000" w:rsidRDefault="00000000" w:rsidRPr="00000000" w14:paraId="000000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o Propinas.</w:t>
      </w:r>
    </w:p>
    <w:p w:rsidR="00000000" w:rsidDel="00000000" w:rsidP="00000000" w:rsidRDefault="00000000" w:rsidRPr="00000000" w14:paraId="000000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Visado de Emiratos Árabes.</w:t>
      </w:r>
    </w:p>
    <w:p w:rsidR="00000000" w:rsidDel="00000000" w:rsidP="00000000" w:rsidRDefault="00000000" w:rsidRPr="00000000" w14:paraId="0000008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Excursiones opcionales </w:t>
      </w:r>
    </w:p>
    <w:p w:rsidR="00000000" w:rsidDel="00000000" w:rsidP="00000000" w:rsidRDefault="00000000" w:rsidRPr="00000000" w14:paraId="0000008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Ningún servicio no especificado como incluido.</w:t>
      </w:r>
    </w:p>
    <w:p w:rsidR="00000000" w:rsidDel="00000000" w:rsidP="00000000" w:rsidRDefault="00000000" w:rsidRPr="00000000" w14:paraId="0000008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Alimentos y bebidas no especificados</w:t>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 Tourism dírham USD 4.5 (Hoteles 4*) – USD 5.5 (Hoteles 5*) por habitación por noche.</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Pago en el destino al momento del check-in</w:t>
      </w:r>
    </w:p>
    <w:p w:rsidR="00000000" w:rsidDel="00000000" w:rsidP="00000000" w:rsidRDefault="00000000" w:rsidRPr="00000000" w14:paraId="000000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9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92">
      <w:pPr>
        <w:widowControl w:val="1"/>
        <w:numPr>
          <w:ilvl w:val="0"/>
          <w:numId w:val="1"/>
        </w:numPr>
        <w:tabs>
          <w:tab w:val="left" w:leader="none" w:pos="160"/>
        </w:tabs>
        <w:ind w:left="168" w:hanging="152"/>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93">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100 % del valor del paquete por persona debido a que es Tem. Alta.</w:t>
      </w:r>
    </w:p>
    <w:p w:rsidR="00000000" w:rsidDel="00000000" w:rsidP="00000000" w:rsidRDefault="00000000" w:rsidRPr="00000000" w14:paraId="00000094">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95">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96">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97">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98">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 (Depósitos no reembolsables.)</w:t>
      </w:r>
    </w:p>
    <w:p w:rsidR="00000000" w:rsidDel="00000000" w:rsidP="00000000" w:rsidRDefault="00000000" w:rsidRPr="00000000" w14:paraId="00000099">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9A">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9B">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9C">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9D">
      <w:pPr>
        <w:widowControl w:val="1"/>
        <w:numPr>
          <w:ilvl w:val="0"/>
          <w:numId w:val="1"/>
        </w:numPr>
        <w:tabs>
          <w:tab w:val="left" w:leader="none" w:pos="160"/>
        </w:tabs>
        <w:ind w:left="168" w:hanging="152"/>
        <w:jc w:val="both"/>
        <w:rPr>
          <w:rFonts w:ascii="Calibri" w:cs="Calibri" w:eastAsia="Calibri" w:hAnsi="Calibri"/>
          <w:color w:val="1f3864"/>
          <w:highlight w:val="yellow"/>
        </w:rPr>
      </w:pPr>
      <w:bookmarkStart w:colFirst="0" w:colLast="0" w:name="_heading=h.1fob9te" w:id="2"/>
      <w:bookmarkEnd w:id="2"/>
      <w:r w:rsidDel="00000000" w:rsidR="00000000" w:rsidRPr="00000000">
        <w:rPr>
          <w:rFonts w:ascii="Calibri" w:cs="Calibri" w:eastAsia="Calibri" w:hAnsi="Calibri"/>
          <w:color w:val="1f3864"/>
          <w:highlight w:val="yellow"/>
          <w:rtl w:val="0"/>
        </w:rPr>
        <w:t xml:space="preserve">Las tarifas </w:t>
      </w:r>
      <w:r w:rsidDel="00000000" w:rsidR="00000000" w:rsidRPr="00000000">
        <w:rPr>
          <w:rFonts w:ascii="Calibri" w:cs="Calibri" w:eastAsia="Calibri" w:hAnsi="Calibri"/>
          <w:b w:val="1"/>
          <w:color w:val="1f3864"/>
          <w:highlight w:val="yellow"/>
          <w:rtl w:val="0"/>
        </w:rPr>
        <w:t xml:space="preserve">NO</w:t>
      </w:r>
      <w:r w:rsidDel="00000000" w:rsidR="00000000" w:rsidRPr="00000000">
        <w:rPr>
          <w:rFonts w:ascii="Calibri" w:cs="Calibri" w:eastAsia="Calibri" w:hAnsi="Calibri"/>
          <w:color w:val="1f3864"/>
          <w:highlight w:val="yellow"/>
          <w:rtl w:val="0"/>
        </w:rPr>
        <w:t xml:space="preserve"> aplican para las siguientes fechas (26 Dic 2024 al 02 Ene 25 // 26 al 30 Ene 2025 // 16 al 21 Feb 2025)</w:t>
      </w:r>
    </w:p>
    <w:p w:rsidR="00000000" w:rsidDel="00000000" w:rsidP="00000000" w:rsidRDefault="00000000" w:rsidRPr="00000000" w14:paraId="0000009E">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Consulta aquí las condiciones de esta asistencia: </w:t>
      </w:r>
      <w:hyperlink r:id="rId11">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9F">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A3">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A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A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tl w:val="0"/>
        </w:rPr>
      </w:r>
    </w:p>
    <w:p w:rsidR="00000000" w:rsidDel="00000000" w:rsidP="00000000" w:rsidRDefault="00000000" w:rsidRPr="00000000" w14:paraId="000000A8">
      <w:pPr>
        <w:numPr>
          <w:ilvl w:val="0"/>
          <w:numId w:val="5"/>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A9">
      <w:pPr>
        <w:numPr>
          <w:ilvl w:val="0"/>
          <w:numId w:val="5"/>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AA">
      <w:pPr>
        <w:numPr>
          <w:ilvl w:val="0"/>
          <w:numId w:val="5"/>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AB">
      <w:pPr>
        <w:numPr>
          <w:ilvl w:val="0"/>
          <w:numId w:val="5"/>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2">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A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A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A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B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B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B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3">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B3">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4">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B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5">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B6">
      <w:pPr>
        <w:widowControl w:val="1"/>
        <w:spacing w:after="160" w:line="259" w:lineRule="auto"/>
        <w:jc w:val="both"/>
        <w:rPr>
          <w:sz w:val="20"/>
          <w:szCs w:val="20"/>
        </w:rPr>
      </w:pPr>
      <w:r w:rsidDel="00000000" w:rsidR="00000000" w:rsidRPr="00000000">
        <w:rPr>
          <w:sz w:val="20"/>
          <w:szCs w:val="20"/>
          <w:rtl w:val="0"/>
        </w:rPr>
        <w:t xml:space="preserve"> </w:t>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-889952</wp:posOffset>
          </wp:positionH>
          <wp:positionV relativeFrom="paragraph">
            <wp:posOffset>771525</wp:posOffset>
          </wp:positionV>
          <wp:extent cx="7810196" cy="965835"/>
          <wp:effectExtent b="0" l="0" r="0" t="0"/>
          <wp:wrapNone/>
          <wp:docPr id="203714005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196" cy="9658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-994727</wp:posOffset>
          </wp:positionH>
          <wp:positionV relativeFrom="paragraph">
            <wp:posOffset>-450214</wp:posOffset>
          </wp:positionV>
          <wp:extent cx="8016875" cy="955040"/>
          <wp:effectExtent b="0" l="0" r="0" t="0"/>
          <wp:wrapNone/>
          <wp:docPr id="203714005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character" w:styleId="Mencinsinresolver">
    <w:name w:val="Unresolved Mention"/>
    <w:basedOn w:val="Fuentedeprrafopredeter"/>
    <w:uiPriority w:val="99"/>
    <w:semiHidden w:val="1"/>
    <w:unhideWhenUsed w:val="1"/>
    <w:rsid w:val="00FB5FA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universal-assistance.com/files/condiciones_generales.pdf" TargetMode="External"/><Relationship Id="rId10" Type="http://schemas.openxmlformats.org/officeDocument/2006/relationships/image" Target="media/image6.png"/><Relationship Id="rId13" Type="http://schemas.openxmlformats.org/officeDocument/2006/relationships/hyperlink" Target="https://apply.joinsherpa.com/travel-restrictions/AE-DU?affiliateId=sherpa&amp;language=es-XL&amp;originCountry=COL" TargetMode="External"/><Relationship Id="rId12" Type="http://schemas.openxmlformats.org/officeDocument/2006/relationships/hyperlink" Target="https://www.exteriores.gob.es/es/ServiciosAlCiudadano/Paginas/Detalle-recomendaciones-de-viaje.aspx?trc=Emiratos+%C3%81rabes+Unid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eader" Target="header2.xml"/><Relationship Id="rId14" Type="http://schemas.openxmlformats.org/officeDocument/2006/relationships/hyperlink" Target="https://www.tropitours.co/es/clausula-de-responsabilidad"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5.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ke/qFLvftK96NK47sAs3HG8/ew==">CgMxLjAyCGguZ2pkZ3hzMgloLjMwajB6bGwyCWguMWZvYjl0ZTgAciExTFdrY0hEM3dVT29na1R4NmViQnI5QmZmS1JzbEFBUHU=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