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98274BD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A5F3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MINI FLORIDA</w:t>
      </w:r>
    </w:p>
    <w:p w14:paraId="37D8D7D8" w14:textId="0E4A80D5" w:rsidR="009408CE" w:rsidRPr="009408CE" w:rsidRDefault="00E459B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00F8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00F8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B3D2932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A33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 DE DICIEMBRE 2025</w:t>
      </w:r>
    </w:p>
    <w:p w14:paraId="42D50000" w14:textId="04FBAFB1" w:rsidR="00367F81" w:rsidRPr="009F52A2" w:rsidRDefault="009408CE" w:rsidP="009F52A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5161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E459B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7D669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(EXCEPTO FECHAS FESTIVAS)</w:t>
      </w:r>
    </w:p>
    <w:p w14:paraId="73595A78" w14:textId="5563902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9C6EE1" w14:textId="7B567DF7" w:rsidR="000A3372" w:rsidRDefault="000A3372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4019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diurno </w:t>
      </w:r>
      <w:r w:rsidR="007B63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eropuerto de Miami – Hotel – Aeropuerto Miami en servicio regular </w:t>
      </w:r>
    </w:p>
    <w:p w14:paraId="1B663751" w14:textId="77777777" w:rsidR="007B63A7" w:rsidRDefault="004F7A09" w:rsidP="004F7A0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en autobús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Miami - 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Orlando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- Miami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</w:p>
    <w:p w14:paraId="07FC27B7" w14:textId="73381418" w:rsidR="004F7A09" w:rsidRPr="007B63A7" w:rsidRDefault="007B63A7" w:rsidP="007B63A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para Compras (todo el día)</w:t>
      </w:r>
      <w:r w:rsidRP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regular  </w:t>
      </w:r>
    </w:p>
    <w:p w14:paraId="0A9D6328" w14:textId="36698E75" w:rsidR="009408CE" w:rsidRDefault="00E459B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los hoteles previstos 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6D4D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Miami</w:t>
      </w:r>
    </w:p>
    <w:p w14:paraId="3510DA81" w14:textId="2E203E80" w:rsidR="006D4DB4" w:rsidRPr="006D4DB4" w:rsidRDefault="006D4DB4" w:rsidP="006D4D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los hoteles previstos en Orlando</w:t>
      </w:r>
    </w:p>
    <w:p w14:paraId="68142555" w14:textId="4AE2D099" w:rsidR="004F7A09" w:rsidRDefault="004F7A09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84F50">
        <w:rPr>
          <w:rFonts w:ascii="Poppins" w:hAnsi="Poppins" w:cs="Poppins"/>
          <w:bCs/>
          <w:color w:val="002060"/>
          <w:sz w:val="20"/>
          <w:szCs w:val="20"/>
        </w:rPr>
        <w:t xml:space="preserve">Desayunos diarios </w:t>
      </w:r>
      <w:r w:rsidR="00BA1A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especificados</w:t>
      </w:r>
      <w:r w:rsidR="00BA1A7C" w:rsidRPr="00BA1A7C">
        <w:rPr>
          <w:rFonts w:ascii="Poppins" w:hAnsi="Poppins" w:cs="Poppins"/>
          <w:bCs/>
          <w:color w:val="FF0000"/>
          <w:sz w:val="24"/>
          <w:szCs w:val="24"/>
        </w:rPr>
        <w:t xml:space="preserve"> </w:t>
      </w:r>
      <w:r w:rsidR="00BA1A7C" w:rsidRPr="007734CB">
        <w:rPr>
          <w:rFonts w:ascii="Poppins" w:hAnsi="Poppins" w:cs="Poppins"/>
          <w:b/>
          <w:color w:val="FF0000"/>
          <w:sz w:val="24"/>
          <w:szCs w:val="24"/>
        </w:rPr>
        <w:t>*</w:t>
      </w:r>
    </w:p>
    <w:p w14:paraId="765095CB" w14:textId="6BB7C646" w:rsidR="00CD0205" w:rsidRPr="00CD0205" w:rsidRDefault="00CD0205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parque Disney a 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scoger con 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0C8F96B1" w14:textId="347CB72D" w:rsidR="00CD0205" w:rsidRPr="00CD0205" w:rsidRDefault="00CD0205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SeaWorld</w:t>
      </w:r>
      <w:proofErr w:type="spellEnd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0D874844" w14:textId="77777777" w:rsidR="00E459BE" w:rsidRDefault="00E459BE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3C451E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9F5217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251D45" w14:textId="405E0768" w:rsidR="004F7A09" w:rsidRPr="002B6CDA" w:rsidRDefault="004F7A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A1A7C">
        <w:rPr>
          <w:rFonts w:ascii="Poppins" w:hAnsi="Poppins" w:cs="Poppins"/>
          <w:b/>
          <w:color w:val="00B0F0"/>
          <w:sz w:val="20"/>
          <w:szCs w:val="20"/>
        </w:rPr>
        <w:t>Recargo de Resort Fee</w:t>
      </w:r>
      <w:r w:rsidRPr="00BA1A7C">
        <w:rPr>
          <w:rFonts w:ascii="Poppins" w:hAnsi="Poppins" w:cs="Poppins"/>
          <w:bCs/>
          <w:color w:val="00B0F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algunos hoteles especificados</w:t>
      </w:r>
      <w:r w:rsidRPr="00BA1A7C">
        <w:rPr>
          <w:rFonts w:ascii="Poppins" w:hAnsi="Poppins" w:cs="Poppins"/>
          <w:bCs/>
          <w:color w:val="00B0F0"/>
          <w:sz w:val="24"/>
          <w:szCs w:val="24"/>
        </w:rPr>
        <w:t xml:space="preserve"> </w:t>
      </w:r>
      <w:r w:rsidRPr="007734CB">
        <w:rPr>
          <w:rFonts w:ascii="Poppins" w:hAnsi="Poppins" w:cs="Poppins"/>
          <w:b/>
          <w:color w:val="00B0F0"/>
          <w:sz w:val="24"/>
          <w:szCs w:val="24"/>
        </w:rPr>
        <w:t>*</w:t>
      </w:r>
      <w:r w:rsidRPr="007734CB">
        <w:rPr>
          <w:rFonts w:ascii="Poppins" w:hAnsi="Poppins" w:cs="Poppins"/>
          <w:b/>
          <w:color w:val="00B0F0"/>
          <w:sz w:val="20"/>
          <w:szCs w:val="20"/>
        </w:rPr>
        <w:t xml:space="preserve"> </w:t>
      </w:r>
      <w:r w:rsidRP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(Este recargo adicional debe ser pagado directamente en el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E6E286" w14:textId="7EEA0126" w:rsidR="005515FA" w:rsidRPr="00E459BE" w:rsidRDefault="005515F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G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uías dentro de los parques</w:t>
      </w:r>
      <w:r w:rsidR="00DE51A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9856386" w14:textId="5730E7D9" w:rsidR="009408CE" w:rsidRPr="001638C1" w:rsidRDefault="00E31116" w:rsidP="001638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05BCA1" w14:textId="77777777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AE564C" w14:textId="77777777" w:rsidR="00E459BE" w:rsidRPr="00BF76FB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231A530" w14:textId="77777777" w:rsidR="00E459BE" w:rsidRPr="004F7AC8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106" w:type="dxa"/>
        <w:jc w:val="center"/>
        <w:tblLook w:val="04A0" w:firstRow="1" w:lastRow="0" w:firstColumn="1" w:lastColumn="0" w:noHBand="0" w:noVBand="1"/>
      </w:tblPr>
      <w:tblGrid>
        <w:gridCol w:w="2681"/>
        <w:gridCol w:w="1425"/>
      </w:tblGrid>
      <w:tr w:rsidR="00257900" w:rsidRPr="00E20BAF" w14:paraId="32AC6D6A" w14:textId="77777777" w:rsidTr="0022671F">
        <w:trPr>
          <w:trHeight w:val="221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46A" w14:textId="6EAEB16C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14CA" w14:textId="00DE29AF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LE </w:t>
            </w:r>
          </w:p>
        </w:tc>
      </w:tr>
      <w:tr w:rsidR="00257900" w:rsidRPr="00E20BAF" w14:paraId="5286C59F" w14:textId="77777777" w:rsidTr="0022671F">
        <w:trPr>
          <w:trHeight w:val="379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41CB" w14:textId="30111F68" w:rsidR="00257900" w:rsidRPr="00742681" w:rsidRDefault="00EA2C95" w:rsidP="0015053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A1DD2" w14:textId="5055FF76" w:rsidR="00257900" w:rsidRPr="0022671F" w:rsidRDefault="0022671F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22671F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929</w:t>
            </w:r>
          </w:p>
        </w:tc>
      </w:tr>
    </w:tbl>
    <w:p w14:paraId="14495CE4" w14:textId="77777777" w:rsidR="00E5161A" w:rsidRDefault="00E5161A" w:rsidP="00E5161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373F933" w14:textId="7BB89041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C2378A" w14:textId="4C224FB1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325C8849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EF0213A" w14:textId="3E8AA748" w:rsidR="00E459BE" w:rsidRPr="003E2E44" w:rsidRDefault="00E459BE" w:rsidP="003E2E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368"/>
        <w:gridCol w:w="2029"/>
        <w:gridCol w:w="6345"/>
      </w:tblGrid>
      <w:tr w:rsidR="00115F64" w:rsidRPr="00E20BAF" w14:paraId="436EB0AE" w14:textId="77777777" w:rsidTr="007734CB">
        <w:trPr>
          <w:trHeight w:val="3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7F4" w14:textId="36426592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D71" w14:textId="48159D49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AA7" w14:textId="003FD2C3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115F64" w:rsidRPr="00BA1A7C" w14:paraId="5EF33CF7" w14:textId="77777777" w:rsidTr="007734CB">
        <w:trPr>
          <w:trHeight w:val="7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5D426" w14:textId="2D17E0E2" w:rsidR="00115F64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8FCD" w14:textId="59466DBC" w:rsidR="00115F64" w:rsidRPr="00E459BE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1BC2" w14:textId="3E944BB1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Red Roof Plus+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7CE00D" w14:textId="631A9D80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BA1A7C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E5161A" w14:paraId="1A7737D9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A80F" w14:textId="77777777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8442" w14:textId="00B18607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38191" w14:textId="5053616C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B63A7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Spring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C59DA05" w14:textId="2B6B53A4" w:rsidR="00115F64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Regency Hotel Miami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7B63A7" w14:paraId="0C25439B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D1305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5F12" w14:textId="5E0C6824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4F80B" w14:textId="7BF37A5E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Airport Doral Area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22EEEE25" w14:textId="78173F77" w:rsidR="00115F64" w:rsidRPr="00E5161A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TRU By Hilton </w:t>
            </w:r>
            <w:proofErr w:type="spellStart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  <w:proofErr w:type="spellEnd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Blue Lagoon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A1A7C" w14:paraId="1B2BE305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30897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3FA58" w14:textId="13F8039D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A1252" w14:textId="49DB4053" w:rsidR="00115F64" w:rsidRPr="002A0DE6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Four Points by Sheraton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49FB6AA" w14:textId="7B25C95A" w:rsidR="00115F64" w:rsidRPr="00E5161A" w:rsidRDefault="00BA1A7C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E20BAF" w14:paraId="28E1CDE1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 w:val="restart"/>
            <w:shd w:val="clear" w:color="auto" w:fill="D9E2F3" w:themeFill="accent5" w:themeFillTint="33"/>
            <w:vAlign w:val="center"/>
          </w:tcPr>
          <w:p w14:paraId="3A2F918E" w14:textId="3AA72556" w:rsidR="00040196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Orlando</w:t>
            </w: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3B74F43E" w14:textId="7F206A87" w:rsidR="00040196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FCB4313" w14:textId="4C411446" w:rsidR="00040196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7734CB" w:rsidRPr="007734CB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Hotel Orlando at Universal Blvd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4E5B8A9F" w14:textId="4007FB5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734CB"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>*</w:t>
            </w:r>
            <w:r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 xml:space="preserve"> 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 Casa Hotel,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Turkey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lake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Rd</w:t>
            </w:r>
            <w:proofErr w:type="spellEnd"/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40196" w:rsidRPr="007B63A7" w14:paraId="730827AD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0370388B" w14:textId="77777777" w:rsidR="00040196" w:rsidRPr="004F7A09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79A3FB97" w14:textId="39AB6B1E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2F7BB4E" w14:textId="4FD5D993" w:rsidR="00040196" w:rsidRPr="00DA444C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Rosen </w:t>
            </w:r>
            <w:proofErr w:type="spellStart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Lake Buena Vista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  <w:p w14:paraId="14D96519" w14:textId="1B21586D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5A8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Clarion Inn &amp; Suites at International Drive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7B63A7" w14:paraId="6178947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46931179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1AE70F83" w14:textId="2C9DD089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D4ACB37" w14:textId="7B0CA569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&amp; Suites Nearest Universal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962C06B" w14:textId="2F32B2E5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Hampton Inn Nearest Universal Orlando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4C7C8EA1" w14:textId="4705B782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&amp; Suites </w:t>
            </w:r>
            <w:r w:rsidR="00040196" w:rsidRPr="00115F6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Lake Buena Vista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7B63A7" w14:paraId="36E2349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38BFD94A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69E3D113" w14:textId="20F85DB6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3D8A2D0" w14:textId="415DD888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Fairfield Inn &amp; Suites Orlando Marriot Village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EAE866" w14:textId="4848BF3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Orlando Convention Center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</w:tbl>
    <w:p w14:paraId="04F764E5" w14:textId="77777777" w:rsidR="004144F3" w:rsidRDefault="004144F3" w:rsidP="004144F3">
      <w:pPr>
        <w:spacing w:after="0" w:line="276" w:lineRule="auto"/>
        <w:rPr>
          <w:rFonts w:ascii="Poppins" w:eastAsia="Calibri" w:hAnsi="Poppins" w:cs="Poppins"/>
          <w:bCs/>
          <w:color w:val="FF0000"/>
          <w:szCs w:val="21"/>
          <w:lang w:eastAsia="en-US"/>
        </w:rPr>
      </w:pPr>
      <w:r w:rsidRPr="004144F3">
        <w:rPr>
          <w:rFonts w:ascii="Poppins" w:eastAsia="Calibri" w:hAnsi="Poppins" w:cs="Poppins"/>
          <w:bCs/>
          <w:color w:val="FF000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FF0000"/>
          <w:sz w:val="20"/>
          <w:szCs w:val="20"/>
          <w:lang w:val="es-PE" w:eastAsia="en-US"/>
        </w:rPr>
        <w:t>Desayuno incluido.</w:t>
      </w:r>
      <w:r w:rsidRPr="004144F3">
        <w:rPr>
          <w:rFonts w:ascii="Poppins" w:eastAsia="Calibri" w:hAnsi="Poppins" w:cs="Poppins"/>
          <w:bCs/>
          <w:color w:val="FF0000"/>
          <w:szCs w:val="21"/>
          <w:lang w:eastAsia="en-US"/>
        </w:rPr>
        <w:t xml:space="preserve"> </w:t>
      </w:r>
    </w:p>
    <w:p w14:paraId="0F8ECED0" w14:textId="633A1239" w:rsidR="004144F3" w:rsidRPr="004144F3" w:rsidRDefault="004144F3" w:rsidP="004144F3">
      <w:pPr>
        <w:spacing w:after="0" w:line="276" w:lineRule="auto"/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</w:pPr>
      <w:r w:rsidRPr="004144F3">
        <w:rPr>
          <w:rFonts w:ascii="Poppins" w:eastAsia="Calibri" w:hAnsi="Poppins" w:cs="Poppins"/>
          <w:bCs/>
          <w:color w:val="00B0F0"/>
          <w:szCs w:val="21"/>
          <w:lang w:eastAsia="en-US"/>
        </w:rPr>
        <w:t xml:space="preserve"> </w:t>
      </w:r>
      <w:r w:rsidRPr="004144F3">
        <w:rPr>
          <w:rFonts w:ascii="Poppins" w:eastAsia="Calibri" w:hAnsi="Poppins" w:cs="Poppins"/>
          <w:bCs/>
          <w:color w:val="00B0F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  <w:t>Recargo de Resort Fee (Este recargo adicional debe ser pagado directamente en el hotel).</w:t>
      </w:r>
    </w:p>
    <w:p w14:paraId="76492387" w14:textId="3F4C2A1A" w:rsidR="003E2E44" w:rsidRDefault="003E2E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7F7FF7C" w14:textId="77777777" w:rsidR="004144F3" w:rsidRPr="004144F3" w:rsidRDefault="004144F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4F215716" w14:textId="77777777" w:rsidR="009749C0" w:rsidRDefault="009408CE" w:rsidP="00DA444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CF96C76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686"/>
        <w:gridCol w:w="1274"/>
        <w:gridCol w:w="988"/>
        <w:gridCol w:w="988"/>
        <w:gridCol w:w="1557"/>
        <w:gridCol w:w="981"/>
        <w:gridCol w:w="972"/>
      </w:tblGrid>
      <w:tr w:rsidR="009749C0" w:rsidRPr="00E20BAF" w14:paraId="51CFEC13" w14:textId="064A0F6A" w:rsidTr="00040196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732FDE1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228" w14:textId="6072BDE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E68036E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7DD" w14:textId="0FBC133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0FF" w14:textId="5752881A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35F" w14:textId="3CB719EB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JNR 10-15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D1" w14:textId="0245CD07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0A56BF" w:rsidRPr="00E20BAF" w14:paraId="4E429CA6" w14:textId="037DBF9B" w:rsidTr="00040196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28D0543" w:rsidR="000A56BF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2FDC4" w14:textId="0134D493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AA6599E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F1467" w14:textId="4D59ADB5" w:rsidR="000A56BF" w:rsidRPr="0022671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2671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929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EB199" w14:textId="626E63E5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F2918" w14:textId="3BF0BBD2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41CE2" w14:textId="794D6F89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564</w:t>
            </w:r>
          </w:p>
        </w:tc>
      </w:tr>
      <w:tr w:rsidR="000A56BF" w:rsidRPr="00E20BAF" w14:paraId="005A1A95" w14:textId="636006F4" w:rsidTr="00040196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DC6F" w14:textId="02CE5E8E" w:rsidR="000A56B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F92A6" w14:textId="6EAE3127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9BBC0" w14:textId="7E996C09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1177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49F98" w14:textId="0C31EC7E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B8B2C" w14:textId="44FF01C6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6E19D" w14:textId="2A18AC4E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0ACCB4" w14:textId="13990EFC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564</w:t>
            </w:r>
          </w:p>
        </w:tc>
      </w:tr>
      <w:tr w:rsidR="000A56BF" w:rsidRPr="00E20BAF" w14:paraId="4620A419" w14:textId="3A252FE1" w:rsidTr="00040196">
        <w:trPr>
          <w:trHeight w:val="6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F164" w14:textId="352DDC6F" w:rsidR="000A56BF" w:rsidRPr="009F52A2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 superior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F4D36" w14:textId="12ADA2DB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20030" w14:textId="44290C21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1DF6AB" w14:textId="132FBD90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CF807" w14:textId="4422F459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412C3" w14:textId="059177F1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638CD" w14:textId="7C31565F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564</w:t>
            </w:r>
          </w:p>
        </w:tc>
      </w:tr>
      <w:tr w:rsidR="000A56BF" w:rsidRPr="00E20BAF" w14:paraId="1A1B1396" w14:textId="0CD53D58" w:rsidTr="00040196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D9B9" w14:textId="135D1EED" w:rsidR="000A56BF" w:rsidRPr="009F52A2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543A1" w14:textId="57C4CF54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064E3" w14:textId="5A6B14A3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3B136F" w14:textId="0A85A582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5614B" w14:textId="33107182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2372A" w14:textId="58BC5CCD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1871D" w14:textId="70DBF1A2" w:rsidR="000A56BF" w:rsidRPr="002A1D00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564</w:t>
            </w:r>
          </w:p>
        </w:tc>
      </w:tr>
    </w:tbl>
    <w:p w14:paraId="6B5D7320" w14:textId="77777777" w:rsidR="00040196" w:rsidRDefault="00040196" w:rsidP="009749C0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A5F1164" w14:textId="3629598E" w:rsidR="009749C0" w:rsidRPr="009749C0" w:rsidRDefault="009749C0" w:rsidP="009749C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SIN HOTELERIA</w:t>
      </w:r>
      <w:r w:rsidR="00040196">
        <w:rPr>
          <w:rFonts w:ascii="Poppins" w:hAnsi="Poppins" w:cs="Poppins"/>
          <w:b/>
          <w:color w:val="002060"/>
          <w:sz w:val="28"/>
          <w:szCs w:val="24"/>
        </w:rPr>
        <w:t xml:space="preserve"> – SOLO SERVICIOS </w:t>
      </w:r>
    </w:p>
    <w:p w14:paraId="1C2AE1AD" w14:textId="77777777" w:rsidR="009749C0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420741A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9" w:type="dxa"/>
        <w:jc w:val="center"/>
        <w:tblLook w:val="04A0" w:firstRow="1" w:lastRow="0" w:firstColumn="1" w:lastColumn="0" w:noHBand="0" w:noVBand="1"/>
      </w:tblPr>
      <w:tblGrid>
        <w:gridCol w:w="1267"/>
        <w:gridCol w:w="973"/>
        <w:gridCol w:w="973"/>
        <w:gridCol w:w="1527"/>
        <w:gridCol w:w="1088"/>
        <w:gridCol w:w="931"/>
      </w:tblGrid>
      <w:tr w:rsidR="009749C0" w:rsidRPr="00E20BAF" w14:paraId="6A28FEBA" w14:textId="77777777" w:rsidTr="0004019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8CD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3DC" w14:textId="2DEDD4FC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4A3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67" w14:textId="3D3B7B16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44E" w14:textId="0FF3020F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JNR </w:t>
            </w:r>
            <w:r w:rsidR="002A1D0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D7" w14:textId="00B444ED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0A56BF" w:rsidRPr="002A1D00" w14:paraId="43BE9112" w14:textId="77777777" w:rsidTr="00040196">
        <w:trPr>
          <w:trHeight w:val="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8998A" w14:textId="140DC745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C70FA3" w14:textId="57264A9C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AFA527" w14:textId="56B8A4D4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729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F80D8" w14:textId="7A234203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DE9060" w14:textId="4B897B03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5654D" w14:textId="6F6195E4" w:rsidR="000A56BF" w:rsidRPr="000A56BF" w:rsidRDefault="000A56BF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A56B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564</w:t>
            </w:r>
          </w:p>
        </w:tc>
      </w:tr>
    </w:tbl>
    <w:p w14:paraId="4030C76A" w14:textId="77777777" w:rsidR="009749C0" w:rsidRPr="002A1D00" w:rsidRDefault="009749C0" w:rsidP="003E2E44">
      <w:pPr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91A17EA" w14:textId="77C29411" w:rsidR="00790A47" w:rsidRPr="00371901" w:rsidRDefault="009F52A2" w:rsidP="003719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2755374A" w14:textId="3E5BDAA9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4E049A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6281"/>
        <w:gridCol w:w="1275"/>
      </w:tblGrid>
      <w:tr w:rsidR="00790A47" w:rsidRPr="00E20BAF" w14:paraId="0A3898A7" w14:textId="77777777" w:rsidTr="00D53771">
        <w:trPr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95CBCFC" w:rsidR="00790A47" w:rsidRPr="00E20BAF" w:rsidRDefault="0040421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04219" w:rsidRPr="00E20BAF" w14:paraId="78BCC60A" w14:textId="77777777" w:rsidTr="00D53771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616AC09C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llegada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21:00hrs a 06:00hrs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20DE7965" w:rsidR="00404219" w:rsidRPr="009F52A2" w:rsidRDefault="00D53771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86</w:t>
            </w:r>
          </w:p>
        </w:tc>
      </w:tr>
      <w:tr w:rsidR="00404219" w:rsidRPr="00404219" w14:paraId="6976120D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9349" w14:textId="402AEA0F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salida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24:00hrs a 09:00hrs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52B98" w14:textId="6055A44F" w:rsidR="00404219" w:rsidRPr="00404219" w:rsidRDefault="00D53771" w:rsidP="0040421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86</w:t>
            </w:r>
          </w:p>
        </w:tc>
      </w:tr>
      <w:tr w:rsidR="009D3A24" w:rsidRPr="00404219" w14:paraId="390C15F1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FA85C" w14:textId="04CCF4C0" w:rsidR="009D3A24" w:rsidRPr="009D3A24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Todo infante de 0 a 2 años deberá pagar un cargo por</w:t>
            </w:r>
          </w:p>
          <w:p w14:paraId="04D4F304" w14:textId="127A9C5A" w:rsidR="009D3A24" w:rsidRPr="00D53771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cada vía o servicio entre Miami – Orlando y Orlando - Miami.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9B92" w14:textId="4445938F" w:rsidR="009D3A24" w:rsidRPr="009D3A24" w:rsidRDefault="009D3A24" w:rsidP="009D3A2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41</w:t>
            </w:r>
          </w:p>
        </w:tc>
      </w:tr>
    </w:tbl>
    <w:p w14:paraId="6D382E0B" w14:textId="77777777" w:rsidR="00D53771" w:rsidRDefault="00D5377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B4E28A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82CCAE3" w:rsidR="009408CE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2FB76" w14:textId="3788333F" w:rsidR="001A6CE0" w:rsidRPr="001A6CE0" w:rsidRDefault="00807CDD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Todos los traslados</w:t>
      </w:r>
      <w:r w:rsid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en servicio </w:t>
      </w:r>
      <w:r w:rsidR="001A6CE0"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REGULAR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para traslados privados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solicitar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recotización</w:t>
      </w:r>
      <w:proofErr w:type="spellEnd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="001A6CE0" w:rsidRPr="001A6CE0">
        <w:t xml:space="preserve"> </w:t>
      </w:r>
    </w:p>
    <w:p w14:paraId="07610D98" w14:textId="4AFB878E" w:rsidR="001A6CE0" w:rsidRPr="001A6CE0" w:rsidRDefault="001A6CE0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nocturnos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llegada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21:00hrs a 06:00hrs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de 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24:00hrs a 09:00hrs 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>tendrán un suplemento a considerar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(ver tabla de suplemento)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27A57740" w14:textId="2ECEC740" w:rsidR="001C5FAB" w:rsidRPr="001C5FAB" w:rsidRDefault="00B963DF" w:rsidP="001C5FA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Hoteles ubicados en área de Playa (Miami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Beach) NO se confirmarán en temporada alta o fechas especiales, si los pasajeros quieren hospedaje en esta área se podrá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recotizar, cualquier diferencia a pagar según la categoría y disponibilidad del hotel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A6F4041" w14:textId="7FF9A7C0" w:rsidR="005515FA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Costos de servicios aplican para hoteles ubicados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área de International Drive y área de Lake Buena Vista. Tarifas sujetas a cambio sin previo aviso</w:t>
      </w:r>
    </w:p>
    <w:p w14:paraId="35795DD6" w14:textId="6342D53B" w:rsidR="008B0D13" w:rsidRPr="008B0D13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El horario aproximado para el CHECK-IN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a partir de las 16:00hrs y el CHECK-OUT a partir de las 11:00hrs. Pasajeros que requieran un ingreso más temprano o salida más tarde de la establecida por el hotel, deberán asumir el costo adicional por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dicha solicitud en destino.</w:t>
      </w:r>
    </w:p>
    <w:p w14:paraId="21375BF9" w14:textId="3FC9A2DA" w:rsidR="003E2E44" w:rsidRPr="00807CDD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caso de no encontrar disponibilidad en los hoteles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especificados, se buscará una opción similar respetando el precio del programa. Reservas de paquetes que incluyan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más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807C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siete (7) habitaciones se considera como grupo, por lo cual se deberá recotizar cualquier tarifa.</w:t>
      </w:r>
    </w:p>
    <w:p w14:paraId="698CC27B" w14:textId="19988F97" w:rsidR="00B963DF" w:rsidRDefault="0081180E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 </w:t>
      </w: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acomodación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hotelera es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estándar,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doble se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considerará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cama en donde van 02 PAX y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en triple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cuádruple serán 02 camas.  </w:t>
      </w:r>
    </w:p>
    <w:p w14:paraId="10FAACE2" w14:textId="1987F3EE" w:rsidR="00B963DF" w:rsidRDefault="00852121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5212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Recargo de Resort Fee</w:t>
      </w:r>
      <w:r w:rsidRPr="0085212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(Este recargo adicional debe ser pagado directamente en el hotel)</w:t>
      </w:r>
    </w:p>
    <w:p w14:paraId="214E7C3A" w14:textId="2057FE57" w:rsidR="00AC0835" w:rsidRPr="00F82D57" w:rsidRDefault="005515FA" w:rsidP="00F82D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LAS </w:t>
      </w:r>
      <w:r w:rsidR="00BE5BA2"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CANCELACIONES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E5BA2" w:rsidRPr="005515FA">
        <w:rPr>
          <w:rFonts w:ascii="Poppins" w:hAnsi="Poppins" w:cs="Poppins"/>
          <w:color w:val="1F3864" w:themeColor="accent5" w:themeShade="80"/>
          <w:sz w:val="20"/>
          <w:szCs w:val="20"/>
        </w:rPr>
        <w:t>deben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efectuarse quince (15) días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antes de la fecha de llegada de los pasajeros, de lo contrario se aplicará la multa respectiva por cancelación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Cancelaciones realizadas fuera de este plazo están sujetas a incurrir en penalidades por políticas de cancelación las cuales varían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de acuerdo a los servicios solicitados. Cancelaciones realizadas a menos de 48 HORAS podrán tener hasta el 100% de penalidad del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total de la reserva. </w:t>
      </w:r>
    </w:p>
    <w:p w14:paraId="0FF717CA" w14:textId="460B8FBA" w:rsidR="00BE5BA2" w:rsidRDefault="00F82D57" w:rsidP="00BE5B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 DIARIAS excepto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fechas festivas como: </w:t>
      </w:r>
    </w:p>
    <w:p w14:paraId="6E906EA1" w14:textId="640F5A31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Martin </w:t>
      </w: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Luthet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King: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17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al 21 de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enero, 2025</w:t>
      </w:r>
    </w:p>
    <w:p w14:paraId="7DC99FA4" w14:textId="5EB7205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President's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14 al 18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febrero,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</w:p>
    <w:p w14:paraId="51F892AB" w14:textId="698F8A2A" w:rsidR="00BE5BA2" w:rsidRPr="00B465A8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Spring Break: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16 a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31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arzo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CC6BF25" w14:textId="33F29B6D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Passover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Holiday: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05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13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8DA73E9" w14:textId="1DF56C1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Semana Santa: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 12 al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1881A6B" w14:textId="5E8FB9CF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Memorial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23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27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B3AD9C5" w14:textId="61B2FC7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Juneteenth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18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22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3C38B454" w14:textId="6ED935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Independence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04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j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ulio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121CD0AB" w14:textId="1D83CD87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Labor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29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agosto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03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septiembre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14A80901" w14:textId="2FA2B6DE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Columbus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06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19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octubre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36FFD05C" w14:textId="2CBE2B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Veterans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12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58B7BF71" w14:textId="73D60ED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Thanksgiving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noviembre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,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2025 </w:t>
      </w:r>
    </w:p>
    <w:p w14:paraId="6DD20CB1" w14:textId="2DF72507" w:rsidR="00B963DF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03 </w:t>
      </w:r>
      <w:r w:rsidR="00EC2DA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EC2DA6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="00B963DF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2026,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estas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fechas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están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sujetas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modificación.</w:t>
      </w:r>
    </w:p>
    <w:p w14:paraId="625770C5" w14:textId="5C12C855" w:rsidR="005515FA" w:rsidRDefault="00486511" w:rsidP="004865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RECEPCIÓN DE 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Tiempo máximo de espera en vuelos nacionales es de UN (1)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hora, el tiempo máximo de espera en vuelos Internacionales es de DOS (2) horas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8EF5AD" w14:textId="4101CD2A" w:rsidR="00486511" w:rsidRPr="00647780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POLITICA DE NIÑOS: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Infantes De 0 a 2 años, Niños de 3 a 9 años y junio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10 a 15 años. Mayores de 15 años son considerados como adultos.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Valores de Ingresos de parques temáticos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después de 10 años son considerados </w:t>
      </w:r>
      <w:r w:rsidR="00F82D57"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adultos.</w:t>
      </w:r>
    </w:p>
    <w:p w14:paraId="4671FC21" w14:textId="71E6D8DF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REEMBOLSOS: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realizará ningún reembolso de servicios que el pasajero pierda por</w:t>
      </w:r>
    </w:p>
    <w:p w14:paraId="03702D84" w14:textId="401AC5C4" w:rsidR="008B0D13" w:rsidRDefault="00740C85" w:rsidP="00740C8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no seguir las instrucciones claramente especificadas en confirmación de servicios o que estén estipuladas en este manual.</w:t>
      </w:r>
    </w:p>
    <w:p w14:paraId="5E21D9A0" w14:textId="1504B2B8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PAGOS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Toda reserva debe ser prepagada mínimo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días antes de la llegada de los pasajeros, de lo contrario NO será posible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brindar el servicio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740C85" w:rsidRPr="00740C8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89AC70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223">
      <w:rPr>
        <w:rFonts w:ascii="Poppins" w:hAnsi="Poppins" w:cs="Poppins"/>
        <w:b/>
        <w:bCs/>
        <w:noProof/>
      </w:rPr>
      <w:t>MIAMI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00B5F">
      <w:rPr>
        <w:rFonts w:ascii="Poppins" w:hAnsi="Poppins" w:cs="Poppins"/>
        <w:b/>
        <w:bCs/>
      </w:rPr>
      <w:t xml:space="preserve">VERONICA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729573913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5126"/>
    <w:multiLevelType w:val="hybridMultilevel"/>
    <w:tmpl w:val="3956E7A4"/>
    <w:lvl w:ilvl="0" w:tplc="1680AF00">
      <w:start w:val="6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5EC"/>
    <w:multiLevelType w:val="hybridMultilevel"/>
    <w:tmpl w:val="51105A82"/>
    <w:lvl w:ilvl="0" w:tplc="479EE90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35918"/>
    <w:multiLevelType w:val="hybridMultilevel"/>
    <w:tmpl w:val="61E4F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1B760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16"/>
  </w:num>
  <w:num w:numId="22">
    <w:abstractNumId w:val="13"/>
  </w:num>
  <w:num w:numId="23">
    <w:abstractNumId w:val="9"/>
  </w:num>
  <w:num w:numId="24">
    <w:abstractNumId w:val="6"/>
  </w:num>
  <w:num w:numId="25">
    <w:abstractNumId w:val="20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0D8C"/>
    <w:rsid w:val="00021803"/>
    <w:rsid w:val="00022EA4"/>
    <w:rsid w:val="0002309E"/>
    <w:rsid w:val="00023674"/>
    <w:rsid w:val="00025965"/>
    <w:rsid w:val="00025F66"/>
    <w:rsid w:val="000311BB"/>
    <w:rsid w:val="00032940"/>
    <w:rsid w:val="000349D9"/>
    <w:rsid w:val="00037C01"/>
    <w:rsid w:val="00040196"/>
    <w:rsid w:val="000453BF"/>
    <w:rsid w:val="000477E1"/>
    <w:rsid w:val="0005512C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372"/>
    <w:rsid w:val="000A56BF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798"/>
    <w:rsid w:val="000F38E5"/>
    <w:rsid w:val="000F6A99"/>
    <w:rsid w:val="00100041"/>
    <w:rsid w:val="00100834"/>
    <w:rsid w:val="00103731"/>
    <w:rsid w:val="00112B8D"/>
    <w:rsid w:val="00114039"/>
    <w:rsid w:val="00115F64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7EE8"/>
    <w:rsid w:val="001612B0"/>
    <w:rsid w:val="001638C1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6CE0"/>
    <w:rsid w:val="001B23DF"/>
    <w:rsid w:val="001B4474"/>
    <w:rsid w:val="001B6514"/>
    <w:rsid w:val="001C5FAB"/>
    <w:rsid w:val="001C6F30"/>
    <w:rsid w:val="001C7C4C"/>
    <w:rsid w:val="001D1FE6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B5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671F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900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DE6"/>
    <w:rsid w:val="002A1D00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0F82"/>
    <w:rsid w:val="00311A47"/>
    <w:rsid w:val="003139EA"/>
    <w:rsid w:val="003149EA"/>
    <w:rsid w:val="00315993"/>
    <w:rsid w:val="00321AC4"/>
    <w:rsid w:val="00325926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901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2E44"/>
    <w:rsid w:val="003E344A"/>
    <w:rsid w:val="003E58D6"/>
    <w:rsid w:val="003E68F9"/>
    <w:rsid w:val="003E783C"/>
    <w:rsid w:val="003F1363"/>
    <w:rsid w:val="003F2E15"/>
    <w:rsid w:val="003F3ADF"/>
    <w:rsid w:val="003F4F89"/>
    <w:rsid w:val="003F7490"/>
    <w:rsid w:val="00403CCE"/>
    <w:rsid w:val="00404219"/>
    <w:rsid w:val="00406A26"/>
    <w:rsid w:val="004144F3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6511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9A8"/>
    <w:rsid w:val="004F6D22"/>
    <w:rsid w:val="004F7A09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5FA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000D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2AF"/>
    <w:rsid w:val="00616DD2"/>
    <w:rsid w:val="00620487"/>
    <w:rsid w:val="006234A7"/>
    <w:rsid w:val="00624239"/>
    <w:rsid w:val="00625D17"/>
    <w:rsid w:val="006425F3"/>
    <w:rsid w:val="00642E7F"/>
    <w:rsid w:val="0064778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4DB4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0C85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4CB"/>
    <w:rsid w:val="00774A22"/>
    <w:rsid w:val="007764DF"/>
    <w:rsid w:val="00776C17"/>
    <w:rsid w:val="00776FC9"/>
    <w:rsid w:val="00781461"/>
    <w:rsid w:val="00782FA3"/>
    <w:rsid w:val="007848E6"/>
    <w:rsid w:val="00787166"/>
    <w:rsid w:val="00790733"/>
    <w:rsid w:val="00790A47"/>
    <w:rsid w:val="0079168D"/>
    <w:rsid w:val="00791E01"/>
    <w:rsid w:val="00796F00"/>
    <w:rsid w:val="007A0A55"/>
    <w:rsid w:val="007A0CF2"/>
    <w:rsid w:val="007A58DE"/>
    <w:rsid w:val="007A5E5A"/>
    <w:rsid w:val="007A6C7B"/>
    <w:rsid w:val="007B4304"/>
    <w:rsid w:val="007B63A7"/>
    <w:rsid w:val="007B755A"/>
    <w:rsid w:val="007D05E1"/>
    <w:rsid w:val="007D3829"/>
    <w:rsid w:val="007D5208"/>
    <w:rsid w:val="007D54C1"/>
    <w:rsid w:val="007D6692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7CDD"/>
    <w:rsid w:val="0081180E"/>
    <w:rsid w:val="008165AF"/>
    <w:rsid w:val="008206BE"/>
    <w:rsid w:val="008236C2"/>
    <w:rsid w:val="00824819"/>
    <w:rsid w:val="0082569B"/>
    <w:rsid w:val="00826041"/>
    <w:rsid w:val="0082752F"/>
    <w:rsid w:val="008330CA"/>
    <w:rsid w:val="008347CA"/>
    <w:rsid w:val="0083723A"/>
    <w:rsid w:val="00837576"/>
    <w:rsid w:val="008378AD"/>
    <w:rsid w:val="008468B2"/>
    <w:rsid w:val="00846A15"/>
    <w:rsid w:val="0084725F"/>
    <w:rsid w:val="00852121"/>
    <w:rsid w:val="00855329"/>
    <w:rsid w:val="00861684"/>
    <w:rsid w:val="008673CD"/>
    <w:rsid w:val="0087109A"/>
    <w:rsid w:val="00880575"/>
    <w:rsid w:val="008817DB"/>
    <w:rsid w:val="00884335"/>
    <w:rsid w:val="00884F50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D13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085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658"/>
    <w:rsid w:val="00970EB8"/>
    <w:rsid w:val="00971683"/>
    <w:rsid w:val="00971D0C"/>
    <w:rsid w:val="00972991"/>
    <w:rsid w:val="0097448F"/>
    <w:rsid w:val="009749C0"/>
    <w:rsid w:val="00984F36"/>
    <w:rsid w:val="00986DF0"/>
    <w:rsid w:val="00992E4D"/>
    <w:rsid w:val="009937CF"/>
    <w:rsid w:val="009A0339"/>
    <w:rsid w:val="009A2C6F"/>
    <w:rsid w:val="009A2DF2"/>
    <w:rsid w:val="009A3E03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2223"/>
    <w:rsid w:val="009D3A24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2A2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47FC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621A"/>
    <w:rsid w:val="00AC0835"/>
    <w:rsid w:val="00AC108D"/>
    <w:rsid w:val="00AD4A1E"/>
    <w:rsid w:val="00AD6D4C"/>
    <w:rsid w:val="00AD70AE"/>
    <w:rsid w:val="00AE3905"/>
    <w:rsid w:val="00AE58D6"/>
    <w:rsid w:val="00AE5EFB"/>
    <w:rsid w:val="00AE75B5"/>
    <w:rsid w:val="00AF111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157"/>
    <w:rsid w:val="00B16B8C"/>
    <w:rsid w:val="00B17027"/>
    <w:rsid w:val="00B24AEB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65A8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3DF"/>
    <w:rsid w:val="00BA11BF"/>
    <w:rsid w:val="00BA1A7C"/>
    <w:rsid w:val="00BB587B"/>
    <w:rsid w:val="00BB6865"/>
    <w:rsid w:val="00BB6F1E"/>
    <w:rsid w:val="00BB7A5F"/>
    <w:rsid w:val="00BB7F5C"/>
    <w:rsid w:val="00BC1F70"/>
    <w:rsid w:val="00BC28F5"/>
    <w:rsid w:val="00BC5ADF"/>
    <w:rsid w:val="00BC6058"/>
    <w:rsid w:val="00BD6DFB"/>
    <w:rsid w:val="00BE4AD7"/>
    <w:rsid w:val="00BE5BA2"/>
    <w:rsid w:val="00BE6364"/>
    <w:rsid w:val="00BF011E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B7BFC"/>
    <w:rsid w:val="00CC0E57"/>
    <w:rsid w:val="00CC301A"/>
    <w:rsid w:val="00CD010E"/>
    <w:rsid w:val="00CD0205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4487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771"/>
    <w:rsid w:val="00D54A93"/>
    <w:rsid w:val="00D5624B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444C"/>
    <w:rsid w:val="00DA5F3C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1A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6690"/>
    <w:rsid w:val="00E3746B"/>
    <w:rsid w:val="00E41C04"/>
    <w:rsid w:val="00E430C2"/>
    <w:rsid w:val="00E459BE"/>
    <w:rsid w:val="00E45F7D"/>
    <w:rsid w:val="00E46243"/>
    <w:rsid w:val="00E47A8B"/>
    <w:rsid w:val="00E5161A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2C95"/>
    <w:rsid w:val="00EA312C"/>
    <w:rsid w:val="00EA441C"/>
    <w:rsid w:val="00EA6B0D"/>
    <w:rsid w:val="00EB3447"/>
    <w:rsid w:val="00EB4FAD"/>
    <w:rsid w:val="00EC2DA6"/>
    <w:rsid w:val="00EC4D9D"/>
    <w:rsid w:val="00ED0E1C"/>
    <w:rsid w:val="00ED1567"/>
    <w:rsid w:val="00ED74F7"/>
    <w:rsid w:val="00ED7EE6"/>
    <w:rsid w:val="00EE10E7"/>
    <w:rsid w:val="00EF2789"/>
    <w:rsid w:val="00EF3318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3986"/>
    <w:rsid w:val="00F47034"/>
    <w:rsid w:val="00F47EB6"/>
    <w:rsid w:val="00F56C5C"/>
    <w:rsid w:val="00F60FA3"/>
    <w:rsid w:val="00F73F61"/>
    <w:rsid w:val="00F82980"/>
    <w:rsid w:val="00F82D57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8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70</cp:revision>
  <cp:lastPrinted>2015-08-28T20:23:00Z</cp:lastPrinted>
  <dcterms:created xsi:type="dcterms:W3CDTF">2025-04-15T23:07:00Z</dcterms:created>
  <dcterms:modified xsi:type="dcterms:W3CDTF">2025-04-16T20:03:00Z</dcterms:modified>
</cp:coreProperties>
</file>