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319C" w14:textId="1638DF94" w:rsidR="00F91D07" w:rsidRDefault="008F1AFB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  <w:r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  <w:drawing>
          <wp:anchor distT="0" distB="0" distL="114300" distR="114300" simplePos="0" relativeHeight="251658240" behindDoc="0" locked="0" layoutInCell="1" allowOverlap="1" wp14:anchorId="2F10DD07" wp14:editId="06A8640C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8098216" cy="10683240"/>
            <wp:effectExtent l="0" t="0" r="0" b="3810"/>
            <wp:wrapNone/>
            <wp:docPr id="16105747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216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F04F7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61CE42A8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40E01972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703D1243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71F28B19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00CF3A8B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29058EBC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55418A87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4E6C4647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2AD1033C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2F75EEC9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5A5674A0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41C515A3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40DBDD31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4DC16582" w14:textId="77777777" w:rsidR="00F91D07" w:rsidRDefault="00F91D07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0F601BB9" w14:textId="77777777" w:rsidR="00E1377D" w:rsidRPr="00B17842" w:rsidRDefault="00E1377D">
      <w:pPr>
        <w:jc w:val="center"/>
        <w:rPr>
          <w:rFonts w:ascii="Helvetica Neue" w:eastAsia="Helvetica Neue" w:hAnsi="Helvetica Neue" w:cs="Helvetica Neue"/>
          <w:b/>
          <w:color w:val="3C78D8"/>
          <w:sz w:val="44"/>
          <w:szCs w:val="48"/>
          <w:highlight w:val="white"/>
        </w:rPr>
      </w:pPr>
    </w:p>
    <w:p w14:paraId="75144678" w14:textId="77777777" w:rsidR="001F2372" w:rsidRDefault="001F2372">
      <w:pPr>
        <w:rPr>
          <w:rFonts w:ascii="Helvetica Neue" w:eastAsia="Helvetica Neue" w:hAnsi="Helvetica Neue" w:cs="Helvetica Neue"/>
          <w:color w:val="54A738"/>
        </w:rPr>
      </w:pPr>
    </w:p>
    <w:p w14:paraId="25E067A0" w14:textId="77777777"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14:paraId="2CF42CAF" w14:textId="77777777"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14:paraId="2E62FAF6" w14:textId="77777777" w:rsidR="00F91D07" w:rsidRDefault="00F91D07">
      <w:pPr>
        <w:rPr>
          <w:rFonts w:ascii="Helvetica Neue" w:eastAsia="Helvetica Neue" w:hAnsi="Helvetica Neue" w:cs="Helvetica Neue"/>
          <w:color w:val="54A738"/>
        </w:rPr>
      </w:pPr>
    </w:p>
    <w:p w14:paraId="26426A7D" w14:textId="77777777" w:rsidR="001F2372" w:rsidRDefault="002E39D6" w:rsidP="007E1C42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B17842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lastRenderedPageBreak/>
        <w:t>Itinerario:</w:t>
      </w:r>
      <w:r w:rsidR="00EB77F3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ab/>
      </w:r>
    </w:p>
    <w:p w14:paraId="723EA804" w14:textId="77777777" w:rsidR="008F1AFB" w:rsidRDefault="008F1AFB" w:rsidP="00DC178A">
      <w:pPr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</w:pPr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>Día 1: Dubái</w:t>
      </w:r>
    </w:p>
    <w:p w14:paraId="51887AAA" w14:textId="77777777" w:rsidR="008F1AFB" w:rsidRPr="008F1AFB" w:rsidRDefault="008F1AFB" w:rsidP="008F1AF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Llegada al Aeropuerto Internacional de Dubái. Recepción por un asistente de habla inglesa y traslado privado al hotel. Alojamiento por 5 noches en el Palace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Downtown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con desayuno.</w:t>
      </w:r>
    </w:p>
    <w:p w14:paraId="5B21DE80" w14:textId="77777777" w:rsidR="00963102" w:rsidRDefault="00963102" w:rsidP="0096310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14:paraId="3D61B8AE" w14:textId="52164AF4" w:rsidR="00EB77F3" w:rsidRDefault="008F1AF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>Día 2: Dubái – Tour Privado de la Ciudad (D)</w:t>
      </w:r>
    </w:p>
    <w:p w14:paraId="0A1450A4" w14:textId="31C3D9DE" w:rsidR="00993611" w:rsidRPr="00993611" w:rsidRDefault="008F1AFB" w:rsidP="00FE5225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Desayuno en el hotel. Mañana libre para actividades independientes.</w:t>
      </w: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br/>
        <w:t xml:space="preserve">Por la tarde, recorrido privado por la ciudad de Dubái con guía en inglés (duración aproximada de 8 horas). Este recorrido incluye una visita a la zona patrimonial de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Bastakia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, con sus torres de viento históricas. Se cruza el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Dubai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Creek en un barco tradicional Abra para visitar los zocos del oro y las especias.</w:t>
      </w: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br/>
        <w:t xml:space="preserve">Parada para fotos en el icónico Burj Al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Arab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y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Madinat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Jumeirah, con su ambiente de oasis mágico. Continuación por el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Dubai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Marina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Walk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, donde se admiran rascacielos y vistas modernas. Finaliza en el lago Burj, con el espectáculo de las fuentes de Dubái al pie del Burj Khalifa y entrada a la planta 148. Regreso al hotel y alojamiento.</w:t>
      </w:r>
    </w:p>
    <w:p w14:paraId="4866540E" w14:textId="77777777" w:rsidR="0046288F" w:rsidRDefault="0046288F" w:rsidP="0046288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14:paraId="18B38AEF" w14:textId="53AD85C4" w:rsidR="00EB77F3" w:rsidRDefault="008F1AFB" w:rsidP="005B6A4B">
      <w:pPr>
        <w:rPr>
          <w:rFonts w:ascii="Helvetica Neue" w:eastAsia="Helvetica Neue" w:hAnsi="Helvetica Neue" w:cs="Helvetica Neue"/>
          <w:b/>
          <w:color w:val="00CC00"/>
          <w:sz w:val="32"/>
          <w:szCs w:val="36"/>
        </w:rPr>
      </w:pPr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>Día 3: Dubái – Safari Real por el Desierto (D, C)</w:t>
      </w:r>
    </w:p>
    <w:p w14:paraId="0B94E270" w14:textId="428C52E1" w:rsidR="00FD65D1" w:rsidRPr="00FD65D1" w:rsidRDefault="008F1AFB" w:rsidP="00FE5225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Desayuno en el hotel. Mañana libre para actividades independientes.</w:t>
      </w: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br/>
        <w:t xml:space="preserve">Por la tarde, entre las 15:00 y 15:30, encuentro con el conductor para un safari en 4x4 por el desierto. Este exclusivo recorrido incluye una cena típica de barbacoa en el restaurante Al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Hadeerah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Bab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Al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Shams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, con estaciones de cocina en vivo y buffet. Además, actividades como paseo en camello, espectáculo de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Tannoura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, danza del vientre y espectáculos culturales. Regreso al hotel. Alojamiento.</w:t>
      </w:r>
    </w:p>
    <w:p w14:paraId="69BF9EB4" w14:textId="77777777" w:rsidR="00EB77F3" w:rsidRDefault="00EB77F3" w:rsidP="0046288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 Narrow" w:eastAsia="Arial Narrow" w:hAnsi="Arial Narrow" w:cs="Arial Narrow"/>
        </w:rPr>
      </w:pPr>
    </w:p>
    <w:p w14:paraId="3EE1D5F9" w14:textId="77777777" w:rsidR="008F1AFB" w:rsidRDefault="008F1AFB" w:rsidP="00FE5225">
      <w:pPr>
        <w:jc w:val="both"/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</w:pPr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 xml:space="preserve">Día 4: Dubái – Espectáculo La Perle </w:t>
      </w:r>
      <w:proofErr w:type="spellStart"/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>by</w:t>
      </w:r>
      <w:proofErr w:type="spellEnd"/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 xml:space="preserve"> Dragone (D)</w:t>
      </w:r>
    </w:p>
    <w:p w14:paraId="45CF9D63" w14:textId="7C821E5D" w:rsidR="00FE5225" w:rsidRPr="00FE5225" w:rsidRDefault="008F1AFB" w:rsidP="00FE5225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Desayuno en el hotel. Mañana libre para actividades independientes.</w:t>
      </w: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br/>
        <w:t xml:space="preserve">Por la tarde, traslado para disfrutar del espectáculo </w:t>
      </w:r>
      <w:r w:rsidRPr="008F1AFB">
        <w:rPr>
          <w:rFonts w:ascii="Helvetica Neue" w:eastAsia="Helvetica Neue" w:hAnsi="Helvetica Neue" w:cs="Helvetica Neue"/>
          <w:i/>
          <w:iCs/>
          <w:color w:val="16384F"/>
          <w:sz w:val="28"/>
          <w:szCs w:val="32"/>
        </w:rPr>
        <w:t xml:space="preserve">La Perle </w:t>
      </w:r>
      <w:proofErr w:type="spellStart"/>
      <w:r w:rsidRPr="008F1AFB">
        <w:rPr>
          <w:rFonts w:ascii="Helvetica Neue" w:eastAsia="Helvetica Neue" w:hAnsi="Helvetica Neue" w:cs="Helvetica Neue"/>
          <w:i/>
          <w:iCs/>
          <w:color w:val="16384F"/>
          <w:sz w:val="28"/>
          <w:szCs w:val="32"/>
        </w:rPr>
        <w:t>by</w:t>
      </w:r>
      <w:proofErr w:type="spellEnd"/>
      <w:r w:rsidRPr="008F1AFB">
        <w:rPr>
          <w:rFonts w:ascii="Helvetica Neue" w:eastAsia="Helvetica Neue" w:hAnsi="Helvetica Neue" w:cs="Helvetica Neue"/>
          <w:i/>
          <w:iCs/>
          <w:color w:val="16384F"/>
          <w:sz w:val="28"/>
          <w:szCs w:val="32"/>
        </w:rPr>
        <w:t xml:space="preserve"> Dragone</w:t>
      </w: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, una experiencia artística inmersiva con acrobacias aéreas y acuáticas en un teatro diseñado a medida. Regreso al hotel y alojamiento.</w:t>
      </w:r>
    </w:p>
    <w:p w14:paraId="48D5B19C" w14:textId="77777777" w:rsidR="00FD65D1" w:rsidRPr="00FD65D1" w:rsidRDefault="00FD65D1" w:rsidP="00FD65D1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14:paraId="554A668E" w14:textId="77777777" w:rsidR="008F1AFB" w:rsidRDefault="008F1AFB" w:rsidP="00FE5225">
      <w:pPr>
        <w:jc w:val="both"/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</w:pPr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lastRenderedPageBreak/>
        <w:t xml:space="preserve">Día 5: Abu </w:t>
      </w:r>
      <w:proofErr w:type="spellStart"/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>Dhabi</w:t>
      </w:r>
      <w:proofErr w:type="spellEnd"/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 xml:space="preserve"> – Tour Ciudad, Museo del Louvre y Palacio Presidencial (D)</w:t>
      </w:r>
    </w:p>
    <w:p w14:paraId="733CE0BA" w14:textId="77777777" w:rsidR="008F1AFB" w:rsidRPr="008F1AFB" w:rsidRDefault="008F1AFB" w:rsidP="008F1AFB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Desayuno en el hotel. A las 09:00, salida para una visita a Abu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Dhabi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. Se admira la Gran Mezquita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Sheikh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Zayed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, se recorre la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Corniche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con su skyline y se visita el Palacio Presidencial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Qasr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Al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Watan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, una obra arquitectónica impresionante. Continuación hacia el Museo del Louvre Abu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Dhabi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, una joya arquitectónica que alberga exposiciones desde la prehistoria hasta la actualidad. Parada para fotos exteriores en el hotel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Emirates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Palace y el Ferrari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World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. Regreso al hotel en Dubái. Alojamiento.</w:t>
      </w:r>
    </w:p>
    <w:p w14:paraId="77E6B428" w14:textId="77777777" w:rsidR="00391E83" w:rsidRPr="00391E83" w:rsidRDefault="00391E83" w:rsidP="00FD65D1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14:paraId="2C0C168A" w14:textId="77777777" w:rsidR="008F1AFB" w:rsidRDefault="008F1AFB" w:rsidP="008F1AFB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 xml:space="preserve">Día 6: Dubái – Traslado a Atlantis </w:t>
      </w:r>
      <w:proofErr w:type="spellStart"/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>The</w:t>
      </w:r>
      <w:proofErr w:type="spellEnd"/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 xml:space="preserve"> Palm (D)</w:t>
      </w:r>
      <w:r w:rsidRPr="008F1AF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14:paraId="6F91D386" w14:textId="6ECF9175" w:rsidR="008F1AFB" w:rsidRDefault="008F1AFB" w:rsidP="008F1AFB">
      <w:pPr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  <w:t xml:space="preserve">Desayuno en el hotel. Traslado privado al Atlantis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  <w:t>The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  <w:t xml:space="preserve"> Palm, donde disfrutarás de una tarde libre. Incluye acceso al parque acuático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  <w:t>Aquaventure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  <w:t xml:space="preserve"> y el acuario </w:t>
      </w:r>
      <w:proofErr w:type="spellStart"/>
      <w:r w:rsidRPr="008F1AFB">
        <w:rPr>
          <w:rFonts w:ascii="Helvetica Neue" w:eastAsia="Helvetica Neue" w:hAnsi="Helvetica Neue" w:cs="Helvetica Neue"/>
          <w:i/>
          <w:iCs/>
          <w:color w:val="16384F"/>
          <w:sz w:val="28"/>
          <w:szCs w:val="32"/>
          <w:lang w:val="es-419"/>
        </w:rPr>
        <w:t>The</w:t>
      </w:r>
      <w:proofErr w:type="spellEnd"/>
      <w:r w:rsidRPr="008F1AFB">
        <w:rPr>
          <w:rFonts w:ascii="Helvetica Neue" w:eastAsia="Helvetica Neue" w:hAnsi="Helvetica Neue" w:cs="Helvetica Neue"/>
          <w:i/>
          <w:iCs/>
          <w:color w:val="16384F"/>
          <w:sz w:val="28"/>
          <w:szCs w:val="32"/>
          <w:lang w:val="es-419"/>
        </w:rPr>
        <w:t xml:space="preserve"> </w:t>
      </w:r>
      <w:proofErr w:type="spellStart"/>
      <w:r w:rsidRPr="008F1AFB">
        <w:rPr>
          <w:rFonts w:ascii="Helvetica Neue" w:eastAsia="Helvetica Neue" w:hAnsi="Helvetica Neue" w:cs="Helvetica Neue"/>
          <w:i/>
          <w:iCs/>
          <w:color w:val="16384F"/>
          <w:sz w:val="28"/>
          <w:szCs w:val="32"/>
          <w:lang w:val="es-419"/>
        </w:rPr>
        <w:t>Lost</w:t>
      </w:r>
      <w:proofErr w:type="spellEnd"/>
      <w:r w:rsidRPr="008F1AFB">
        <w:rPr>
          <w:rFonts w:ascii="Helvetica Neue" w:eastAsia="Helvetica Neue" w:hAnsi="Helvetica Neue" w:cs="Helvetica Neue"/>
          <w:i/>
          <w:iCs/>
          <w:color w:val="16384F"/>
          <w:sz w:val="28"/>
          <w:szCs w:val="32"/>
          <w:lang w:val="es-419"/>
        </w:rPr>
        <w:t xml:space="preserve"> Chambers</w:t>
      </w:r>
      <w:r w:rsidRPr="008F1AFB"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  <w:t>. Alojamiento en Atlantis con desayuno.</w:t>
      </w:r>
    </w:p>
    <w:p w14:paraId="46F6512B" w14:textId="77777777" w:rsidR="008F1AFB" w:rsidRDefault="008F1AFB" w:rsidP="008F1AFB">
      <w:pPr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</w:pPr>
    </w:p>
    <w:p w14:paraId="1531D474" w14:textId="77777777" w:rsidR="008F1AFB" w:rsidRDefault="008F1AFB" w:rsidP="008F1AFB">
      <w:pPr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  <w:lang w:val="es-419"/>
        </w:rPr>
      </w:pPr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>Día 7: Dubái – Día Libre (D)</w:t>
      </w:r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  <w:lang w:val="es-419"/>
        </w:rPr>
        <w:t xml:space="preserve"> </w:t>
      </w:r>
    </w:p>
    <w:p w14:paraId="5C27D0FC" w14:textId="6A31BB10" w:rsidR="008F1AFB" w:rsidRDefault="008F1AFB" w:rsidP="008F1AFB">
      <w:pPr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Desayuno en el hotel. Día libre para actividades independientes.</w:t>
      </w: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br/>
        <w:t xml:space="preserve">Sugerencias opcionales: paseo en helicóptero con vistas a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The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Palm Jumeirah,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The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World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Islands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, Burj Khalifa y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Dubai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Creek; o un recorrido privado con fotógrafo profesional para capturar recuerdos de los lugares más icónicos.</w:t>
      </w:r>
    </w:p>
    <w:p w14:paraId="4DD675E1" w14:textId="77777777" w:rsidR="008F1AFB" w:rsidRDefault="008F1AFB" w:rsidP="008F1AFB">
      <w:pPr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</w:pPr>
    </w:p>
    <w:p w14:paraId="6CB8C903" w14:textId="1B2FA413" w:rsidR="008F1AFB" w:rsidRDefault="008F1AFB" w:rsidP="008F1AFB">
      <w:pPr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F1AFB">
        <w:rPr>
          <w:rFonts w:ascii="Helvetica Neue" w:eastAsia="Helvetica Neue" w:hAnsi="Helvetica Neue" w:cs="Helvetica Neue"/>
          <w:b/>
          <w:bCs/>
          <w:color w:val="00CC00"/>
          <w:sz w:val="32"/>
          <w:szCs w:val="36"/>
        </w:rPr>
        <w:t>Día 8: Dubái</w:t>
      </w:r>
      <w:r w:rsidRPr="008F1AF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14:paraId="72ACDD75" w14:textId="4C2C3939" w:rsidR="008F1AFB" w:rsidRPr="008F1AFB" w:rsidRDefault="008F1AFB" w:rsidP="008F1AFB">
      <w:pPr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  <w:lang w:val="es-419"/>
        </w:rPr>
        <w:t>Desayuno en el hotel. Traslado privado al aeropuerto para el vuelo de salida.</w:t>
      </w:r>
    </w:p>
    <w:p w14:paraId="721A4567" w14:textId="486CAB2C" w:rsidR="00FE5225" w:rsidRPr="00725548" w:rsidRDefault="00FE5225" w:rsidP="008F1AFB">
      <w:pPr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14:paraId="74E57994" w14:textId="77777777" w:rsidR="001F2372" w:rsidRPr="00725548" w:rsidRDefault="002E39D6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725548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>Que incluye:</w:t>
      </w:r>
    </w:p>
    <w:p w14:paraId="2A2E01C4" w14:textId="77777777" w:rsidR="008F1AFB" w:rsidRPr="008F1AFB" w:rsidRDefault="008F1AFB" w:rsidP="008F1AFB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Alojamiento por 5 noches en el Palace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Downtown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, con desayuno.</w:t>
      </w:r>
    </w:p>
    <w:p w14:paraId="42068808" w14:textId="77777777" w:rsidR="008F1AFB" w:rsidRPr="008F1AFB" w:rsidRDefault="008F1AFB" w:rsidP="008F1AFB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Alojamiento por 2 noches en Atlantis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The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Palm, con desayuno.</w:t>
      </w:r>
    </w:p>
    <w:p w14:paraId="0F9D6DDB" w14:textId="77777777" w:rsidR="008F1AFB" w:rsidRPr="008F1AFB" w:rsidRDefault="008F1AFB" w:rsidP="008F1AFB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Traslados privados entre aeropuerto/hotel/aeropuerto</w:t>
      </w:r>
    </w:p>
    <w:p w14:paraId="258C20F5" w14:textId="77777777" w:rsidR="008F1AFB" w:rsidRPr="008F1AFB" w:rsidRDefault="008F1AFB" w:rsidP="008F1AFB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lastRenderedPageBreak/>
        <w:t xml:space="preserve">Acceso al parque acuático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Aquaventure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y al acuario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The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Lost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Chambers</w:t>
      </w:r>
    </w:p>
    <w:p w14:paraId="0BD92BE7" w14:textId="77777777" w:rsidR="008F1AFB" w:rsidRPr="008F1AFB" w:rsidRDefault="008F1AFB" w:rsidP="008F1AFB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Tour privado por la ciudad de Dubái en inglés</w:t>
      </w:r>
    </w:p>
    <w:p w14:paraId="2575E8AE" w14:textId="77777777" w:rsidR="008F1AFB" w:rsidRPr="008F1AFB" w:rsidRDefault="008F1AFB" w:rsidP="008F1AFB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Burj Khalifa Planta de entrada 148</w:t>
      </w:r>
    </w:p>
    <w:p w14:paraId="376C11AF" w14:textId="77777777" w:rsidR="008F1AFB" w:rsidRPr="008F1AFB" w:rsidRDefault="008F1AFB" w:rsidP="008F1AFB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Safari real por el desierto con cena en el restaurante del resort del desierto Al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Hadeerah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Bab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al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shams</w:t>
      </w:r>
      <w:proofErr w:type="spellEnd"/>
    </w:p>
    <w:p w14:paraId="47EF4270" w14:textId="77777777" w:rsidR="008F1AFB" w:rsidRPr="008F1AFB" w:rsidRDefault="008F1AFB" w:rsidP="008F1AFB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proofErr w:type="gram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Show</w:t>
      </w:r>
      <w:proofErr w:type="gram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la Perle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By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Dragone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com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trasaldos</w:t>
      </w:r>
      <w:proofErr w:type="spellEnd"/>
    </w:p>
    <w:p w14:paraId="40D490B0" w14:textId="77777777" w:rsidR="008F1AFB" w:rsidRPr="008F1AFB" w:rsidRDefault="008F1AFB" w:rsidP="008F1AFB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Recorrido por la ciudad de Abu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Dhabi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, que incluye el Museo del Louvre, el Palacio Presidencial y las entradas para la Mezquita del Jeque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Zayed</w:t>
      </w:r>
      <w:proofErr w:type="spellEnd"/>
    </w:p>
    <w:p w14:paraId="4363B67B" w14:textId="7F23BB18" w:rsidR="001A5943" w:rsidRPr="008F1AFB" w:rsidRDefault="008F1AFB" w:rsidP="00326338">
      <w:pPr>
        <w:pStyle w:val="Prrafodelista"/>
        <w:numPr>
          <w:ilvl w:val="0"/>
          <w:numId w:val="23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Traslado entre hoteles</w:t>
      </w:r>
    </w:p>
    <w:p w14:paraId="635C6639" w14:textId="77777777" w:rsidR="001F2372" w:rsidRDefault="001F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</w:rPr>
      </w:pPr>
    </w:p>
    <w:p w14:paraId="6ACA74DE" w14:textId="77777777" w:rsidR="001F2372" w:rsidRPr="00725548" w:rsidRDefault="002E39D6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725548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>No Incluye:</w:t>
      </w:r>
    </w:p>
    <w:p w14:paraId="78030D22" w14:textId="77777777" w:rsidR="008F1AFB" w:rsidRPr="008F1AFB" w:rsidRDefault="008F1AFB" w:rsidP="008F1AFB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Extras y gastos personales</w:t>
      </w:r>
    </w:p>
    <w:p w14:paraId="281BC052" w14:textId="77777777" w:rsidR="008F1AFB" w:rsidRPr="008F1AFB" w:rsidRDefault="008F1AFB" w:rsidP="008F1AFB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Cualquier almuerzo o cena no mencionada en el programa, excepto el desayuno</w:t>
      </w:r>
    </w:p>
    <w:p w14:paraId="1AD66448" w14:textId="4BADE414" w:rsidR="00D56835" w:rsidRPr="000E33A1" w:rsidRDefault="008F1AFB" w:rsidP="008F1AFB">
      <w:pPr>
        <w:pStyle w:val="Prrafodelista"/>
        <w:numPr>
          <w:ilvl w:val="0"/>
          <w:numId w:val="7"/>
        </w:numPr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Dirham de turismo (El Emirato de Dubái ha impuesto un impuesto obligatorio "Dirham de turismo" que afecta a todas las reservas de hotel (4,5 USD por habitación por noche) Este impuesto municipal se paga en el momento </w:t>
      </w:r>
      <w:proofErr w:type="gram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del </w:t>
      </w:r>
      <w:proofErr w:type="spellStart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check</w:t>
      </w:r>
      <w:proofErr w:type="spell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>-in</w:t>
      </w:r>
      <w:proofErr w:type="gramEnd"/>
      <w:r w:rsidRPr="008F1AFB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directamente en el hotel)</w:t>
      </w:r>
    </w:p>
    <w:p w14:paraId="2DD1D1C9" w14:textId="77777777" w:rsidR="000E33A1" w:rsidRPr="008E2E03" w:rsidRDefault="000E33A1" w:rsidP="000E33A1">
      <w:pPr>
        <w:pStyle w:val="Prrafodelista"/>
        <w:spacing w:after="120" w:line="276" w:lineRule="auto"/>
        <w:jc w:val="both"/>
        <w:rPr>
          <w:rFonts w:ascii="Helvetica Neue" w:eastAsia="Helvetica Neue" w:hAnsi="Helvetica Neue" w:cs="Helvetica Neue"/>
          <w:color w:val="16384F"/>
          <w:sz w:val="28"/>
          <w:szCs w:val="32"/>
          <w:highlight w:val="white"/>
        </w:rPr>
      </w:pPr>
    </w:p>
    <w:p w14:paraId="6569C543" w14:textId="77777777" w:rsidR="008E2E03" w:rsidRPr="000E33A1" w:rsidRDefault="001A5943" w:rsidP="000E33A1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0E33A1"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  <w:t xml:space="preserve">TARIFA: </w:t>
      </w:r>
    </w:p>
    <w:p w14:paraId="24A24A7A" w14:textId="751636F8" w:rsidR="002F2F22" w:rsidRDefault="008F1AFB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  <w:r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  <w:drawing>
          <wp:inline distT="0" distB="0" distL="0" distR="0" wp14:anchorId="46B6433D" wp14:editId="0512D45D">
            <wp:extent cx="5569522" cy="2118360"/>
            <wp:effectExtent l="0" t="0" r="0" b="0"/>
            <wp:docPr id="16619374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8" t="14561" r="5368" b="59744"/>
                    <a:stretch/>
                  </pic:blipFill>
                  <pic:spPr bwMode="auto">
                    <a:xfrm>
                      <a:off x="0" y="0"/>
                      <a:ext cx="5573329" cy="211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E556F6" w14:textId="77777777" w:rsidR="008F1AFB" w:rsidRDefault="008F1AFB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7770D83F" w14:textId="77777777" w:rsidR="008F1AFB" w:rsidRDefault="008F1AFB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5F7D8B2D" w14:textId="77777777" w:rsidR="008F1AFB" w:rsidRDefault="008F1AFB" w:rsidP="007F1ABF">
      <w:pPr>
        <w:spacing w:after="120" w:line="276" w:lineRule="auto"/>
        <w:jc w:val="both"/>
        <w:rPr>
          <w:rFonts w:ascii="Helvetica Neue" w:eastAsia="Helvetica Neue" w:hAnsi="Helvetica Neue" w:cs="Helvetica Neue"/>
          <w:noProof/>
          <w:color w:val="16384F"/>
          <w:sz w:val="28"/>
          <w:szCs w:val="32"/>
          <w:highlight w:val="white"/>
        </w:rPr>
      </w:pPr>
    </w:p>
    <w:p w14:paraId="0E2B842C" w14:textId="77777777" w:rsidR="000E5B9B" w:rsidRPr="001C2328" w:rsidRDefault="001C2328" w:rsidP="001C2328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highlight w:val="white"/>
        </w:rPr>
      </w:pPr>
      <w:r w:rsidRPr="001C2328">
        <w:rPr>
          <w:rFonts w:ascii="Helvetica Neue" w:eastAsia="Helvetica Neue" w:hAnsi="Helvetica Neue" w:cs="Helvetica Neue"/>
          <w:b/>
          <w:color w:val="00CC00"/>
          <w:sz w:val="36"/>
          <w:szCs w:val="40"/>
        </w:rPr>
        <w:lastRenderedPageBreak/>
        <w:t>NOTAS IMPORTANTES:</w:t>
      </w:r>
    </w:p>
    <w:p w14:paraId="367A50B2" w14:textId="77777777" w:rsidR="00AF7B92" w:rsidRPr="00AF7B92" w:rsidRDefault="00AF7B92" w:rsidP="00AF7B92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Las reservas serán confirmadas, previa solicitud formal</w:t>
      </w:r>
    </w:p>
    <w:p w14:paraId="0D7685CC" w14:textId="77777777" w:rsidR="00AF7B92" w:rsidRPr="00AF7B92" w:rsidRDefault="00AF7B92" w:rsidP="00AF7B92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Los traslados serán en privado con asistencia personalizada y Tours en regular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compartido (SIB)</w:t>
      </w:r>
    </w:p>
    <w:p w14:paraId="16F7A161" w14:textId="77777777" w:rsidR="00AF7B92" w:rsidRPr="00AF7B92" w:rsidRDefault="00AF7B92" w:rsidP="00AF7B92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Pasajeros deben ingresar obligatoriamente en calidad de turista, para no pagar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impuestos</w:t>
      </w:r>
    </w:p>
    <w:p w14:paraId="34F6B78B" w14:textId="77777777" w:rsidR="00AF7B92" w:rsidRPr="00AF7B92" w:rsidRDefault="00AF7B92" w:rsidP="00AF7B92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CTM en línea se reserva el derecho de cancelar cualquier parte del programa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de horarios y / o asignar el grupo hoteles de similares por razones ajenas a nuestra voluntad</w:t>
      </w:r>
    </w:p>
    <w:p w14:paraId="77EC16E6" w14:textId="77777777" w:rsidR="007D26E3" w:rsidRPr="00351800" w:rsidRDefault="00AF7B92" w:rsidP="007D26E3">
      <w:pPr>
        <w:pStyle w:val="Prrafodelista"/>
        <w:numPr>
          <w:ilvl w:val="0"/>
          <w:numId w:val="16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Valores por persona con base en ocupación doble expresados en Dólares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Americanos USD</w:t>
      </w:r>
    </w:p>
    <w:p w14:paraId="373779BB" w14:textId="77777777" w:rsidR="000532BF" w:rsidRPr="000532BF" w:rsidRDefault="000532BF" w:rsidP="000532BF">
      <w:pPr>
        <w:pStyle w:val="Prrafodelista"/>
        <w:ind w:left="360"/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14:paraId="6645BE4B" w14:textId="77777777" w:rsidR="00E82264" w:rsidRDefault="00E82264" w:rsidP="00E82264">
      <w:pPr>
        <w:rPr>
          <w:rFonts w:ascii="Helvetica Neue" w:eastAsia="Helvetica Neue" w:hAnsi="Helvetica Neue" w:cs="Helvetica Neue"/>
          <w:b/>
          <w:color w:val="00CC00"/>
          <w:sz w:val="36"/>
          <w:szCs w:val="40"/>
        </w:rPr>
      </w:pPr>
      <w:r w:rsidRPr="00E82264">
        <w:rPr>
          <w:rFonts w:ascii="Helvetica Neue" w:eastAsia="Helvetica Neue" w:hAnsi="Helvetica Neue" w:cs="Helvetica Neue"/>
          <w:b/>
          <w:color w:val="00CC00"/>
          <w:sz w:val="36"/>
          <w:szCs w:val="40"/>
        </w:rPr>
        <w:t>CONDICIONES GENERALES:</w:t>
      </w:r>
    </w:p>
    <w:p w14:paraId="1CA22867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Los precios de cada programa se definen según la fecha de viaje, número de personas y servicios adquiridos</w:t>
      </w:r>
    </w:p>
    <w:p w14:paraId="13F4B324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Los precios en </w:t>
      </w:r>
      <w:proofErr w:type="spellStart"/>
      <w:r w:rsidR="00AF7B92">
        <w:rPr>
          <w:rFonts w:ascii="Helvetica Neue" w:eastAsia="Helvetica Neue" w:hAnsi="Helvetica Neue" w:cs="Helvetica Neue"/>
          <w:color w:val="16384F"/>
          <w:sz w:val="28"/>
          <w:szCs w:val="32"/>
        </w:rPr>
        <w:t>Dolares</w:t>
      </w:r>
      <w:proofErr w:type="spellEnd"/>
      <w:r w:rsidR="00AF7B92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proofErr w:type="gramStart"/>
      <w:r w:rsidR="00AF7B92">
        <w:rPr>
          <w:rFonts w:ascii="Helvetica Neue" w:eastAsia="Helvetica Neue" w:hAnsi="Helvetica Neue" w:cs="Helvetica Neue"/>
          <w:color w:val="16384F"/>
          <w:sz w:val="28"/>
          <w:szCs w:val="32"/>
        </w:rPr>
        <w:t>Americanos</w:t>
      </w:r>
      <w:proofErr w:type="gramEnd"/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se pagan en pesos colombianos a la tasa de cambio vigente el día de pago.</w:t>
      </w:r>
    </w:p>
    <w:p w14:paraId="2D8916A4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Estos programas corresponden a porción terrestre: alojamiento, actividades, traslados, circuitos según el caso.  Los tiquetes aéreos se cotizan independientemente.</w:t>
      </w:r>
    </w:p>
    <w:p w14:paraId="7F364BA5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Es responsabilidad de cada viajero, ir provisto de su pasaporte y todos los visados y requisitos de viaje, no siendo responsabilidad de la agencia, el rechazo de entrada a un país, por carecer de alguno de los requisitos establecidos por las autoridades, y será por cuenta del pasajero cualquier gasto que se origine, aplicándose en estas circunstancias las condiciones establecidas para la cancelación y rechazo voluntario de los servicios.</w:t>
      </w:r>
    </w:p>
    <w:p w14:paraId="6100F060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Nuestra empresa no asume responsabilidad frente a eventos tales como accidentes, huelgas, asonadas, terremotos, fenómenos climáticos o naturales, condiciones de seguridad, factores políticos, negación de permisos de ingreso o visados, asuntos legales del viajero, asuntos de salubridad y cualquier otro caso de fuerza mayor o caso fortuito que pudiere ocurrir antes o durante el viaje. </w:t>
      </w:r>
    </w:p>
    <w:p w14:paraId="7C128164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En caso de fuerza mayor o caso fortuito antes o durante el viaje o con el propósito de garantizar el éxito del plan, se podrá modificar, reemplazar o cancelar itinerarios, fechas, vuelos, hoteles, </w:t>
      </w: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lastRenderedPageBreak/>
        <w:t>servicios opcionales, lo cual es desde ahora aceptado por el pasajero al momento de adquirir los servicios.</w:t>
      </w:r>
    </w:p>
    <w:p w14:paraId="6CFAD675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Todos los precios, tarifas, impuestos, tasas o contribuciones, presentados en este texto están sujetos a cambio, disponibilidad y vigencia sin previo aviso, los cuales deben ser asumidos por el pasajero al momento de la expedición de los documentos de viaje. </w:t>
      </w:r>
    </w:p>
    <w:p w14:paraId="6E022D87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Aplican restricciones y condiciones para cada programada publicado. </w:t>
      </w:r>
    </w:p>
    <w:p w14:paraId="64998AF4" w14:textId="77777777" w:rsidR="00FD16A3" w:rsidRPr="00FD16A3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Las políticas de cancelación, penalidades, restricciones y condiciones particulares del paquete serán informadas al pasajero al momento de la expedición de los documentos de viaje.</w:t>
      </w:r>
    </w:p>
    <w:p w14:paraId="717496AB" w14:textId="77777777" w:rsidR="00E82264" w:rsidRPr="00013057" w:rsidRDefault="00FD16A3" w:rsidP="00FD16A3">
      <w:pPr>
        <w:pStyle w:val="Prrafodelista"/>
        <w:numPr>
          <w:ilvl w:val="0"/>
          <w:numId w:val="15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Existen impuestos de pago en destino como </w:t>
      </w:r>
      <w:proofErr w:type="spellStart"/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citytax</w:t>
      </w:r>
      <w:proofErr w:type="spellEnd"/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, que no pueden ser prepagados y por tanto el </w:t>
      </w:r>
      <w:proofErr w:type="spellStart"/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>pax</w:t>
      </w:r>
      <w:proofErr w:type="spellEnd"/>
      <w:r w:rsidRPr="00FD16A3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debe hacer el pago directo en el hotel.</w:t>
      </w:r>
    </w:p>
    <w:p w14:paraId="20C50AC5" w14:textId="77777777" w:rsidR="00E86E41" w:rsidRDefault="00E86E41" w:rsidP="00E82264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</w:p>
    <w:p w14:paraId="423AE9BA" w14:textId="77777777" w:rsidR="00B56C7B" w:rsidRPr="003A78B0" w:rsidRDefault="003A78B0" w:rsidP="00B56C7B">
      <w:pPr>
        <w:rPr>
          <w:rFonts w:ascii="Helvetica Neue" w:eastAsia="Helvetica Neue" w:hAnsi="Helvetica Neue" w:cs="Helvetica Neue"/>
          <w:b/>
          <w:color w:val="00CC00"/>
          <w:sz w:val="34"/>
          <w:szCs w:val="40"/>
          <w:highlight w:val="white"/>
        </w:rPr>
      </w:pPr>
      <w:r w:rsidRPr="003A78B0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 xml:space="preserve">CONSEJOS DE VIAJE DESTINO </w:t>
      </w:r>
      <w:r w:rsidR="00AF7B92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>EMIRATOS ARABES</w:t>
      </w:r>
      <w:r w:rsidRPr="003A78B0">
        <w:rPr>
          <w:rFonts w:ascii="Helvetica Neue" w:eastAsia="Helvetica Neue" w:hAnsi="Helvetica Neue" w:cs="Helvetica Neue"/>
          <w:b/>
          <w:color w:val="00CC00"/>
          <w:sz w:val="34"/>
          <w:szCs w:val="40"/>
        </w:rPr>
        <w:t>:</w:t>
      </w:r>
    </w:p>
    <w:p w14:paraId="69256D51" w14:textId="77777777" w:rsidR="00A531C3" w:rsidRPr="00A531C3" w:rsidRDefault="00A531C3" w:rsidP="00A531C3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531C3">
        <w:rPr>
          <w:rFonts w:ascii="Helvetica Neue" w:eastAsia="Helvetica Neue" w:hAnsi="Helvetica Neue" w:cs="Helvetica Neue"/>
          <w:color w:val="16384F"/>
          <w:sz w:val="28"/>
          <w:szCs w:val="32"/>
        </w:rPr>
        <w:t>Todos los viajeros deben completar un formulario de preinscripción antes de partir de Colombia. Los viajeros deben completar el formulario al menos 1 hora y un máximo de 72 horas antes de la salida. Los viajeros deben mostrar confirmación de registro antes de abordar.</w:t>
      </w:r>
    </w:p>
    <w:p w14:paraId="5BDFBA14" w14:textId="77777777" w:rsidR="00A531C3" w:rsidRPr="00A275AE" w:rsidRDefault="00A275AE" w:rsidP="00A275AE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hyperlink r:id="rId9" w:history="1">
        <w:r w:rsidRPr="009D0990">
          <w:rPr>
            <w:rStyle w:val="Hipervnculo"/>
            <w:rFonts w:ascii="Helvetica Neue" w:eastAsia="Helvetica Neue" w:hAnsi="Helvetica Neue" w:cs="Helvetica Neue"/>
            <w:sz w:val="28"/>
            <w:szCs w:val="32"/>
          </w:rPr>
          <w:t>https://apps.migracioncolombia.gov.co/preregistro/public/preregistro.jsf</w:t>
        </w:r>
      </w:hyperlink>
      <w:r w:rsidRPr="00A275AE"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</w:p>
    <w:p w14:paraId="30F2828F" w14:textId="77777777" w:rsidR="00AF7B92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Todos los pasajeros deben descargar la aplicación móvil DXB antes de viajar 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Dubái.</w:t>
      </w:r>
    </w:p>
    <w:p w14:paraId="62877400" w14:textId="77777777" w:rsidR="00AF7B92" w:rsidRPr="00AF7B92" w:rsidRDefault="00AF7B92" w:rsidP="00AF7B92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App para Android:</w:t>
      </w:r>
    </w:p>
    <w:p w14:paraId="017A0BDB" w14:textId="77777777" w:rsidR="00AF7B92" w:rsidRPr="00AF7B92" w:rsidRDefault="00AF7B92" w:rsidP="00AF7B92">
      <w:p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hyperlink r:id="rId10" w:history="1">
        <w:r w:rsidRPr="009B0054">
          <w:rPr>
            <w:rStyle w:val="Hipervnculo"/>
            <w:rFonts w:ascii="Helvetica Neue" w:eastAsia="Helvetica Neue" w:hAnsi="Helvetica Neue" w:cs="Helvetica Neue"/>
            <w:sz w:val="28"/>
            <w:szCs w:val="32"/>
          </w:rPr>
          <w:t>https://play.google.com/store/apps/details?id=ae.gov.dha.covid19&amp;amp;hl=en</w:t>
        </w:r>
      </w:hyperlink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</w:p>
    <w:p w14:paraId="42257A98" w14:textId="77777777" w:rsidR="00AF7B92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Vestimenta, se recomienda el uso de una vestimenta sobria y, sobre todo en el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caso de las mujeres, evitar las ropas provocativas y cortas. Está bien visto que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los turistas deseen vestir a la usanza dubaití, no obstante, no es un requisito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para disfrutar de tu estancia en esta maravillosa ciudad.</w:t>
      </w:r>
    </w:p>
    <w:p w14:paraId="32DCEF3D" w14:textId="77777777" w:rsidR="00AF7B92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lastRenderedPageBreak/>
        <w:t>En cualquier establecimiento de la ciudad podrás consumir alcohol sin ningún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problema. No obstante, está terminantemente prohibido conducir después de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haber consumido y, en este sentido, las multas pueden ser cuantiosas.</w:t>
      </w:r>
    </w:p>
    <w:p w14:paraId="60D2CA2E" w14:textId="77777777" w:rsidR="00AF7B92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¿Puede una mujer viajar sola? para los dubaitíes resulta algo extraño ver a una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mujer sola y pueden darse situaciones incómodas. En este caso, 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conveniente que te hospedes en hoteles de cinco estrellas recomendados por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CTM en línea para mantenerte en territorio seguro constantemente.</w:t>
      </w:r>
    </w:p>
    <w:p w14:paraId="11A32A72" w14:textId="77777777" w:rsidR="00AF7B92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Respecto a las fotografías existen algunos requisitos que debes respetar. Está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prohibido tomar fotografías de los edificios públicos importantes (te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recomendamos que siempre que quieras tomar una foto en un espacio público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preguntes si está permitido para evitar malentendidos). Tampoco intentes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fotografiar a personas desconocidas porque existen restricciones religiosas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para los islámicos en torno a este tema y podrías verte metido en una situación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incómoda.</w:t>
      </w:r>
    </w:p>
    <w:p w14:paraId="3BA001D3" w14:textId="77777777" w:rsidR="00B56C7B" w:rsidRPr="00AF7B92" w:rsidRDefault="00AF7B92" w:rsidP="00AF7B92">
      <w:pPr>
        <w:pStyle w:val="Prrafodelista"/>
        <w:numPr>
          <w:ilvl w:val="0"/>
          <w:numId w:val="17"/>
        </w:numPr>
        <w:jc w:val="both"/>
        <w:rPr>
          <w:rFonts w:ascii="Helvetica Neue" w:eastAsia="Helvetica Neue" w:hAnsi="Helvetica Neue" w:cs="Helvetica Neue"/>
          <w:color w:val="16384F"/>
          <w:sz w:val="28"/>
          <w:szCs w:val="32"/>
        </w:rPr>
      </w:pP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Adaptadores Eléctricos. En Dubái la norma de electricidad es diferente a la que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tenemos en Colombia. Los enchufes son de tres clavijas chatas, por lo que te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será imprescindible un adaptador para cargar tu móvil o cualquier otro</w:t>
      </w:r>
      <w:r>
        <w:rPr>
          <w:rFonts w:ascii="Helvetica Neue" w:eastAsia="Helvetica Neue" w:hAnsi="Helvetica Neue" w:cs="Helvetica Neue"/>
          <w:color w:val="16384F"/>
          <w:sz w:val="28"/>
          <w:szCs w:val="32"/>
        </w:rPr>
        <w:t xml:space="preserve"> </w:t>
      </w:r>
      <w:r w:rsidRPr="00AF7B92">
        <w:rPr>
          <w:rFonts w:ascii="Helvetica Neue" w:eastAsia="Helvetica Neue" w:hAnsi="Helvetica Neue" w:cs="Helvetica Neue"/>
          <w:color w:val="16384F"/>
          <w:sz w:val="28"/>
          <w:szCs w:val="32"/>
        </w:rPr>
        <w:t>dispositivo.</w:t>
      </w:r>
    </w:p>
    <w:sectPr w:rsidR="00B56C7B" w:rsidRPr="00AF7B9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552"/>
    <w:multiLevelType w:val="hybridMultilevel"/>
    <w:tmpl w:val="7F6CBEB0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6606F"/>
    <w:multiLevelType w:val="multilevel"/>
    <w:tmpl w:val="9B98A2BE"/>
    <w:lvl w:ilvl="0">
      <w:start w:val="1"/>
      <w:numFmt w:val="bullet"/>
      <w:lvlText w:val="●"/>
      <w:lvlJc w:val="left"/>
      <w:pPr>
        <w:ind w:left="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3706911"/>
    <w:multiLevelType w:val="hybridMultilevel"/>
    <w:tmpl w:val="EA882A6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E08"/>
    <w:multiLevelType w:val="multilevel"/>
    <w:tmpl w:val="E73E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752D9"/>
    <w:multiLevelType w:val="multilevel"/>
    <w:tmpl w:val="0ACEFA52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1FA82327"/>
    <w:multiLevelType w:val="hybridMultilevel"/>
    <w:tmpl w:val="6FB8889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E4FA3"/>
    <w:multiLevelType w:val="multilevel"/>
    <w:tmpl w:val="B7385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497D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8944E7"/>
    <w:multiLevelType w:val="hybridMultilevel"/>
    <w:tmpl w:val="40F8EFE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328C6"/>
    <w:multiLevelType w:val="multilevel"/>
    <w:tmpl w:val="F598603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2E91311B"/>
    <w:multiLevelType w:val="hybridMultilevel"/>
    <w:tmpl w:val="45C2B57E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E4494"/>
    <w:multiLevelType w:val="hybridMultilevel"/>
    <w:tmpl w:val="2FB82864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D4853"/>
    <w:multiLevelType w:val="multilevel"/>
    <w:tmpl w:val="C11E4D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CB5B01"/>
    <w:multiLevelType w:val="multilevel"/>
    <w:tmpl w:val="ED9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17F51"/>
    <w:multiLevelType w:val="multilevel"/>
    <w:tmpl w:val="3C78126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446516EB"/>
    <w:multiLevelType w:val="hybridMultilevel"/>
    <w:tmpl w:val="1E506A26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66B7"/>
    <w:multiLevelType w:val="multilevel"/>
    <w:tmpl w:val="A194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E764B3"/>
    <w:multiLevelType w:val="multilevel"/>
    <w:tmpl w:val="E876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C3155"/>
    <w:multiLevelType w:val="hybridMultilevel"/>
    <w:tmpl w:val="71E834F8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066FC"/>
    <w:multiLevelType w:val="multilevel"/>
    <w:tmpl w:val="4E04792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9" w15:restartNumberingAfterBreak="0">
    <w:nsid w:val="579004F5"/>
    <w:multiLevelType w:val="multilevel"/>
    <w:tmpl w:val="CF300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AC03DBC"/>
    <w:multiLevelType w:val="multilevel"/>
    <w:tmpl w:val="19C29A2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1" w15:restartNumberingAfterBreak="0">
    <w:nsid w:val="5C1A090C"/>
    <w:multiLevelType w:val="multilevel"/>
    <w:tmpl w:val="737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B4CD0"/>
    <w:multiLevelType w:val="hybridMultilevel"/>
    <w:tmpl w:val="C04CCC44"/>
    <w:lvl w:ilvl="0" w:tplc="CEC88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E525A"/>
    <w:multiLevelType w:val="multilevel"/>
    <w:tmpl w:val="0ACA6978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" w15:restartNumberingAfterBreak="0">
    <w:nsid w:val="73C513DF"/>
    <w:multiLevelType w:val="multilevel"/>
    <w:tmpl w:val="113CA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691AF3"/>
    <w:multiLevelType w:val="hybridMultilevel"/>
    <w:tmpl w:val="1D64F71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51964">
    <w:abstractNumId w:val="20"/>
  </w:num>
  <w:num w:numId="2" w16cid:durableId="1387728645">
    <w:abstractNumId w:val="8"/>
  </w:num>
  <w:num w:numId="3" w16cid:durableId="534536732">
    <w:abstractNumId w:val="13"/>
  </w:num>
  <w:num w:numId="4" w16cid:durableId="708727630">
    <w:abstractNumId w:val="23"/>
  </w:num>
  <w:num w:numId="5" w16cid:durableId="958025033">
    <w:abstractNumId w:val="18"/>
  </w:num>
  <w:num w:numId="6" w16cid:durableId="1258172034">
    <w:abstractNumId w:val="4"/>
  </w:num>
  <w:num w:numId="7" w16cid:durableId="602955976">
    <w:abstractNumId w:val="22"/>
  </w:num>
  <w:num w:numId="8" w16cid:durableId="758332504">
    <w:abstractNumId w:val="6"/>
  </w:num>
  <w:num w:numId="9" w16cid:durableId="2003045687">
    <w:abstractNumId w:val="1"/>
  </w:num>
  <w:num w:numId="10" w16cid:durableId="1332370474">
    <w:abstractNumId w:val="24"/>
  </w:num>
  <w:num w:numId="11" w16cid:durableId="1128545876">
    <w:abstractNumId w:val="19"/>
  </w:num>
  <w:num w:numId="12" w16cid:durableId="128518765">
    <w:abstractNumId w:val="2"/>
  </w:num>
  <w:num w:numId="13" w16cid:durableId="540895737">
    <w:abstractNumId w:val="5"/>
  </w:num>
  <w:num w:numId="14" w16cid:durableId="1222907358">
    <w:abstractNumId w:val="25"/>
  </w:num>
  <w:num w:numId="15" w16cid:durableId="1492714024">
    <w:abstractNumId w:val="10"/>
  </w:num>
  <w:num w:numId="16" w16cid:durableId="96799001">
    <w:abstractNumId w:val="9"/>
  </w:num>
  <w:num w:numId="17" w16cid:durableId="971639789">
    <w:abstractNumId w:val="0"/>
  </w:num>
  <w:num w:numId="18" w16cid:durableId="871310766">
    <w:abstractNumId w:val="11"/>
  </w:num>
  <w:num w:numId="19" w16cid:durableId="561020699">
    <w:abstractNumId w:val="3"/>
  </w:num>
  <w:num w:numId="20" w16cid:durableId="590360110">
    <w:abstractNumId w:val="21"/>
  </w:num>
  <w:num w:numId="21" w16cid:durableId="332875773">
    <w:abstractNumId w:val="12"/>
  </w:num>
  <w:num w:numId="22" w16cid:durableId="956449544">
    <w:abstractNumId w:val="7"/>
  </w:num>
  <w:num w:numId="23" w16cid:durableId="2039236262">
    <w:abstractNumId w:val="17"/>
  </w:num>
  <w:num w:numId="24" w16cid:durableId="416444718">
    <w:abstractNumId w:val="14"/>
  </w:num>
  <w:num w:numId="25" w16cid:durableId="1225337646">
    <w:abstractNumId w:val="15"/>
  </w:num>
  <w:num w:numId="26" w16cid:durableId="3794025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72"/>
    <w:rsid w:val="00013057"/>
    <w:rsid w:val="00022284"/>
    <w:rsid w:val="00031CD4"/>
    <w:rsid w:val="00033DFE"/>
    <w:rsid w:val="0004488C"/>
    <w:rsid w:val="000532BF"/>
    <w:rsid w:val="00056008"/>
    <w:rsid w:val="00061293"/>
    <w:rsid w:val="00070E37"/>
    <w:rsid w:val="000D28EF"/>
    <w:rsid w:val="000E33A1"/>
    <w:rsid w:val="000E5B9B"/>
    <w:rsid w:val="000F65E8"/>
    <w:rsid w:val="00114FD3"/>
    <w:rsid w:val="00116430"/>
    <w:rsid w:val="001353E9"/>
    <w:rsid w:val="001430FE"/>
    <w:rsid w:val="00161962"/>
    <w:rsid w:val="001629AF"/>
    <w:rsid w:val="0019596C"/>
    <w:rsid w:val="001A5943"/>
    <w:rsid w:val="001C2328"/>
    <w:rsid w:val="001F2372"/>
    <w:rsid w:val="002248F6"/>
    <w:rsid w:val="002318D6"/>
    <w:rsid w:val="00234EED"/>
    <w:rsid w:val="00242C76"/>
    <w:rsid w:val="0028359D"/>
    <w:rsid w:val="002A70A0"/>
    <w:rsid w:val="002D3512"/>
    <w:rsid w:val="002E39D6"/>
    <w:rsid w:val="002F2F22"/>
    <w:rsid w:val="0030278F"/>
    <w:rsid w:val="00317ADD"/>
    <w:rsid w:val="00326338"/>
    <w:rsid w:val="00345DEB"/>
    <w:rsid w:val="00351800"/>
    <w:rsid w:val="00391E83"/>
    <w:rsid w:val="003A78B0"/>
    <w:rsid w:val="003C7866"/>
    <w:rsid w:val="003D130E"/>
    <w:rsid w:val="00401890"/>
    <w:rsid w:val="00452FD5"/>
    <w:rsid w:val="0046288F"/>
    <w:rsid w:val="004655B5"/>
    <w:rsid w:val="00493222"/>
    <w:rsid w:val="004B627B"/>
    <w:rsid w:val="004D35C4"/>
    <w:rsid w:val="004F71B6"/>
    <w:rsid w:val="00524F01"/>
    <w:rsid w:val="00531831"/>
    <w:rsid w:val="0056068C"/>
    <w:rsid w:val="00570F0A"/>
    <w:rsid w:val="00590EEB"/>
    <w:rsid w:val="005A27DA"/>
    <w:rsid w:val="005B6A4B"/>
    <w:rsid w:val="005D2BB3"/>
    <w:rsid w:val="005E32D6"/>
    <w:rsid w:val="005F453D"/>
    <w:rsid w:val="006114CE"/>
    <w:rsid w:val="00646B9A"/>
    <w:rsid w:val="006570A0"/>
    <w:rsid w:val="006C669C"/>
    <w:rsid w:val="006E6C47"/>
    <w:rsid w:val="00710E35"/>
    <w:rsid w:val="007168E1"/>
    <w:rsid w:val="00724E2A"/>
    <w:rsid w:val="00725548"/>
    <w:rsid w:val="00763F33"/>
    <w:rsid w:val="00776189"/>
    <w:rsid w:val="00784ECF"/>
    <w:rsid w:val="00787E8C"/>
    <w:rsid w:val="00792860"/>
    <w:rsid w:val="007A32E3"/>
    <w:rsid w:val="007D26E3"/>
    <w:rsid w:val="007D6B9A"/>
    <w:rsid w:val="007E1C42"/>
    <w:rsid w:val="007E1D88"/>
    <w:rsid w:val="007F1ABF"/>
    <w:rsid w:val="00865BE3"/>
    <w:rsid w:val="0086614E"/>
    <w:rsid w:val="008D16F4"/>
    <w:rsid w:val="008E2E03"/>
    <w:rsid w:val="008F1AFB"/>
    <w:rsid w:val="008F67FE"/>
    <w:rsid w:val="008F7985"/>
    <w:rsid w:val="00912752"/>
    <w:rsid w:val="0091442D"/>
    <w:rsid w:val="00940386"/>
    <w:rsid w:val="00942171"/>
    <w:rsid w:val="00951828"/>
    <w:rsid w:val="00955A2A"/>
    <w:rsid w:val="00963102"/>
    <w:rsid w:val="009849A5"/>
    <w:rsid w:val="00986AA4"/>
    <w:rsid w:val="009870CA"/>
    <w:rsid w:val="00993611"/>
    <w:rsid w:val="009A14CC"/>
    <w:rsid w:val="00A0512B"/>
    <w:rsid w:val="00A11418"/>
    <w:rsid w:val="00A139C3"/>
    <w:rsid w:val="00A147A6"/>
    <w:rsid w:val="00A275AE"/>
    <w:rsid w:val="00A4276C"/>
    <w:rsid w:val="00A531C3"/>
    <w:rsid w:val="00A54F91"/>
    <w:rsid w:val="00A93C31"/>
    <w:rsid w:val="00AD7F1A"/>
    <w:rsid w:val="00AF7B92"/>
    <w:rsid w:val="00B05658"/>
    <w:rsid w:val="00B102A6"/>
    <w:rsid w:val="00B17842"/>
    <w:rsid w:val="00B32183"/>
    <w:rsid w:val="00B32AC2"/>
    <w:rsid w:val="00B32FFB"/>
    <w:rsid w:val="00B56C7B"/>
    <w:rsid w:val="00B57F44"/>
    <w:rsid w:val="00B60AAC"/>
    <w:rsid w:val="00B777B3"/>
    <w:rsid w:val="00B85678"/>
    <w:rsid w:val="00BA1BB8"/>
    <w:rsid w:val="00BF519E"/>
    <w:rsid w:val="00BF62A1"/>
    <w:rsid w:val="00C31878"/>
    <w:rsid w:val="00C53857"/>
    <w:rsid w:val="00C54A3E"/>
    <w:rsid w:val="00C62EB4"/>
    <w:rsid w:val="00C75E17"/>
    <w:rsid w:val="00CA0DD2"/>
    <w:rsid w:val="00CF4971"/>
    <w:rsid w:val="00D0753D"/>
    <w:rsid w:val="00D165AF"/>
    <w:rsid w:val="00D31088"/>
    <w:rsid w:val="00D56835"/>
    <w:rsid w:val="00D865F2"/>
    <w:rsid w:val="00D94AD0"/>
    <w:rsid w:val="00D95A73"/>
    <w:rsid w:val="00DC178A"/>
    <w:rsid w:val="00DF0400"/>
    <w:rsid w:val="00E06D49"/>
    <w:rsid w:val="00E1377D"/>
    <w:rsid w:val="00E460B1"/>
    <w:rsid w:val="00E62792"/>
    <w:rsid w:val="00E65771"/>
    <w:rsid w:val="00E82264"/>
    <w:rsid w:val="00E86E41"/>
    <w:rsid w:val="00E94610"/>
    <w:rsid w:val="00EA6217"/>
    <w:rsid w:val="00EB76BA"/>
    <w:rsid w:val="00EB77F3"/>
    <w:rsid w:val="00EC78F0"/>
    <w:rsid w:val="00ED7307"/>
    <w:rsid w:val="00EE79EB"/>
    <w:rsid w:val="00F06517"/>
    <w:rsid w:val="00F16B9D"/>
    <w:rsid w:val="00F44A7D"/>
    <w:rsid w:val="00F73099"/>
    <w:rsid w:val="00F86FC2"/>
    <w:rsid w:val="00F91D07"/>
    <w:rsid w:val="00F936B9"/>
    <w:rsid w:val="00FA3ECF"/>
    <w:rsid w:val="00FD0FC8"/>
    <w:rsid w:val="00FD16A3"/>
    <w:rsid w:val="00FD65D1"/>
    <w:rsid w:val="00FE5225"/>
    <w:rsid w:val="00FF202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B26A"/>
  <w15:docId w15:val="{44DABE32-942A-4AF7-87C9-DC608D7C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Candara" w:hAnsi="Candara" w:cs="Candara"/>
        <w:sz w:val="22"/>
        <w:szCs w:val="22"/>
        <w:lang w:val="es-CO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F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20"/>
      <w:jc w:val="center"/>
      <w:outlineLvl w:val="0"/>
    </w:pPr>
    <w:rPr>
      <w:rFonts w:ascii="Helvetica Neue" w:eastAsia="Helvetica Neue" w:hAnsi="Helvetica Neue" w:cs="Helvetica Neue"/>
      <w:color w:val="0B5394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40"/>
      <w:jc w:val="center"/>
      <w:outlineLvl w:val="1"/>
    </w:pPr>
    <w:rPr>
      <w:rFonts w:ascii="Helvetica Neue" w:eastAsia="Helvetica Neue" w:hAnsi="Helvetica Neue" w:cs="Helvetica Neue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Helvetica Neue" w:eastAsia="Helvetica Neue" w:hAnsi="Helvetica Neue" w:cs="Helvetica Neue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/>
      <w:outlineLvl w:val="3"/>
    </w:pPr>
    <w:rPr>
      <w:rFonts w:ascii="Helvetica Neue" w:eastAsia="Helvetica Neue" w:hAnsi="Helvetica Neue" w:cs="Helvetica Neue"/>
      <w:i/>
      <w:sz w:val="30"/>
      <w:szCs w:val="3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Helvetica Neue" w:eastAsia="Helvetica Neue" w:hAnsi="Helvetica Neue" w:cs="Helvetica Neue"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Helvetica Neue" w:eastAsia="Helvetica Neue" w:hAnsi="Helvetica Neue" w:cs="Helvetica Neue"/>
      <w:i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6" w:space="8" w:color="0BD0D9"/>
        <w:bottom w:val="single" w:sz="6" w:space="8" w:color="0BD0D9"/>
      </w:pBdr>
      <w:spacing w:after="400"/>
      <w:jc w:val="center"/>
    </w:pPr>
    <w:rPr>
      <w:rFonts w:ascii="Helvetica Neue" w:eastAsia="Helvetica Neue" w:hAnsi="Helvetica Neue" w:cs="Helvetica Neue"/>
      <w:smallCaps/>
      <w:color w:val="17406D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17406D"/>
      <w:sz w:val="28"/>
      <w:szCs w:val="28"/>
    </w:rPr>
  </w:style>
  <w:style w:type="paragraph" w:styleId="Prrafodelista">
    <w:name w:val="List Paragraph"/>
    <w:basedOn w:val="Normal"/>
    <w:uiPriority w:val="34"/>
    <w:qFormat/>
    <w:rsid w:val="00C54A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78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8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/>
    </w:rPr>
  </w:style>
  <w:style w:type="character" w:styleId="Textoennegrita">
    <w:name w:val="Strong"/>
    <w:basedOn w:val="Fuentedeprrafopredeter"/>
    <w:uiPriority w:val="22"/>
    <w:qFormat/>
    <w:rsid w:val="00143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lay.google.com/store/apps/details?id=ae.gov.dha.covid19&amp;amp;hl=en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s.migracioncolombia.gov.co/preregistro/public/preregistro.j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gPm7/tCPUGt1cbPQdk8Bc+/uw==">CgMxLjAyCGguZ2pkZ3hzMgloLjMwajB6bGw4AHIhMXQ1SlNGcEttUm5UREhGa1FHdDFEdFp5c1g5ODNrSGEt</go:docsCustomData>
</go:gDocsCustomXmlDataStorage>
</file>

<file path=customXml/itemProps1.xml><?xml version="1.0" encoding="utf-8"?>
<ds:datastoreItem xmlns:ds="http://schemas.openxmlformats.org/officeDocument/2006/customXml" ds:itemID="{1A8BD03A-A994-4455-878E-D59B261A8E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1397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Consolidators TM</dc:creator>
  <cp:lastModifiedBy>Juan Sebastián Enciso Cote</cp:lastModifiedBy>
  <cp:revision>2</cp:revision>
  <dcterms:created xsi:type="dcterms:W3CDTF">2025-01-23T13:37:00Z</dcterms:created>
  <dcterms:modified xsi:type="dcterms:W3CDTF">2025-01-23T13:37:00Z</dcterms:modified>
</cp:coreProperties>
</file>