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07" w:rsidRDefault="00510E0E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  <w:r>
        <w:rPr>
          <w:rFonts w:ascii="Helvetica Neue" w:eastAsia="Helvetica Neue" w:hAnsi="Helvetica Neue" w:cs="Helvetica Neue"/>
          <w:b/>
          <w:noProof/>
          <w:color w:val="3C78D8"/>
          <w:sz w:val="44"/>
          <w:szCs w:val="48"/>
          <w:highlight w:val="whit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8104627" cy="106775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62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E1377D" w:rsidRPr="00B17842" w:rsidRDefault="00E1377D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1F2372" w:rsidRDefault="001F2372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1F2372" w:rsidRDefault="002E39D6" w:rsidP="007E1C42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B17842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Itinerario:</w:t>
      </w:r>
      <w:r w:rsidR="00EB77F3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ab/>
      </w:r>
    </w:p>
    <w:p w:rsidR="000D28EF" w:rsidRDefault="005B6A4B" w:rsidP="00D165AF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1 </w:t>
      </w:r>
      <w:r w:rsidR="006C669C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Madrid</w:t>
      </w:r>
    </w:p>
    <w:p w:rsidR="0046288F" w:rsidRDefault="006C669C" w:rsidP="006C669C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Llegada al aeropuerto y traslado al hotel. Resto del día libre. Alojamiento en el hotel.</w:t>
      </w:r>
    </w:p>
    <w:p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2 </w:t>
      </w:r>
      <w:r w:rsidR="006C669C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Madrid</w:t>
      </w:r>
    </w:p>
    <w:p w:rsidR="00E06D49" w:rsidRPr="00D165AF" w:rsidRDefault="006C669C" w:rsidP="006C669C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Disfruta de tu pase hop-</w:t>
      </w:r>
      <w:proofErr w:type="spellStart"/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on</w:t>
      </w:r>
      <w:proofErr w:type="spellEnd"/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-hop-off de 1 día y descubre la ciudad a tu elección. Alojamiento en el hotel. (D)</w:t>
      </w:r>
    </w:p>
    <w:p w:rsidR="0046288F" w:rsidRDefault="0046288F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3 </w:t>
      </w:r>
      <w:r w:rsidR="006C669C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Madrid</w:t>
      </w:r>
    </w:p>
    <w:p w:rsidR="0046288F" w:rsidRDefault="006C669C" w:rsidP="006C669C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Únete a esta excursión de medio día a la preciosa ciudad de Toledo. Pasea por su casco antiguo y maravíllate con la fascinante mezcla de culturas de la ciudad. Tarde libre. Alojamiento en el hotel. (D)</w:t>
      </w:r>
    </w:p>
    <w:p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4 </w:t>
      </w:r>
      <w:r w:rsidR="006C669C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Madrid</w:t>
      </w:r>
    </w:p>
    <w:p w:rsidR="00A4276C" w:rsidRPr="00A4276C" w:rsidRDefault="006C669C" w:rsidP="006C669C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6C669C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Traslado hacia el aeropuerto.</w:t>
      </w:r>
    </w:p>
    <w:p w:rsidR="0086614E" w:rsidRPr="00725548" w:rsidRDefault="0086614E" w:rsidP="0086614E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Que incluye:</w:t>
      </w:r>
    </w:p>
    <w:p w:rsidR="00D31088" w:rsidRPr="00D31088" w:rsidRDefault="00D31088" w:rsidP="00D31088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Traslados aeropuerto o estación – hotel / hotel – aeropuerto o estación </w:t>
      </w:r>
    </w:p>
    <w:p w:rsidR="00D31088" w:rsidRPr="00D31088" w:rsidRDefault="00D31088" w:rsidP="00D31088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Madrid Hop-</w:t>
      </w:r>
      <w:proofErr w:type="spellStart"/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on</w:t>
      </w:r>
      <w:proofErr w:type="spellEnd"/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-Hop-off 1 días</w:t>
      </w:r>
    </w:p>
    <w:p w:rsidR="00D31088" w:rsidRPr="00D31088" w:rsidRDefault="00D31088" w:rsidP="00D31088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3 noches de alojamiento en clase seleccionada</w:t>
      </w:r>
    </w:p>
    <w:p w:rsidR="00D31088" w:rsidRPr="00D31088" w:rsidRDefault="00D31088" w:rsidP="00D31088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Excursión regular a Toledo medio día (transporte desde Madrid, visita con guía oficial y entrada a la Catedral incluida)</w:t>
      </w:r>
    </w:p>
    <w:p w:rsidR="009870CA" w:rsidRPr="001430FE" w:rsidRDefault="00D31088" w:rsidP="00D31088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Desayuno diario</w:t>
      </w:r>
    </w:p>
    <w:p w:rsidR="001F2372" w:rsidRDefault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No Incluye:</w:t>
      </w:r>
    </w:p>
    <w:p w:rsidR="001430FE" w:rsidRPr="001430FE" w:rsidRDefault="001430FE" w:rsidP="001430FE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1430FE">
        <w:rPr>
          <w:rFonts w:ascii="Helvetica Neue" w:eastAsia="Helvetica Neue" w:hAnsi="Helvetica Neue" w:cs="Helvetica Neue"/>
          <w:color w:val="16384F"/>
          <w:sz w:val="28"/>
          <w:szCs w:val="32"/>
        </w:rPr>
        <w:t>Tiquetes aéreos en ningún tramo.</w:t>
      </w:r>
    </w:p>
    <w:p w:rsidR="00D95A73" w:rsidRPr="00D95A73" w:rsidRDefault="00D95A73" w:rsidP="00D95A7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>Almuerzos, Cenas, Vuelos y otros servicios no especificados.</w:t>
      </w:r>
    </w:p>
    <w:p w:rsidR="00D56835" w:rsidRPr="000E33A1" w:rsidRDefault="00D95A73" w:rsidP="00D95A7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proofErr w:type="spellStart"/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>Tips</w:t>
      </w:r>
      <w:proofErr w:type="spellEnd"/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en general.</w:t>
      </w:r>
    </w:p>
    <w:p w:rsidR="000E33A1" w:rsidRPr="008E2E03" w:rsidRDefault="000E33A1" w:rsidP="000E33A1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8E2E03" w:rsidRPr="000E33A1" w:rsidRDefault="008E2E03" w:rsidP="000E33A1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0E33A1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 xml:space="preserve">Tarifa: </w:t>
      </w:r>
    </w:p>
    <w:p w:rsidR="00F16B9D" w:rsidRPr="00F16B9D" w:rsidRDefault="00F16B9D" w:rsidP="00F16B9D">
      <w:pPr>
        <w:spacing w:after="120" w:line="276" w:lineRule="auto"/>
        <w:jc w:val="both"/>
        <w:rPr>
          <w:rFonts w:ascii="Helvetica Neue" w:eastAsia="Helvetica Neue" w:hAnsi="Helvetica Neue" w:cs="Helvetica Neue"/>
          <w:b/>
          <w:color w:val="16384F"/>
          <w:sz w:val="28"/>
          <w:szCs w:val="32"/>
        </w:rPr>
      </w:pPr>
      <w:r w:rsidRPr="00F16B9D">
        <w:rPr>
          <w:rFonts w:ascii="Helvetica Neue" w:eastAsia="Helvetica Neue" w:hAnsi="Helvetica Neue" w:cs="Helvetica Neue"/>
          <w:b/>
          <w:color w:val="16384F"/>
          <w:sz w:val="28"/>
          <w:szCs w:val="32"/>
        </w:rPr>
        <w:t>Hoteles 4*</w:t>
      </w:r>
    </w:p>
    <w:p w:rsidR="00F16B9D" w:rsidRPr="00F16B9D" w:rsidRDefault="00F16B9D" w:rsidP="00F16B9D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F16B9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Precio por persona con base en Ocupación Doble: </w:t>
      </w:r>
      <w:r w:rsidRPr="00F16B9D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558 EUR</w:t>
      </w:r>
    </w:p>
    <w:p w:rsidR="00F16B9D" w:rsidRPr="00F16B9D" w:rsidRDefault="00F16B9D" w:rsidP="00F16B9D">
      <w:pPr>
        <w:spacing w:after="120" w:line="276" w:lineRule="auto"/>
        <w:jc w:val="both"/>
        <w:rPr>
          <w:rFonts w:ascii="Helvetica Neue" w:eastAsia="Helvetica Neue" w:hAnsi="Helvetica Neue" w:cs="Helvetica Neue"/>
          <w:b/>
          <w:color w:val="16384F"/>
          <w:sz w:val="28"/>
          <w:szCs w:val="32"/>
        </w:rPr>
      </w:pPr>
      <w:r w:rsidRPr="00F16B9D">
        <w:rPr>
          <w:rFonts w:ascii="Helvetica Neue" w:eastAsia="Helvetica Neue" w:hAnsi="Helvetica Neue" w:cs="Helvetica Neue"/>
          <w:b/>
          <w:color w:val="16384F"/>
          <w:sz w:val="28"/>
          <w:szCs w:val="32"/>
        </w:rPr>
        <w:t>Hoteles 4*+</w:t>
      </w:r>
    </w:p>
    <w:p w:rsidR="00345DEB" w:rsidRPr="00D95A73" w:rsidRDefault="00F16B9D" w:rsidP="00F16B9D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16B9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Precio por persona con base en Ocupación Doble: </w:t>
      </w:r>
      <w:r w:rsidRPr="00F16B9D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616 EUR</w:t>
      </w:r>
    </w:p>
    <w:p w:rsidR="000E33A1" w:rsidRPr="001C2328" w:rsidRDefault="000E33A1" w:rsidP="00AD7F1A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0E5B9B" w:rsidRPr="001C2328" w:rsidRDefault="001C2328" w:rsidP="001C2328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1C2328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NOTAS IMPORTANTES:</w:t>
      </w:r>
    </w:p>
    <w:p w:rsidR="00D31088" w:rsidRPr="00D31088" w:rsidRDefault="00D31088" w:rsidP="00D31088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Las reservas serán confirmadas, previa solicitud formal</w:t>
      </w:r>
    </w:p>
    <w:p w:rsidR="00D31088" w:rsidRPr="00D31088" w:rsidRDefault="00D31088" w:rsidP="00D31088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Los traslados y Tours en SIB.</w:t>
      </w:r>
    </w:p>
    <w:p w:rsidR="00D31088" w:rsidRPr="00D31088" w:rsidRDefault="00D31088" w:rsidP="00D31088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Pasajeros deben ingresar obligatoriamente en calidad de turista, para no pagar impuestos</w:t>
      </w:r>
    </w:p>
    <w:p w:rsidR="00D31088" w:rsidRPr="00D31088" w:rsidRDefault="00D31088" w:rsidP="00D31088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se reserva el derecho de cancelar cualquier parte del programa de horarios y / o asignar el grupo hoteles de similares por razones ajenas a nuestra voluntad</w:t>
      </w:r>
    </w:p>
    <w:p w:rsidR="00B57F44" w:rsidRPr="00EB76BA" w:rsidRDefault="00D31088" w:rsidP="00D31088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31088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Valores por persona con base en ocupación doble expresados en 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>Euros</w:t>
      </w:r>
    </w:p>
    <w:p w:rsidR="000532BF" w:rsidRPr="000532BF" w:rsidRDefault="000532BF" w:rsidP="000532BF">
      <w:pPr>
        <w:pStyle w:val="Prrafodelista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E82264" w:rsidRDefault="00E82264" w:rsidP="00E82264">
      <w:pPr>
        <w:rPr>
          <w:rFonts w:ascii="Helvetica Neue" w:eastAsia="Helvetica Neue" w:hAnsi="Helvetica Neue" w:cs="Helvetica Neue"/>
          <w:b/>
          <w:color w:val="00CC00"/>
          <w:sz w:val="36"/>
          <w:szCs w:val="40"/>
        </w:rPr>
      </w:pPr>
      <w:r w:rsidRPr="00E82264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CONDICIONES GENERALES: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Los precios de cada programa se definen según la fecha de viaje, número de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personas y servicios adquiridos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Los precios en </w:t>
      </w:r>
      <w:r w:rsidR="00CF4971">
        <w:rPr>
          <w:rFonts w:ascii="Helvetica Neue" w:eastAsia="Helvetica Neue" w:hAnsi="Helvetica Neue" w:cs="Helvetica Neue"/>
          <w:color w:val="16384F"/>
          <w:sz w:val="28"/>
          <w:szCs w:val="32"/>
        </w:rPr>
        <w:t>Euros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se pagan en pesos colombianos a la tasa de cambio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vigente el día de pago.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Estos programas corresponden a porción terrestre: alojamiento, actividades,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traslados, circuitos según el caso. Los tiquetes aéreos se cotizan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independientemente.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 responsabilidad de cada viajero, ir provisto de su pasaporte y todos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visados y requisitos de viaje, no siendo responsabilidad de la agencia,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rechazo de entrada a un país, por carecer de alguno de los requisitos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establecidos por las autoridades, y será por cuenta del pasajero cualquier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gasto que se origine, aplicándose en estas circunstancias las condiciones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establecidas para la cancelación y rechazo voluntario de los servicios.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Nuestra empresa no asume responsabilidad frente a eventos tales como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accidentes, huelgas, asonadas, terremotos, fenómenos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climáticos o naturales,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condiciones de seguridad, factores políticos, negación de permisos de ingreso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o visados, asuntos legales del viajero, asuntos de salubridad y cualquier otro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caso de fuerza mayor o caso fortuito que pudiere ocurrir antes o durante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viaje.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En caso de fuerza mayor o caso fortuito antes o durante el viaje o con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propósito de garantizar el éxito del plan, se podrá modificar, reemplazar 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cancelar itinerarios, fechas, vuelos, hoteles, servicios opcionales, lo cual 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desde ahora aceptado por el pasajero al momento de adquirir los servicios.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Todos los precios, tarifas, impuestos, tasas o contribuciones, presentados en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este texto están sujetos a cambio, disponibilidad y vigencia sin previo aviso,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cuales deben ser asumidos por el pasajero al momento de la exp</w:t>
      </w:r>
      <w:bookmarkStart w:id="0" w:name="_GoBack"/>
      <w:bookmarkEnd w:id="0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edición de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documentos de viaje.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Aplican restricciones y condiciones para cada programada publicado.</w:t>
      </w:r>
    </w:p>
    <w:p w:rsidR="00013057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Las políticas de cancelación, penalidades, restricciones y condiciones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particulares del paquete serán informadas al pasajero al momento de la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expedición de los documentos de viaje.</w:t>
      </w:r>
    </w:p>
    <w:p w:rsidR="00E82264" w:rsidRPr="00013057" w:rsidRDefault="00013057" w:rsidP="00510E0E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Existen impuestos de pago en destino como </w:t>
      </w:r>
      <w:proofErr w:type="spellStart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cititax</w:t>
      </w:r>
      <w:proofErr w:type="spellEnd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, que no pueden ser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prepagados y por tanto el </w:t>
      </w:r>
      <w:proofErr w:type="spellStart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pax</w:t>
      </w:r>
      <w:proofErr w:type="spellEnd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debe hacer el pago directo en el hotel.</w:t>
      </w:r>
    </w:p>
    <w:p w:rsidR="00E86E41" w:rsidRDefault="00E86E41" w:rsidP="00E82264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B56C7B" w:rsidRPr="003A78B0" w:rsidRDefault="003A78B0" w:rsidP="00B56C7B">
      <w:pPr>
        <w:rPr>
          <w:rFonts w:ascii="Helvetica Neue" w:eastAsia="Helvetica Neue" w:hAnsi="Helvetica Neue" w:cs="Helvetica Neue"/>
          <w:b/>
          <w:color w:val="00CC00"/>
          <w:sz w:val="34"/>
          <w:szCs w:val="40"/>
          <w:highlight w:val="white"/>
        </w:rPr>
      </w:pP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 xml:space="preserve">CONSEJOS DE VIAJE DESTINO </w:t>
      </w:r>
      <w:r w:rsidR="00510E0E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ESPAÑA</w:t>
      </w: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:</w:t>
      </w:r>
    </w:p>
    <w:p w:rsidR="00A531C3" w:rsidRPr="00A531C3" w:rsidRDefault="00A531C3" w:rsidP="00A531C3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531C3">
        <w:rPr>
          <w:rFonts w:ascii="Helvetica Neue" w:eastAsia="Helvetica Neue" w:hAnsi="Helvetica Neue" w:cs="Helvetica Neue"/>
          <w:color w:val="16384F"/>
          <w:sz w:val="28"/>
          <w:szCs w:val="32"/>
        </w:rPr>
        <w:t>Todos los viajeros deben completar un formulario de preinscripción antes de partir de Colombia. Los viajeros deben completar el formulario al menos 1 hora y un máximo de 72 horas antes de la salida. Los viajeros deben mostrar confirmación de registro antes de abordar.</w:t>
      </w:r>
    </w:p>
    <w:p w:rsidR="00A531C3" w:rsidRPr="00A275AE" w:rsidRDefault="00670AF0" w:rsidP="00A275AE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8" w:history="1">
        <w:r w:rsidR="00A275AE" w:rsidRPr="009D0990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https://apps.migracioncolombia.gov.co/preregistro/public/preregistro.jsf</w:t>
        </w:r>
      </w:hyperlink>
      <w:r w:rsidR="00A275AE" w:rsidRPr="00A275A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:rsidR="00CF4971" w:rsidRPr="00CF4971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>Tiquete de ida y regreso no superior a 90 días.</w:t>
      </w:r>
    </w:p>
    <w:p w:rsidR="00CF4971" w:rsidRPr="00CF4971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>En caso de que su estadía sea en un hotel, presentar comprobantes de reservas donde se alojará.</w:t>
      </w:r>
    </w:p>
    <w:p w:rsidR="00CF4971" w:rsidRPr="00CF4971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No olvidar la certificación del banco donde conste que su tarjeta de crédito cuenta con servicio de asistencia médica en el exterior. </w:t>
      </w: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Si no cuenta con este servicio recuerde que CTM le ofrece una excelente opción.</w:t>
      </w:r>
    </w:p>
    <w:p w:rsidR="00CF4971" w:rsidRPr="00CF4971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>Es importante considerar las opciones de comunicación (como un plan de telefonía y uso de datos internacional) antes del viaje, a fin de reducir los costos y evitar las confusiones cuando lleguen las cuentas. CTM en línea ofrece SIM CARD INTERNACIONAL.</w:t>
      </w:r>
    </w:p>
    <w:p w:rsidR="00CF4971" w:rsidRPr="00CF4971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>Si padeces una enfermedad crónica debes llevar contigo la medicación necesaria para todo el tiempo que dure el viaje por España.</w:t>
      </w:r>
    </w:p>
    <w:p w:rsidR="00B56C7B" w:rsidRPr="00033DFE" w:rsidRDefault="00CF4971" w:rsidP="00CF4971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CF4971">
        <w:rPr>
          <w:rFonts w:ascii="Helvetica Neue" w:eastAsia="Helvetica Neue" w:hAnsi="Helvetica Neue" w:cs="Helvetica Neue"/>
          <w:color w:val="16384F"/>
          <w:sz w:val="28"/>
          <w:szCs w:val="32"/>
        </w:rPr>
        <w:t>MONEDA: Euro</w:t>
      </w:r>
    </w:p>
    <w:sectPr w:rsidR="00B56C7B" w:rsidRPr="00033D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552"/>
    <w:multiLevelType w:val="hybridMultilevel"/>
    <w:tmpl w:val="7F6CBEB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606F"/>
    <w:multiLevelType w:val="multilevel"/>
    <w:tmpl w:val="9B98A2BE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706911"/>
    <w:multiLevelType w:val="hybridMultilevel"/>
    <w:tmpl w:val="EA882A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E08"/>
    <w:multiLevelType w:val="multilevel"/>
    <w:tmpl w:val="E73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752D9"/>
    <w:multiLevelType w:val="multilevel"/>
    <w:tmpl w:val="0ACEFA52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FA82327"/>
    <w:multiLevelType w:val="hybridMultilevel"/>
    <w:tmpl w:val="6FB888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E4FA3"/>
    <w:multiLevelType w:val="multilevel"/>
    <w:tmpl w:val="B7385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9328C6"/>
    <w:multiLevelType w:val="multilevel"/>
    <w:tmpl w:val="F59860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2E91311B"/>
    <w:multiLevelType w:val="hybridMultilevel"/>
    <w:tmpl w:val="45C2B57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E4494"/>
    <w:multiLevelType w:val="hybridMultilevel"/>
    <w:tmpl w:val="2FB8286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D4853"/>
    <w:multiLevelType w:val="multilevel"/>
    <w:tmpl w:val="C11E4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CB5B01"/>
    <w:multiLevelType w:val="multilevel"/>
    <w:tmpl w:val="ED9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17F51"/>
    <w:multiLevelType w:val="multilevel"/>
    <w:tmpl w:val="3C7812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09066FC"/>
    <w:multiLevelType w:val="multilevel"/>
    <w:tmpl w:val="4E04792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579004F5"/>
    <w:multiLevelType w:val="multilevel"/>
    <w:tmpl w:val="CF300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C03DBC"/>
    <w:multiLevelType w:val="multilevel"/>
    <w:tmpl w:val="19C29A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5C1A090C"/>
    <w:multiLevelType w:val="multilevel"/>
    <w:tmpl w:val="737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B4CD0"/>
    <w:multiLevelType w:val="hybridMultilevel"/>
    <w:tmpl w:val="C04CCC44"/>
    <w:lvl w:ilvl="0" w:tplc="CEC88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E525A"/>
    <w:multiLevelType w:val="multilevel"/>
    <w:tmpl w:val="0ACA6978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73C513DF"/>
    <w:multiLevelType w:val="multilevel"/>
    <w:tmpl w:val="113CA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5691AF3"/>
    <w:multiLevelType w:val="hybridMultilevel"/>
    <w:tmpl w:val="1D64F71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8"/>
  </w:num>
  <w:num w:numId="5">
    <w:abstractNumId w:val="13"/>
  </w:num>
  <w:num w:numId="6">
    <w:abstractNumId w:val="4"/>
  </w:num>
  <w:num w:numId="7">
    <w:abstractNumId w:val="17"/>
  </w:num>
  <w:num w:numId="8">
    <w:abstractNumId w:val="6"/>
  </w:num>
  <w:num w:numId="9">
    <w:abstractNumId w:val="1"/>
  </w:num>
  <w:num w:numId="10">
    <w:abstractNumId w:val="19"/>
  </w:num>
  <w:num w:numId="11">
    <w:abstractNumId w:val="14"/>
  </w:num>
  <w:num w:numId="12">
    <w:abstractNumId w:val="2"/>
  </w:num>
  <w:num w:numId="13">
    <w:abstractNumId w:val="5"/>
  </w:num>
  <w:num w:numId="14">
    <w:abstractNumId w:val="20"/>
  </w:num>
  <w:num w:numId="15">
    <w:abstractNumId w:val="9"/>
  </w:num>
  <w:num w:numId="16">
    <w:abstractNumId w:val="8"/>
  </w:num>
  <w:num w:numId="17">
    <w:abstractNumId w:val="0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72"/>
    <w:rsid w:val="00013057"/>
    <w:rsid w:val="00033DFE"/>
    <w:rsid w:val="0004488C"/>
    <w:rsid w:val="000532BF"/>
    <w:rsid w:val="00070E37"/>
    <w:rsid w:val="000D28EF"/>
    <w:rsid w:val="000E33A1"/>
    <w:rsid w:val="000E5B9B"/>
    <w:rsid w:val="000F65E8"/>
    <w:rsid w:val="00114FD3"/>
    <w:rsid w:val="00116430"/>
    <w:rsid w:val="001430FE"/>
    <w:rsid w:val="00161962"/>
    <w:rsid w:val="001629AF"/>
    <w:rsid w:val="0019596C"/>
    <w:rsid w:val="001C2328"/>
    <w:rsid w:val="001F2372"/>
    <w:rsid w:val="002248F6"/>
    <w:rsid w:val="002318D6"/>
    <w:rsid w:val="00234EED"/>
    <w:rsid w:val="002A70A0"/>
    <w:rsid w:val="002D3512"/>
    <w:rsid w:val="002E39D6"/>
    <w:rsid w:val="0030278F"/>
    <w:rsid w:val="00317ADD"/>
    <w:rsid w:val="00345DEB"/>
    <w:rsid w:val="003A78B0"/>
    <w:rsid w:val="003C7866"/>
    <w:rsid w:val="0046288F"/>
    <w:rsid w:val="004B627B"/>
    <w:rsid w:val="004D35C4"/>
    <w:rsid w:val="00510E0E"/>
    <w:rsid w:val="00531831"/>
    <w:rsid w:val="0056068C"/>
    <w:rsid w:val="00590EEB"/>
    <w:rsid w:val="005A27DA"/>
    <w:rsid w:val="005B6A4B"/>
    <w:rsid w:val="005E32D6"/>
    <w:rsid w:val="005F453D"/>
    <w:rsid w:val="006114CE"/>
    <w:rsid w:val="006570A0"/>
    <w:rsid w:val="00670AF0"/>
    <w:rsid w:val="006C669C"/>
    <w:rsid w:val="006E6C47"/>
    <w:rsid w:val="00710E35"/>
    <w:rsid w:val="00725548"/>
    <w:rsid w:val="00763F33"/>
    <w:rsid w:val="00776189"/>
    <w:rsid w:val="00784ECF"/>
    <w:rsid w:val="00787E8C"/>
    <w:rsid w:val="007A32E3"/>
    <w:rsid w:val="007D6B9A"/>
    <w:rsid w:val="007E1C42"/>
    <w:rsid w:val="00865BE3"/>
    <w:rsid w:val="0086614E"/>
    <w:rsid w:val="008E2E03"/>
    <w:rsid w:val="008F67FE"/>
    <w:rsid w:val="0091442D"/>
    <w:rsid w:val="00940386"/>
    <w:rsid w:val="00942171"/>
    <w:rsid w:val="00951828"/>
    <w:rsid w:val="009849A5"/>
    <w:rsid w:val="00986AA4"/>
    <w:rsid w:val="009870CA"/>
    <w:rsid w:val="009A14CC"/>
    <w:rsid w:val="00A0512B"/>
    <w:rsid w:val="00A11418"/>
    <w:rsid w:val="00A147A6"/>
    <w:rsid w:val="00A275AE"/>
    <w:rsid w:val="00A4276C"/>
    <w:rsid w:val="00A531C3"/>
    <w:rsid w:val="00AD7F1A"/>
    <w:rsid w:val="00B05658"/>
    <w:rsid w:val="00B17842"/>
    <w:rsid w:val="00B32183"/>
    <w:rsid w:val="00B32FFB"/>
    <w:rsid w:val="00B56C7B"/>
    <w:rsid w:val="00B57F44"/>
    <w:rsid w:val="00B60AAC"/>
    <w:rsid w:val="00B85678"/>
    <w:rsid w:val="00BF519E"/>
    <w:rsid w:val="00C31878"/>
    <w:rsid w:val="00C53857"/>
    <w:rsid w:val="00C54A3E"/>
    <w:rsid w:val="00C62EB4"/>
    <w:rsid w:val="00CA0DD2"/>
    <w:rsid w:val="00CF4971"/>
    <w:rsid w:val="00D0753D"/>
    <w:rsid w:val="00D165AF"/>
    <w:rsid w:val="00D31088"/>
    <w:rsid w:val="00D56835"/>
    <w:rsid w:val="00D95A73"/>
    <w:rsid w:val="00E06D49"/>
    <w:rsid w:val="00E1377D"/>
    <w:rsid w:val="00E62792"/>
    <w:rsid w:val="00E65771"/>
    <w:rsid w:val="00E82264"/>
    <w:rsid w:val="00E86E41"/>
    <w:rsid w:val="00EB76BA"/>
    <w:rsid w:val="00EB77F3"/>
    <w:rsid w:val="00EC78F0"/>
    <w:rsid w:val="00ED7307"/>
    <w:rsid w:val="00F16B9D"/>
    <w:rsid w:val="00F44A7D"/>
    <w:rsid w:val="00F91D07"/>
    <w:rsid w:val="00F936B9"/>
    <w:rsid w:val="00FF202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85A96"/>
  <w15:docId w15:val="{44DABE32-942A-4AF7-87C9-DC608D7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2"/>
        <w:szCs w:val="22"/>
        <w:lang w:val="es-CO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/>
      <w:jc w:val="center"/>
      <w:outlineLvl w:val="0"/>
    </w:pPr>
    <w:rPr>
      <w:rFonts w:ascii="Helvetica Neue" w:eastAsia="Helvetica Neue" w:hAnsi="Helvetica Neue" w:cs="Helvetica Neue"/>
      <w:color w:val="0B5394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/>
      <w:jc w:val="center"/>
      <w:outlineLvl w:val="1"/>
    </w:pPr>
    <w:rPr>
      <w:rFonts w:ascii="Helvetica Neue" w:eastAsia="Helvetica Neue" w:hAnsi="Helvetica Neue" w:cs="Helvetica Neue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Helvetica Neue" w:eastAsia="Helvetica Neue" w:hAnsi="Helvetica Neue" w:cs="Helvetica Neue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Helvetica Neue" w:eastAsia="Helvetica Neue" w:hAnsi="Helvetica Neue" w:cs="Helvetica Neue"/>
      <w:i/>
      <w:sz w:val="30"/>
      <w:szCs w:val="3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Helvetica Neue" w:eastAsia="Helvetica Neue" w:hAnsi="Helvetica Neue" w:cs="Helvetica Neue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Helvetica Neue" w:eastAsia="Helvetica Neue" w:hAnsi="Helvetica Neue" w:cs="Helvetica Neue"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8" w:color="0BD0D9"/>
        <w:bottom w:val="single" w:sz="6" w:space="8" w:color="0BD0D9"/>
      </w:pBdr>
      <w:spacing w:after="400"/>
      <w:jc w:val="center"/>
    </w:pPr>
    <w:rPr>
      <w:rFonts w:ascii="Helvetica Neue" w:eastAsia="Helvetica Neue" w:hAnsi="Helvetica Neue" w:cs="Helvetica Neue"/>
      <w:smallCaps/>
      <w:color w:val="17406D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17406D"/>
      <w:sz w:val="28"/>
      <w:szCs w:val="28"/>
    </w:rPr>
  </w:style>
  <w:style w:type="paragraph" w:styleId="Prrafodelista">
    <w:name w:val="List Paragraph"/>
    <w:basedOn w:val="Normal"/>
    <w:uiPriority w:val="34"/>
    <w:qFormat/>
    <w:rsid w:val="00C54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8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8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styleId="Textoennegrita">
    <w:name w:val="Strong"/>
    <w:basedOn w:val="Fuentedeprrafopredeter"/>
    <w:uiPriority w:val="22"/>
    <w:qFormat/>
    <w:rsid w:val="0014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migracioncolombia.gov.co/preregistro/public/preregistro.jsf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gPm7/tCPUGt1cbPQdk8Bc+/uw==">CgMxLjAyCGguZ2pkZ3hzMgloLjMwajB6bGw4AHIhMXQ1SlNGcEttUm5UREhGa1FHdDFEdFp5c1g5ODNrSGEt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741836-E5C5-4F4D-9428-B0C08D9C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Consolidators TM</dc:creator>
  <cp:lastModifiedBy>Consolidators TM</cp:lastModifiedBy>
  <cp:revision>3</cp:revision>
  <dcterms:created xsi:type="dcterms:W3CDTF">2024-05-23T16:17:00Z</dcterms:created>
  <dcterms:modified xsi:type="dcterms:W3CDTF">2024-05-31T13:08:00Z</dcterms:modified>
</cp:coreProperties>
</file>