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0BD11" w14:textId="77777777" w:rsidR="0082305C" w:rsidRDefault="0082305C"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p>
    <w:p w14:paraId="4FF0D1BC" w14:textId="1CE1E848" w:rsidR="00094B1C" w:rsidRPr="00094B1C" w:rsidRDefault="00496A61" w:rsidP="0082305C">
      <w:pPr>
        <w:shd w:val="clear" w:color="auto" w:fill="FFFFFF"/>
        <w:jc w:val="center"/>
        <w:textAlignment w:val="baseline"/>
        <w:rPr>
          <w:color w:val="000000"/>
          <w:sz w:val="26"/>
          <w:szCs w:val="26"/>
          <w:lang w:eastAsia="es-CO"/>
        </w:rPr>
      </w:pPr>
      <w:r>
        <w:rPr>
          <w:rFonts w:ascii="Century Gothic" w:hAnsi="Century Gothic"/>
          <w:b/>
          <w:bCs/>
          <w:color w:val="2F5496"/>
          <w:sz w:val="36"/>
          <w:szCs w:val="36"/>
          <w:bdr w:val="none" w:sz="0" w:space="0" w:color="auto" w:frame="1"/>
          <w:lang w:eastAsia="es-CO"/>
        </w:rPr>
        <w:t>Iberostar</w:t>
      </w:r>
      <w:r w:rsidR="0082305C">
        <w:rPr>
          <w:rFonts w:ascii="Century Gothic" w:hAnsi="Century Gothic"/>
          <w:b/>
          <w:bCs/>
          <w:color w:val="2F5496"/>
          <w:sz w:val="36"/>
          <w:szCs w:val="36"/>
          <w:bdr w:val="none" w:sz="0" w:space="0" w:color="auto" w:frame="1"/>
          <w:lang w:eastAsia="es-CO"/>
        </w:rPr>
        <w:t xml:space="preserve"> Selection</w:t>
      </w:r>
      <w:r w:rsidR="004B748B" w:rsidRPr="004B748B">
        <w:rPr>
          <w:rFonts w:ascii="Century Gothic" w:hAnsi="Century Gothic"/>
          <w:b/>
          <w:bCs/>
          <w:color w:val="2F5496"/>
          <w:sz w:val="36"/>
          <w:szCs w:val="36"/>
          <w:bdr w:val="none" w:sz="0" w:space="0" w:color="auto" w:frame="1"/>
          <w:lang w:eastAsia="es-CO"/>
        </w:rPr>
        <w:t xml:space="preserve"> </w:t>
      </w:r>
      <w:r>
        <w:rPr>
          <w:rFonts w:ascii="Century Gothic" w:hAnsi="Century Gothic"/>
          <w:b/>
          <w:bCs/>
          <w:color w:val="2F5496"/>
          <w:sz w:val="36"/>
          <w:szCs w:val="36"/>
          <w:bdr w:val="none" w:sz="0" w:space="0" w:color="auto" w:frame="1"/>
          <w:lang w:eastAsia="es-CO"/>
        </w:rPr>
        <w:t>Parque</w:t>
      </w:r>
      <w:r w:rsidR="004B748B" w:rsidRPr="004B748B">
        <w:rPr>
          <w:rFonts w:ascii="Century Gothic" w:hAnsi="Century Gothic"/>
          <w:b/>
          <w:bCs/>
          <w:color w:val="2F5496"/>
          <w:sz w:val="36"/>
          <w:szCs w:val="36"/>
          <w:bdr w:val="none" w:sz="0" w:space="0" w:color="auto" w:frame="1"/>
          <w:lang w:eastAsia="es-CO"/>
        </w:rPr>
        <w:t xml:space="preserve"> </w:t>
      </w:r>
      <w:r>
        <w:rPr>
          <w:rFonts w:ascii="Century Gothic" w:hAnsi="Century Gothic"/>
          <w:b/>
          <w:bCs/>
          <w:color w:val="2F5496"/>
          <w:sz w:val="36"/>
          <w:szCs w:val="36"/>
          <w:bdr w:val="none" w:sz="0" w:space="0" w:color="auto" w:frame="1"/>
          <w:lang w:eastAsia="es-CO"/>
        </w:rPr>
        <w:t>Central</w:t>
      </w:r>
    </w:p>
    <w:p w14:paraId="188C0FDA" w14:textId="77777777" w:rsidR="0082305C" w:rsidRDefault="0082305C" w:rsidP="00586CD1">
      <w:pPr>
        <w:shd w:val="clear" w:color="auto" w:fill="FFFFFF"/>
        <w:textAlignment w:val="baseline"/>
        <w:rPr>
          <w:rFonts w:ascii="Century Gothic" w:hAnsi="Century Gothic"/>
          <w:b/>
          <w:bCs/>
          <w:color w:val="28ABB9"/>
          <w:sz w:val="24"/>
          <w:szCs w:val="24"/>
          <w:bdr w:val="none" w:sz="0" w:space="0" w:color="auto" w:frame="1"/>
          <w:lang w:eastAsia="es-CO"/>
        </w:rPr>
      </w:pPr>
    </w:p>
    <w:p w14:paraId="4BE6662C" w14:textId="77777777" w:rsidR="0082305C" w:rsidRDefault="0082305C" w:rsidP="00586CD1">
      <w:pPr>
        <w:shd w:val="clear" w:color="auto" w:fill="FFFFFF"/>
        <w:textAlignment w:val="baseline"/>
        <w:rPr>
          <w:rFonts w:ascii="Century Gothic" w:hAnsi="Century Gothic"/>
          <w:b/>
          <w:bCs/>
          <w:color w:val="28ABB9"/>
          <w:sz w:val="24"/>
          <w:szCs w:val="24"/>
          <w:bdr w:val="none" w:sz="0" w:space="0" w:color="auto" w:frame="1"/>
          <w:lang w:eastAsia="es-CO"/>
        </w:rPr>
      </w:pPr>
    </w:p>
    <w:p w14:paraId="1E7E9B9A" w14:textId="77777777" w:rsidR="0082305C" w:rsidRDefault="0082305C" w:rsidP="00586CD1">
      <w:pPr>
        <w:shd w:val="clear" w:color="auto" w:fill="FFFFFF"/>
        <w:textAlignment w:val="baseline"/>
        <w:rPr>
          <w:rFonts w:ascii="Century Gothic" w:hAnsi="Century Gothic"/>
          <w:b/>
          <w:bCs/>
          <w:color w:val="28ABB9"/>
          <w:sz w:val="24"/>
          <w:szCs w:val="24"/>
          <w:bdr w:val="none" w:sz="0" w:space="0" w:color="auto" w:frame="1"/>
          <w:lang w:eastAsia="es-CO"/>
        </w:rPr>
      </w:pPr>
    </w:p>
    <w:p w14:paraId="5A7385BE" w14:textId="77777777" w:rsidR="0082305C" w:rsidRDefault="0082305C" w:rsidP="00586CD1">
      <w:pPr>
        <w:shd w:val="clear" w:color="auto" w:fill="FFFFFF"/>
        <w:textAlignment w:val="baseline"/>
        <w:rPr>
          <w:rFonts w:ascii="Century Gothic" w:hAnsi="Century Gothic"/>
          <w:b/>
          <w:bCs/>
          <w:color w:val="28ABB9"/>
          <w:sz w:val="24"/>
          <w:szCs w:val="24"/>
          <w:bdr w:val="none" w:sz="0" w:space="0" w:color="auto" w:frame="1"/>
          <w:lang w:eastAsia="es-CO"/>
        </w:rPr>
      </w:pPr>
    </w:p>
    <w:p w14:paraId="0CD34F7A" w14:textId="7A243789"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4D5DEFEA" w14:textId="77777777"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Traslados aeropuerto - hotel - aeropuerto en servicio regular compartido</w:t>
      </w:r>
    </w:p>
    <w:p w14:paraId="1A03F7A2" w14:textId="76AD9FBD"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 xml:space="preserve">03 noches de alojamiento en el hotel </w:t>
      </w:r>
      <w:r w:rsidR="00E514C2" w:rsidRPr="00E514C2">
        <w:rPr>
          <w:rFonts w:ascii="Century Gothic" w:hAnsi="Century Gothic"/>
          <w:color w:val="000000"/>
          <w:sz w:val="24"/>
          <w:szCs w:val="24"/>
          <w:bdr w:val="none" w:sz="0" w:space="0" w:color="auto" w:frame="1"/>
          <w:lang w:eastAsia="es-CO"/>
        </w:rPr>
        <w:t>Iberostar</w:t>
      </w:r>
      <w:r w:rsidR="0082305C">
        <w:rPr>
          <w:rFonts w:ascii="Century Gothic" w:hAnsi="Century Gothic"/>
          <w:color w:val="000000"/>
          <w:sz w:val="24"/>
          <w:szCs w:val="24"/>
          <w:bdr w:val="none" w:sz="0" w:space="0" w:color="auto" w:frame="1"/>
          <w:lang w:eastAsia="es-CO"/>
        </w:rPr>
        <w:t xml:space="preserve"> Selection</w:t>
      </w:r>
      <w:r w:rsidR="00E514C2" w:rsidRPr="00E514C2">
        <w:rPr>
          <w:rFonts w:ascii="Century Gothic" w:hAnsi="Century Gothic"/>
          <w:color w:val="000000"/>
          <w:sz w:val="24"/>
          <w:szCs w:val="24"/>
          <w:bdr w:val="none" w:sz="0" w:space="0" w:color="auto" w:frame="1"/>
          <w:lang w:eastAsia="es-CO"/>
        </w:rPr>
        <w:t xml:space="preserve"> Parque Central</w:t>
      </w:r>
      <w:r w:rsidR="00E514C2">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 xml:space="preserve">en </w:t>
      </w:r>
      <w:r w:rsidR="00E514C2" w:rsidRPr="00E514C2">
        <w:rPr>
          <w:rFonts w:ascii="Century Gothic" w:hAnsi="Century Gothic"/>
          <w:color w:val="000000"/>
          <w:sz w:val="24"/>
          <w:szCs w:val="24"/>
          <w:bdr w:val="none" w:sz="0" w:space="0" w:color="auto" w:frame="1"/>
          <w:lang w:eastAsia="es-CO"/>
        </w:rPr>
        <w:t xml:space="preserve">habitación Doble </w:t>
      </w:r>
      <w:r w:rsidR="0082305C">
        <w:rPr>
          <w:rFonts w:ascii="Century Gothic" w:hAnsi="Century Gothic"/>
          <w:color w:val="000000"/>
          <w:sz w:val="24"/>
          <w:szCs w:val="24"/>
          <w:bdr w:val="none" w:sz="0" w:space="0" w:color="auto" w:frame="1"/>
          <w:lang w:eastAsia="es-CO"/>
        </w:rPr>
        <w:t>colonial</w:t>
      </w:r>
      <w:r w:rsidRPr="004B748B">
        <w:rPr>
          <w:rFonts w:ascii="Century Gothic" w:hAnsi="Century Gothic"/>
          <w:color w:val="000000"/>
          <w:sz w:val="24"/>
          <w:szCs w:val="24"/>
          <w:bdr w:val="none" w:sz="0" w:space="0" w:color="auto" w:frame="1"/>
          <w:lang w:eastAsia="es-CO"/>
        </w:rPr>
        <w:t>.</w:t>
      </w:r>
    </w:p>
    <w:p w14:paraId="61442E8F" w14:textId="5DD9932F"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Plan de alimentación desayuno.</w:t>
      </w:r>
    </w:p>
    <w:p w14:paraId="0D343ACD" w14:textId="2570FA6C" w:rsidR="00094B1C" w:rsidRDefault="00C73C92" w:rsidP="004B748B">
      <w:pPr>
        <w:pStyle w:val="Prrafodelista"/>
        <w:numPr>
          <w:ilvl w:val="0"/>
          <w:numId w:val="7"/>
        </w:numPr>
        <w:shd w:val="clear" w:color="auto" w:fill="FFFFFF"/>
        <w:textAlignment w:val="baseline"/>
        <w:rPr>
          <w:color w:val="000000"/>
          <w:sz w:val="26"/>
          <w:szCs w:val="26"/>
          <w:lang w:val="en-US" w:eastAsia="es-CO"/>
        </w:rPr>
      </w:pPr>
      <w:r w:rsidRPr="00C73C92">
        <w:rPr>
          <w:rFonts w:ascii="Century Gothic" w:hAnsi="Century Gothic"/>
          <w:b/>
          <w:bCs/>
          <w:color w:val="000000"/>
          <w:sz w:val="24"/>
          <w:szCs w:val="24"/>
          <w:bdr w:val="none" w:sz="0" w:space="0" w:color="auto" w:frame="1"/>
          <w:lang w:eastAsia="es-CO"/>
        </w:rPr>
        <w:t>Visita a la ciudad</w:t>
      </w:r>
      <w:r w:rsidRPr="00C73C92">
        <w:rPr>
          <w:rFonts w:ascii="Century Gothic" w:hAnsi="Century Gothic"/>
          <w:color w:val="000000"/>
          <w:sz w:val="24"/>
          <w:szCs w:val="24"/>
          <w:bdr w:val="none" w:sz="0" w:space="0" w:color="auto" w:frame="1"/>
          <w:lang w:eastAsia="es-CO"/>
        </w:rPr>
        <w:t xml:space="preserve">: Recogida en los hoteles en </w:t>
      </w:r>
      <w:r w:rsidR="00E07381">
        <w:rPr>
          <w:rFonts w:ascii="Century Gothic" w:hAnsi="Century Gothic"/>
          <w:color w:val="000000"/>
          <w:sz w:val="24"/>
          <w:szCs w:val="24"/>
          <w:bdr w:val="none" w:sz="0" w:space="0" w:color="auto" w:frame="1"/>
          <w:lang w:eastAsia="es-CO"/>
        </w:rPr>
        <w:t>ómni</w:t>
      </w:r>
      <w:r w:rsidRPr="00C73C92">
        <w:rPr>
          <w:rFonts w:ascii="Century Gothic" w:hAnsi="Century Gothic"/>
          <w:color w:val="000000"/>
          <w:sz w:val="24"/>
          <w:szCs w:val="24"/>
          <w:bdr w:val="none" w:sz="0" w:space="0" w:color="auto" w:frame="1"/>
          <w:lang w:eastAsia="es-CO"/>
        </w:rPr>
        <w:t>bus climatizado según horario escalonado establecido para la excursión.</w:t>
      </w:r>
      <w:r w:rsidRPr="00C73C92">
        <w:rPr>
          <w:rFonts w:ascii="Century Gothic" w:hAnsi="Century Gothic"/>
          <w:color w:val="000000"/>
          <w:sz w:val="24"/>
          <w:szCs w:val="24"/>
          <w:bdr w:val="none" w:sz="0" w:space="0" w:color="auto" w:frame="1"/>
          <w:lang w:eastAsia="es-CO"/>
        </w:rPr>
        <w:br/>
        <w:t>Recorrido panorámico por lugares de interés de la ciudad, incluyendo el Centro Histórico, declarado por la UNESCO Patrimonio Cultural de la Humanidad y La Habana Moderna.</w:t>
      </w:r>
      <w:r w:rsidRPr="00C73C92">
        <w:rPr>
          <w:rFonts w:ascii="Century Gothic" w:hAnsi="Century Gothic"/>
          <w:color w:val="000000"/>
          <w:sz w:val="24"/>
          <w:szCs w:val="24"/>
          <w:bdr w:val="none" w:sz="0" w:space="0" w:color="auto" w:frame="1"/>
          <w:lang w:eastAsia="es-CO"/>
        </w:rPr>
        <w:br/>
      </w:r>
      <w:r w:rsidRPr="00C73C92">
        <w:rPr>
          <w:rFonts w:ascii="Century Gothic" w:hAnsi="Century Gothic"/>
          <w:b/>
          <w:bCs/>
          <w:color w:val="000000"/>
          <w:sz w:val="24"/>
          <w:szCs w:val="24"/>
          <w:bdr w:val="none" w:sz="0" w:space="0" w:color="auto" w:frame="1"/>
          <w:lang w:eastAsia="es-CO"/>
        </w:rPr>
        <w:t>Sitios de interés</w:t>
      </w:r>
      <w:r w:rsidRPr="00C73C92">
        <w:rPr>
          <w:rFonts w:ascii="Century Gothic" w:hAnsi="Century Gothic"/>
          <w:color w:val="000000"/>
          <w:sz w:val="24"/>
          <w:szCs w:val="24"/>
          <w:bdr w:val="none" w:sz="0" w:space="0" w:color="auto" w:frame="1"/>
          <w:lang w:eastAsia="es-CO"/>
        </w:rPr>
        <w:t>: Palacio Presidencial, Parque Central, Capitolio, bar-restaurante Floridita, bar-restaurante La Bodeguita del Medio, Plaza de la Catedral, Plaza de Armas, Malecón, Universidad de La Habana y Plaza de la Revolución.</w:t>
      </w:r>
      <w:r w:rsidRPr="00C73C92">
        <w:rPr>
          <w:rFonts w:ascii="Century Gothic" w:hAnsi="Century Gothic"/>
          <w:color w:val="000000"/>
          <w:sz w:val="24"/>
          <w:szCs w:val="24"/>
          <w:bdr w:val="none" w:sz="0" w:space="0" w:color="auto" w:frame="1"/>
          <w:lang w:eastAsia="es-CO"/>
        </w:rPr>
        <w:br/>
        <w:t>Parada para la toma de fotografías y videos.</w:t>
      </w:r>
      <w:r w:rsidRPr="00C73C92">
        <w:rPr>
          <w:rFonts w:ascii="Century Gothic" w:hAnsi="Century Gothic"/>
          <w:color w:val="000000"/>
          <w:sz w:val="24"/>
          <w:szCs w:val="24"/>
          <w:bdr w:val="none" w:sz="0" w:space="0" w:color="auto" w:frame="1"/>
          <w:lang w:eastAsia="es-CO"/>
        </w:rPr>
        <w:br/>
        <w:t>Visita al mirador del Gran Parque Histórico Militar Morro-Cabaña, área exterior.</w:t>
      </w:r>
      <w:r w:rsidRPr="00C73C92">
        <w:rPr>
          <w:rFonts w:ascii="Century Gothic" w:hAnsi="Century Gothic"/>
          <w:color w:val="000000"/>
          <w:sz w:val="24"/>
          <w:szCs w:val="24"/>
          <w:bdr w:val="none" w:sz="0" w:space="0" w:color="auto" w:frame="1"/>
          <w:lang w:eastAsia="es-CO"/>
        </w:rPr>
        <w:br/>
        <w:t>Retorno a los Hoteles.</w:t>
      </w:r>
      <w:r w:rsidR="004B748B">
        <w:rPr>
          <w:rFonts w:ascii="Century Gothic" w:hAnsi="Century Gothic"/>
          <w:color w:val="000000"/>
          <w:sz w:val="24"/>
          <w:szCs w:val="24"/>
          <w:bdr w:val="none" w:sz="0" w:space="0" w:color="auto" w:frame="1"/>
          <w:lang w:val="en-US" w:eastAsia="es-CO"/>
        </w:rPr>
        <w:br/>
      </w:r>
    </w:p>
    <w:p w14:paraId="6DDBEE7C" w14:textId="77777777" w:rsidR="0082305C" w:rsidRPr="0082305C" w:rsidRDefault="0082305C" w:rsidP="0082305C">
      <w:pPr>
        <w:shd w:val="clear" w:color="auto" w:fill="FFFFFF"/>
        <w:ind w:left="360"/>
        <w:textAlignment w:val="baseline"/>
        <w:rPr>
          <w:rFonts w:ascii="Century Gothic" w:hAnsi="Century Gothic"/>
          <w:b/>
          <w:bCs/>
          <w:color w:val="000000"/>
          <w:sz w:val="24"/>
          <w:szCs w:val="24"/>
          <w:bdr w:val="none" w:sz="0" w:space="0" w:color="auto" w:frame="1"/>
          <w:lang w:eastAsia="es-CO"/>
        </w:rPr>
      </w:pPr>
      <w:r w:rsidRPr="0082305C">
        <w:rPr>
          <w:rFonts w:ascii="Century Gothic" w:hAnsi="Century Gothic"/>
          <w:b/>
          <w:bCs/>
          <w:color w:val="000000"/>
          <w:sz w:val="24"/>
          <w:szCs w:val="24"/>
          <w:bdr w:val="none" w:sz="0" w:space="0" w:color="auto" w:frame="1"/>
          <w:lang w:eastAsia="es-CO"/>
        </w:rPr>
        <w:t>Observaciones:</w:t>
      </w:r>
    </w:p>
    <w:p w14:paraId="2958F61F" w14:textId="77777777" w:rsidR="0082305C" w:rsidRPr="002E69CE" w:rsidRDefault="0082305C" w:rsidP="0082305C">
      <w:pPr>
        <w:pStyle w:val="Prrafodelista"/>
        <w:shd w:val="clear" w:color="auto" w:fill="FFFFFF"/>
        <w:textAlignment w:val="baseline"/>
        <w:rPr>
          <w:rFonts w:ascii="Century Gothic" w:hAnsi="Century Gothic"/>
          <w:color w:val="000000"/>
          <w:sz w:val="24"/>
          <w:szCs w:val="24"/>
          <w:bdr w:val="none" w:sz="0" w:space="0" w:color="auto" w:frame="1"/>
          <w:lang w:eastAsia="es-CO"/>
        </w:rPr>
      </w:pPr>
      <w:r w:rsidRPr="002E69CE">
        <w:rPr>
          <w:rFonts w:ascii="Century Gothic" w:hAnsi="Century Gothic"/>
          <w:color w:val="000000"/>
          <w:sz w:val="24"/>
          <w:szCs w:val="24"/>
          <w:bdr w:val="none" w:sz="0" w:space="0" w:color="auto" w:frame="1"/>
          <w:lang w:eastAsia="es-CO"/>
        </w:rPr>
        <w:t>La ejecución de esta excursión puede ser en el horario de la mañana y de la tarde.</w:t>
      </w:r>
    </w:p>
    <w:p w14:paraId="54E6CC77" w14:textId="77777777" w:rsidR="0082305C" w:rsidRPr="00A55B9D" w:rsidRDefault="0082305C" w:rsidP="0082305C">
      <w:pPr>
        <w:pStyle w:val="Prrafodelista"/>
        <w:shd w:val="clear" w:color="auto" w:fill="FFFFFF"/>
        <w:textAlignment w:val="baseline"/>
        <w:rPr>
          <w:color w:val="000000"/>
          <w:sz w:val="26"/>
          <w:szCs w:val="26"/>
          <w:lang w:val="en-US" w:eastAsia="es-CO"/>
        </w:rPr>
      </w:pPr>
      <w:r w:rsidRPr="002E69CE">
        <w:rPr>
          <w:rFonts w:ascii="Century Gothic" w:hAnsi="Century Gothic"/>
          <w:color w:val="000000"/>
          <w:sz w:val="24"/>
          <w:szCs w:val="24"/>
          <w:bdr w:val="none" w:sz="0" w:space="0" w:color="auto" w:frame="1"/>
          <w:lang w:eastAsia="es-CO"/>
        </w:rPr>
        <w:t>Sugerimos llevar: zapatos y ropa cómodos, sombrilla, gafas, botellas de agua, protector solar, abanico y cámara fotográfica.</w:t>
      </w:r>
    </w:p>
    <w:p w14:paraId="39903F5F" w14:textId="77777777" w:rsidR="0082305C" w:rsidRPr="0082305C" w:rsidRDefault="0082305C" w:rsidP="0082305C">
      <w:pPr>
        <w:shd w:val="clear" w:color="auto" w:fill="FFFFFF"/>
        <w:ind w:left="360"/>
        <w:textAlignment w:val="baseline"/>
        <w:rPr>
          <w:rFonts w:ascii="Century Gothic" w:hAnsi="Century Gothic"/>
          <w:color w:val="000000"/>
          <w:sz w:val="24"/>
          <w:szCs w:val="24"/>
          <w:bdr w:val="none" w:sz="0" w:space="0" w:color="auto" w:frame="1"/>
          <w:lang w:eastAsia="es-CO"/>
        </w:rPr>
      </w:pPr>
    </w:p>
    <w:p w14:paraId="2B2F0C8A"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0795A060"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44D5AC1C"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16793BC4"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656EE423"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4047C2A3"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DF1E793"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72C8556"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7C30718A" w14:textId="77777777"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7C06FDD" w14:textId="2198C0FD" w:rsidR="00094B1C"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lastRenderedPageBreak/>
        <w:t>Tarifas:</w:t>
      </w:r>
    </w:p>
    <w:p w14:paraId="18D533D3" w14:textId="52A2EC1F" w:rsidR="0082305C" w:rsidRDefault="0082305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82305C">
        <w:rPr>
          <w:rFonts w:ascii="Century Gothic" w:hAnsi="Century Gothic"/>
          <w:b/>
          <w:bCs/>
          <w:color w:val="28ABB9"/>
          <w:sz w:val="24"/>
          <w:szCs w:val="24"/>
          <w:bdr w:val="none" w:sz="0" w:space="0" w:color="auto" w:frame="1"/>
          <w:lang w:eastAsia="es-CO"/>
        </w:rPr>
        <w:drawing>
          <wp:inline distT="0" distB="0" distL="0" distR="0" wp14:anchorId="4F493B1A" wp14:editId="513AC413">
            <wp:extent cx="5612130" cy="4962525"/>
            <wp:effectExtent l="0" t="0" r="7620" b="9525"/>
            <wp:docPr id="114301364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13642" name="Imagen 1" descr="Tabla&#10;&#10;Descripción generada automáticamente"/>
                    <pic:cNvPicPr/>
                  </pic:nvPicPr>
                  <pic:blipFill>
                    <a:blip r:embed="rId7"/>
                    <a:stretch>
                      <a:fillRect/>
                    </a:stretch>
                  </pic:blipFill>
                  <pic:spPr>
                    <a:xfrm>
                      <a:off x="0" y="0"/>
                      <a:ext cx="5612130" cy="4962525"/>
                    </a:xfrm>
                    <a:prstGeom prst="rect">
                      <a:avLst/>
                    </a:prstGeom>
                  </pic:spPr>
                </pic:pic>
              </a:graphicData>
            </a:graphic>
          </wp:inline>
        </w:drawing>
      </w:r>
    </w:p>
    <w:p w14:paraId="4282AA3E" w14:textId="7203E9F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552C6C">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1C8C67C9" w14:textId="5DD083BF" w:rsidR="004B748B" w:rsidRP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711B2BB1" w14:textId="77777777" w:rsidR="004B748B" w:rsidRDefault="004B748B" w:rsidP="00C9121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77E57523" w14:textId="77777777"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Tarjeta de asistencia médica, consulta con su asesor.</w:t>
      </w:r>
    </w:p>
    <w:p w14:paraId="4D2F719C" w14:textId="44551ADC"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Tarjeta de turismo USD 2</w:t>
      </w:r>
      <w:r w:rsidR="008669EF">
        <w:rPr>
          <w:rFonts w:ascii="Century Gothic" w:hAnsi="Century Gothic"/>
          <w:color w:val="000000"/>
          <w:sz w:val="24"/>
          <w:szCs w:val="24"/>
          <w:bdr w:val="none" w:sz="0" w:space="0" w:color="auto" w:frame="1"/>
          <w:lang w:eastAsia="es-CO"/>
        </w:rPr>
        <w:t>5</w:t>
      </w:r>
      <w:r w:rsidRPr="004B748B">
        <w:rPr>
          <w:rFonts w:ascii="Century Gothic" w:hAnsi="Century Gothic"/>
          <w:color w:val="000000"/>
          <w:sz w:val="24"/>
          <w:szCs w:val="24"/>
          <w:bdr w:val="none" w:sz="0" w:space="0" w:color="auto" w:frame="1"/>
          <w:lang w:eastAsia="es-CO"/>
        </w:rPr>
        <w:t xml:space="preserve"> (sujeto a cambio sin previo aviso).</w:t>
      </w:r>
    </w:p>
    <w:p w14:paraId="571F0E40" w14:textId="77777777"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p>
    <w:p w14:paraId="746AA4A1" w14:textId="77777777"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Extras en los hoteles como: servicio telefónico, lavandería, etc.</w:t>
      </w:r>
    </w:p>
    <w:p w14:paraId="101AAF59" w14:textId="77777777" w:rsidR="004B748B" w:rsidRPr="004B748B" w:rsidRDefault="004B748B" w:rsidP="004B748B">
      <w:pPr>
        <w:pStyle w:val="Prrafodelista"/>
        <w:numPr>
          <w:ilvl w:val="0"/>
          <w:numId w:val="7"/>
        </w:numPr>
        <w:shd w:val="clear" w:color="auto" w:fill="FFFFFF"/>
        <w:textAlignment w:val="baseline"/>
        <w:rPr>
          <w:color w:val="000000"/>
          <w:sz w:val="26"/>
          <w:szCs w:val="26"/>
          <w:lang w:eastAsia="es-CO"/>
        </w:rPr>
      </w:pPr>
      <w:r w:rsidRPr="004B748B">
        <w:rPr>
          <w:rFonts w:ascii="Century Gothic" w:hAnsi="Century Gothic"/>
          <w:color w:val="000000"/>
          <w:sz w:val="24"/>
          <w:szCs w:val="24"/>
          <w:bdr w:val="none" w:sz="0" w:space="0" w:color="auto" w:frame="1"/>
          <w:lang w:eastAsia="es-CO"/>
        </w:rPr>
        <w:t>Cualquier gasto no especifico en el programa.</w:t>
      </w:r>
    </w:p>
    <w:p w14:paraId="09FB6DA4" w14:textId="104A82DB" w:rsidR="00094B1C" w:rsidRPr="00094B1C" w:rsidRDefault="004B748B" w:rsidP="004B748B">
      <w:pPr>
        <w:pStyle w:val="Prrafodelista"/>
        <w:numPr>
          <w:ilvl w:val="0"/>
          <w:numId w:val="7"/>
        </w:numPr>
        <w:shd w:val="clear" w:color="auto" w:fill="FFFFFF"/>
        <w:textAlignment w:val="baseline"/>
        <w:rPr>
          <w:color w:val="000000"/>
          <w:sz w:val="26"/>
          <w:szCs w:val="26"/>
          <w:lang w:eastAsia="es-CO"/>
        </w:rPr>
      </w:pPr>
      <w:r w:rsidRPr="004B748B">
        <w:rPr>
          <w:rFonts w:ascii="Century Gothic" w:hAnsi="Century Gothic"/>
          <w:color w:val="000000"/>
          <w:sz w:val="24"/>
          <w:szCs w:val="24"/>
          <w:bdr w:val="none" w:sz="0" w:space="0" w:color="auto" w:frame="1"/>
          <w:lang w:eastAsia="es-CO"/>
        </w:rPr>
        <w:lastRenderedPageBreak/>
        <w:t>Suplemento cena navidad y fin de año, consulte con su asesor.</w:t>
      </w:r>
      <w:r w:rsidRPr="004B748B">
        <w:rPr>
          <w:rFonts w:ascii="Century Gothic" w:hAnsi="Century Gothic"/>
          <w:color w:val="000000"/>
          <w:sz w:val="24"/>
          <w:szCs w:val="24"/>
          <w:bdr w:val="none" w:sz="0" w:space="0" w:color="auto" w:frame="1"/>
          <w:lang w:eastAsia="es-CO"/>
        </w:rPr>
        <w:c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6FA826D" w14:textId="77777777"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p>
    <w:p w14:paraId="51B9BEFD" w14:textId="70A13579"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Ropa y Calzado Sport</w:t>
      </w:r>
      <w:r>
        <w:rPr>
          <w:rFonts w:ascii="Century Gothic" w:hAnsi="Century Gothic"/>
          <w:color w:val="000000"/>
          <w:sz w:val="24"/>
          <w:szCs w:val="24"/>
          <w:bdr w:val="none" w:sz="0" w:space="0" w:color="auto" w:frame="1"/>
          <w:lang w:eastAsia="es-CO"/>
        </w:rPr>
        <w:t>.</w:t>
      </w:r>
    </w:p>
    <w:p w14:paraId="3A61AD9A" w14:textId="4F57A6A7" w:rsidR="004B748B" w:rsidRPr="004B748B" w:rsidRDefault="004B748B" w:rsidP="004B748B">
      <w:pPr>
        <w:pStyle w:val="Prrafodelista"/>
        <w:numPr>
          <w:ilvl w:val="0"/>
          <w:numId w:val="7"/>
        </w:numPr>
        <w:shd w:val="clear" w:color="auto" w:fill="FFFFFF"/>
        <w:textAlignment w:val="baseline"/>
        <w:rPr>
          <w:rFonts w:ascii="Century Gothic" w:hAnsi="Century Gothic" w:cs="Tahoma"/>
          <w:sz w:val="24"/>
          <w:szCs w:val="24"/>
        </w:rPr>
      </w:pPr>
      <w:r w:rsidRPr="004B748B">
        <w:rPr>
          <w:rFonts w:ascii="Century Gothic" w:hAnsi="Century Gothic"/>
          <w:color w:val="000000"/>
          <w:sz w:val="24"/>
          <w:szCs w:val="24"/>
          <w:bdr w:val="none" w:sz="0" w:space="0" w:color="auto" w:frame="1"/>
          <w:lang w:eastAsia="es-CO"/>
        </w:rPr>
        <w:t>Cámara fotográfica</w:t>
      </w:r>
      <w:r>
        <w:rPr>
          <w:rFonts w:ascii="Century Gothic" w:hAnsi="Century Gothic"/>
          <w:color w:val="000000"/>
          <w:sz w:val="24"/>
          <w:szCs w:val="24"/>
          <w:bdr w:val="none" w:sz="0" w:space="0" w:color="auto" w:frame="1"/>
          <w:lang w:eastAsia="es-CO"/>
        </w:rPr>
        <w:t>.</w:t>
      </w:r>
    </w:p>
    <w:p w14:paraId="62A7759B" w14:textId="47891ED1" w:rsidR="00C26307" w:rsidRPr="004B748B" w:rsidRDefault="004B748B" w:rsidP="00C26307">
      <w:pPr>
        <w:pStyle w:val="Prrafodelista"/>
        <w:numPr>
          <w:ilvl w:val="0"/>
          <w:numId w:val="7"/>
        </w:numPr>
        <w:shd w:val="clear" w:color="auto" w:fill="FFFFFF"/>
        <w:textAlignment w:val="baseline"/>
        <w:rPr>
          <w:rFonts w:ascii="Century Gothic" w:hAnsi="Century Gothic" w:cs="Tahoma"/>
          <w:sz w:val="24"/>
          <w:szCs w:val="24"/>
        </w:rPr>
      </w:pPr>
      <w:r w:rsidRPr="004B748B">
        <w:rPr>
          <w:rFonts w:ascii="Century Gothic" w:hAnsi="Century Gothic"/>
          <w:color w:val="000000"/>
          <w:sz w:val="24"/>
          <w:szCs w:val="24"/>
          <w:bdr w:val="none" w:sz="0" w:space="0" w:color="auto" w:frame="1"/>
          <w:lang w:eastAsia="es-CO"/>
        </w:rPr>
        <w:t>Tarjeta Magnética</w:t>
      </w:r>
      <w:r>
        <w:rPr>
          <w:rFonts w:ascii="Century Gothic" w:hAnsi="Century Gothic"/>
          <w:color w:val="000000"/>
          <w:sz w:val="24"/>
          <w:szCs w:val="24"/>
          <w:bdr w:val="none" w:sz="0" w:space="0" w:color="auto" w:frame="1"/>
          <w:lang w:eastAsia="es-CO"/>
        </w:rPr>
        <w:t>.</w:t>
      </w:r>
      <w:r>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w:t>
      </w:r>
      <w:r w:rsidRPr="00D3796D">
        <w:rPr>
          <w:rFonts w:ascii="Century Gothic" w:hAnsi="Century Gothic" w:cs="Tahoma"/>
          <w:sz w:val="24"/>
          <w:szCs w:val="24"/>
        </w:rPr>
        <w:lastRenderedPageBreak/>
        <w:t xml:space="preserve">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w:t>
      </w:r>
      <w:r w:rsidRPr="00D3796D">
        <w:rPr>
          <w:rFonts w:ascii="Century Gothic" w:hAnsi="Century Gothic" w:cs="Tahoma"/>
          <w:sz w:val="24"/>
          <w:szCs w:val="24"/>
        </w:rPr>
        <w:lastRenderedPageBreak/>
        <w:t xml:space="preserve">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E60187">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BF7DB" w14:textId="77777777" w:rsidR="0033343C" w:rsidRDefault="0033343C" w:rsidP="005300CE">
      <w:r>
        <w:separator/>
      </w:r>
    </w:p>
  </w:endnote>
  <w:endnote w:type="continuationSeparator" w:id="0">
    <w:p w14:paraId="5CE962C7" w14:textId="77777777" w:rsidR="0033343C" w:rsidRDefault="0033343C"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A07CA" w14:textId="77777777" w:rsidR="0033343C" w:rsidRDefault="0033343C" w:rsidP="005300CE">
      <w:r>
        <w:separator/>
      </w:r>
    </w:p>
  </w:footnote>
  <w:footnote w:type="continuationSeparator" w:id="0">
    <w:p w14:paraId="29090679" w14:textId="77777777" w:rsidR="0033343C" w:rsidRDefault="0033343C"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3573"/>
    <w:rsid w:val="00034130"/>
    <w:rsid w:val="00094B1C"/>
    <w:rsid w:val="000B46B3"/>
    <w:rsid w:val="000C0FB5"/>
    <w:rsid w:val="000D09C7"/>
    <w:rsid w:val="000D4D5E"/>
    <w:rsid w:val="00173D51"/>
    <w:rsid w:val="00195A7C"/>
    <w:rsid w:val="001A5BFC"/>
    <w:rsid w:val="001A6C4E"/>
    <w:rsid w:val="001D7E71"/>
    <w:rsid w:val="002218F7"/>
    <w:rsid w:val="00234FDF"/>
    <w:rsid w:val="002647B2"/>
    <w:rsid w:val="00273596"/>
    <w:rsid w:val="002F2412"/>
    <w:rsid w:val="002F71AE"/>
    <w:rsid w:val="00322ED2"/>
    <w:rsid w:val="0033343C"/>
    <w:rsid w:val="00380D34"/>
    <w:rsid w:val="003941EC"/>
    <w:rsid w:val="003B62C3"/>
    <w:rsid w:val="003C6A98"/>
    <w:rsid w:val="0043074F"/>
    <w:rsid w:val="00496A61"/>
    <w:rsid w:val="004A5E0B"/>
    <w:rsid w:val="004B748B"/>
    <w:rsid w:val="00502592"/>
    <w:rsid w:val="00526B23"/>
    <w:rsid w:val="005300CE"/>
    <w:rsid w:val="0054166F"/>
    <w:rsid w:val="00552C6C"/>
    <w:rsid w:val="00586CD1"/>
    <w:rsid w:val="005C7DE4"/>
    <w:rsid w:val="005D6426"/>
    <w:rsid w:val="005F491F"/>
    <w:rsid w:val="005F525A"/>
    <w:rsid w:val="00643F6B"/>
    <w:rsid w:val="00665A18"/>
    <w:rsid w:val="006806B3"/>
    <w:rsid w:val="006D7A70"/>
    <w:rsid w:val="006F7288"/>
    <w:rsid w:val="007079BF"/>
    <w:rsid w:val="007111E3"/>
    <w:rsid w:val="00717A9D"/>
    <w:rsid w:val="00727672"/>
    <w:rsid w:val="007C7B63"/>
    <w:rsid w:val="00811A65"/>
    <w:rsid w:val="0082305C"/>
    <w:rsid w:val="00847795"/>
    <w:rsid w:val="008669EF"/>
    <w:rsid w:val="0087503E"/>
    <w:rsid w:val="008B1080"/>
    <w:rsid w:val="008C4261"/>
    <w:rsid w:val="008D0A44"/>
    <w:rsid w:val="008E3BFB"/>
    <w:rsid w:val="0096256B"/>
    <w:rsid w:val="00994A12"/>
    <w:rsid w:val="009A4C0B"/>
    <w:rsid w:val="009D47B1"/>
    <w:rsid w:val="009E50EF"/>
    <w:rsid w:val="00A05C7F"/>
    <w:rsid w:val="00A320AB"/>
    <w:rsid w:val="00AE1743"/>
    <w:rsid w:val="00B46098"/>
    <w:rsid w:val="00B55CFB"/>
    <w:rsid w:val="00B64FCE"/>
    <w:rsid w:val="00B829C9"/>
    <w:rsid w:val="00BC3738"/>
    <w:rsid w:val="00C26307"/>
    <w:rsid w:val="00C6076C"/>
    <w:rsid w:val="00C73C92"/>
    <w:rsid w:val="00CE5FD4"/>
    <w:rsid w:val="00CF1555"/>
    <w:rsid w:val="00D01E2C"/>
    <w:rsid w:val="00D0594B"/>
    <w:rsid w:val="00D3796D"/>
    <w:rsid w:val="00D4504E"/>
    <w:rsid w:val="00DB01FA"/>
    <w:rsid w:val="00DB4191"/>
    <w:rsid w:val="00DC5FE9"/>
    <w:rsid w:val="00DD342C"/>
    <w:rsid w:val="00DD384B"/>
    <w:rsid w:val="00DF1567"/>
    <w:rsid w:val="00E046B8"/>
    <w:rsid w:val="00E07381"/>
    <w:rsid w:val="00E514C2"/>
    <w:rsid w:val="00E60187"/>
    <w:rsid w:val="00E60EF6"/>
    <w:rsid w:val="00E76DD2"/>
    <w:rsid w:val="00E91833"/>
    <w:rsid w:val="00ED1C3D"/>
    <w:rsid w:val="00EF40AB"/>
    <w:rsid w:val="00F329EB"/>
    <w:rsid w:val="00F37A03"/>
    <w:rsid w:val="00FA54B7"/>
    <w:rsid w:val="00FA6131"/>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194098273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3.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4.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1344</Words>
  <Characters>7393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78</cp:revision>
  <dcterms:created xsi:type="dcterms:W3CDTF">2024-02-07T14:17:00Z</dcterms:created>
  <dcterms:modified xsi:type="dcterms:W3CDTF">2024-08-14T17:55:00Z</dcterms:modified>
</cp:coreProperties>
</file>