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Score Aggregation Methodology &amp; Brand List - Castlery 2026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As the B Corporation Certification is a company-level certification, the assessment of a Parent Company is required to include its subsidiaries in which it owns &gt;50% of the shares and has a controlling interest. Depending on the operations of the certifying company, Parent Companies may roll up their subsidiaries into a single assessment or assess separately. 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Regardless of whether a Certified Parent Company’s subsidiaries are assessed together or separately, only distinct subsidiaries that B Lab has determined independently meet the performance requirement for certification (i.e. score of 80+ points) are eligible to use the Certified B Corporation logo and refer to themselves as Certified B Corporations.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Aggregated Scoring Methodology 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Castlery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and its subsidiary/ies were required to be assessed in the B Impact Assessment and undergo a review by B Lab staff. The entities were divided into 2 assessments, and the overall score was calculated using a weighted average based on headcount. 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Helvetica" w:cs="Helvetica" w:eastAsia="Helvetica" w:hAnsi="Helvetica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Assessment 1: BIA 1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before="22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Castlery Private Limited (Singapore)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Castlery Pty Ltd (Australia)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Castlery Ltd (Canada)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Castlery Ltd (UK)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220" w:before="0" w:beforeAutospacing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Caslery Inc (USA)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Helvetica" w:cs="Helvetica" w:eastAsia="Helvetica" w:hAnsi="Helvetica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Assessment 2: BIA 2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220" w:line="276" w:lineRule="auto"/>
        <w:ind w:left="720" w:hanging="360"/>
        <w:rPr>
          <w:color w:val="000000"/>
        </w:rPr>
      </w:pPr>
      <w:r w:rsidDel="00000000" w:rsidR="00000000" w:rsidRPr="00000000">
        <w:rPr>
          <w:rFonts w:ascii="Helvetica" w:cs="Helvetica" w:eastAsia="Helvetica" w:hAnsi="Helvetica"/>
          <w:sz w:val="23"/>
          <w:szCs w:val="23"/>
          <w:rtl w:val="0"/>
        </w:rPr>
        <w:t xml:space="preserve">Zebra Shipping Sdn Bhd (Malaysia)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color w:val="000000"/>
        </w:rPr>
      </w:pPr>
      <w:r w:rsidDel="00000000" w:rsidR="00000000" w:rsidRPr="00000000">
        <w:rPr>
          <w:rFonts w:ascii="Helvetica" w:cs="Helvetica" w:eastAsia="Helvetica" w:hAnsi="Helvetica"/>
          <w:sz w:val="23"/>
          <w:szCs w:val="23"/>
          <w:rtl w:val="0"/>
        </w:rPr>
        <w:t xml:space="preserve">Shenzhen Xin Rui Ju Pin Brand Management Co.,Ltd (China)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color w:val="000000"/>
        </w:rPr>
      </w:pPr>
      <w:r w:rsidDel="00000000" w:rsidR="00000000" w:rsidRPr="00000000">
        <w:rPr>
          <w:rFonts w:ascii="Helvetica" w:cs="Helvetica" w:eastAsia="Helvetica" w:hAnsi="Helvetica"/>
          <w:sz w:val="23"/>
          <w:szCs w:val="23"/>
          <w:rtl w:val="0"/>
        </w:rPr>
        <w:t xml:space="preserve">Shenzhen Xin Rui Ju Pin Information and Technology Co.,Ltd (China)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color w:val="000000"/>
        </w:rPr>
      </w:pPr>
      <w:r w:rsidDel="00000000" w:rsidR="00000000" w:rsidRPr="00000000">
        <w:rPr>
          <w:rFonts w:ascii="Helvetica" w:cs="Helvetica" w:eastAsia="Helvetica" w:hAnsi="Helvetica"/>
          <w:sz w:val="23"/>
          <w:szCs w:val="23"/>
          <w:rtl w:val="0"/>
        </w:rPr>
        <w:t xml:space="preserve">Shenzhen Xin Rui Ju Pin Supply Chain Management Co.,Ltd (Shenzhen, China)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color w:val="000000"/>
        </w:rPr>
      </w:pPr>
      <w:r w:rsidDel="00000000" w:rsidR="00000000" w:rsidRPr="00000000">
        <w:rPr>
          <w:rFonts w:ascii="Helvetica" w:cs="Helvetica" w:eastAsia="Helvetica" w:hAnsi="Helvetica"/>
          <w:sz w:val="23"/>
          <w:szCs w:val="23"/>
          <w:rtl w:val="0"/>
        </w:rPr>
        <w:t xml:space="preserve">Shenzhen Xin Rui Ju Pin Supply Chain Management Co.,Ltd. (Dongguan Branch)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before="0" w:beforeAutospacing="0" w:line="276" w:lineRule="auto"/>
        <w:ind w:left="720" w:hanging="360"/>
        <w:rPr>
          <w:color w:val="000000"/>
        </w:rPr>
      </w:pPr>
      <w:r w:rsidDel="00000000" w:rsidR="00000000" w:rsidRPr="00000000">
        <w:rPr>
          <w:rFonts w:ascii="Helvetica" w:cs="Helvetica" w:eastAsia="Helvetica" w:hAnsi="Helvetica"/>
          <w:sz w:val="23"/>
          <w:szCs w:val="23"/>
          <w:rtl w:val="0"/>
        </w:rPr>
        <w:t xml:space="preserve">Shenzhen Xin Rui Ju Pin International Trade Co.,Ltd (Shenzhen, China)</w:t>
      </w:r>
    </w:p>
    <w:p w:rsidR="00000000" w:rsidDel="00000000" w:rsidP="00000000" w:rsidRDefault="00000000" w:rsidRPr="00000000" w14:paraId="00000017">
      <w:pPr>
        <w:shd w:fill="ffffff" w:val="clear"/>
        <w:spacing w:before="220" w:line="276" w:lineRule="auto"/>
        <w:ind w:left="720" w:firstLine="0"/>
        <w:rPr>
          <w:rFonts w:ascii="Helvetica" w:cs="Helvetica" w:eastAsia="Helvetica" w:hAnsi="Helvetica"/>
          <w:color w:val="4c4c4c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Based on the weighted average, </w:t>
      </w:r>
      <w:r w:rsidDel="00000000" w:rsidR="00000000" w:rsidRPr="00000000">
        <w:rPr>
          <w:rFonts w:ascii="Helvetica" w:cs="Helvetica" w:eastAsia="Helvetica" w:hAnsi="Helvetica"/>
          <w:rtl w:val="0"/>
        </w:rPr>
        <w:t xml:space="preserve">Castlery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scored an overa</w:t>
      </w:r>
      <w:r w:rsidDel="00000000" w:rsidR="00000000" w:rsidRPr="00000000">
        <w:rPr>
          <w:rFonts w:ascii="Helvetica Neue" w:cs="Helvetica Neue" w:eastAsia="Helvetica Neue" w:hAnsi="Helvetica Neue"/>
          <w:highlight w:val="white"/>
          <w:rtl w:val="0"/>
        </w:rPr>
        <w:t xml:space="preserve">ll 80.5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out of 200 total available points. The minimum verified score required for B Corp Certification is 80. 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table below shows the scores for the individual assessments: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15"/>
        <w:gridCol w:w="2745"/>
        <w:tblGridChange w:id="0">
          <w:tblGrid>
            <w:gridCol w:w="6615"/>
            <w:gridCol w:w="2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Legal entity/Company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BIA Score</w:t>
            </w:r>
          </w:p>
        </w:tc>
      </w:tr>
      <w:tr>
        <w:trPr>
          <w:cantSplit w:val="0"/>
          <w:trHeight w:val="502.433999999999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Helvetica" w:cs="Helvetica" w:eastAsia="Helvetica" w:hAnsi="Helvetica"/>
              </w:rPr>
            </w:pPr>
            <w:r w:rsidDel="00000000" w:rsidR="00000000" w:rsidRPr="00000000">
              <w:rPr>
                <w:rFonts w:ascii="Helvetica" w:cs="Helvetica" w:eastAsia="Helvetica" w:hAnsi="Helvetica"/>
                <w:rtl w:val="0"/>
              </w:rPr>
              <w:t xml:space="preserve">Assessment 1: Castlery (Singapore)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80.6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Helvetica" w:cs="Helvetica" w:eastAsia="Helvetica" w:hAnsi="Helvetica"/>
              </w:rPr>
            </w:pPr>
            <w:r w:rsidDel="00000000" w:rsidR="00000000" w:rsidRPr="00000000">
              <w:rPr>
                <w:rFonts w:ascii="Helvetica" w:cs="Helvetica" w:eastAsia="Helvetica" w:hAnsi="Helvetica"/>
                <w:rtl w:val="0"/>
              </w:rPr>
              <w:t xml:space="preserve">Assessment 2: Castlery (China)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80.4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Brands 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Brands that are not distinct operating subsidiaries included in the Parent Company’s certification are not Certified B Corporations themselves but may use the Certified B Corporation logo if B Lab has determined they have independently met the performance requirement for certification. Otherwise, the Certified B Corporation logo shall only be used in reference to the brand as part of the Parent Company’s certification. As all legal entities in the scope of certification trade as ‘</w:t>
      </w:r>
      <w:r w:rsidDel="00000000" w:rsidR="00000000" w:rsidRPr="00000000">
        <w:rPr>
          <w:rFonts w:ascii="Helvetica" w:cs="Helvetica" w:eastAsia="Helvetica" w:hAnsi="Helvetica"/>
          <w:rtl w:val="0"/>
        </w:rPr>
        <w:t xml:space="preserve">Castlery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’, all legal entities have met the performance standards for certification (i.e. score of 80+ points) independently and can therefore use the B Corp 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Helvetica" w:cs="Helvetica" w:eastAsia="Helvetica" w:hAnsi="Helvetica"/>
        <w:color w:val="4c4c4c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Helvetica" w:cs="Helvetica" w:eastAsia="Helvetica" w:hAnsi="Helvetica"/>
        <w:color w:val="4c4c4c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bcm2JBB5VjE9uNR8aM5Fe9eMQ==">CgMxLjA4AGowChRzdWdnZXN0LjdnM3RoMmFvdGR4ahIYSmFpbWUgR2FyY8OtYSBHdXRpw6lycmV6ajAKFHN1Z2dlc3QuaWtidGtnam45bzJ0EhhKYWltZSBHYXJjw61hIEd1dGnDqXJyZXpqMAoUc3VnZ2VzdC4zc2tjZHUzNGw4Y3ISGEphaW1lIEdhcmPDrWEgR3V0acOpcnJlemowChRzdWdnZXN0Lnk5ZzdkOWN1N2hqNRIYSmFpbWUgR2FyY8OtYSBHdXRpw6lycmV6ciExVmRHa25SdzZTNGZwcjhEYnRJRkF0R0dxMC1mTUowX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