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AC80E" w14:textId="77777777" w:rsidR="005A2783" w:rsidRPr="005A2783" w:rsidRDefault="005A2783" w:rsidP="005A2783">
      <w:pPr>
        <w:jc w:val="center"/>
        <w:rPr>
          <w:rFonts w:ascii="Georgia" w:hAnsi="Georgia"/>
          <w:b/>
          <w:sz w:val="28"/>
          <w:szCs w:val="28"/>
        </w:rPr>
      </w:pPr>
      <w:r w:rsidRPr="005A2783">
        <w:rPr>
          <w:rFonts w:ascii="Georgia" w:hAnsi="Georgia"/>
          <w:b/>
          <w:sz w:val="28"/>
          <w:szCs w:val="28"/>
        </w:rPr>
        <w:t>Wilkes University Public Safety Department Hosts Active Shooter Training For Area Law Enforcement</w:t>
      </w:r>
    </w:p>
    <w:p w14:paraId="5E71FA88" w14:textId="77777777" w:rsidR="00B95610" w:rsidRPr="005A2783" w:rsidRDefault="00B95610" w:rsidP="00B95610">
      <w:pPr>
        <w:jc w:val="center"/>
        <w:rPr>
          <w:rFonts w:ascii="Georgia" w:hAnsi="Georgia"/>
          <w:b/>
          <w:sz w:val="28"/>
          <w:szCs w:val="28"/>
        </w:rPr>
      </w:pPr>
    </w:p>
    <w:p w14:paraId="1CB22D3F" w14:textId="22C009EC" w:rsidR="005B217B" w:rsidRDefault="005B217B" w:rsidP="006F1BAE">
      <w:pPr>
        <w:rPr>
          <w:rFonts w:ascii="Georgia" w:hAnsi="Georgia"/>
        </w:rPr>
      </w:pPr>
      <w:r w:rsidRPr="005B217B">
        <w:rPr>
          <w:rFonts w:ascii="Georgia" w:hAnsi="Georgia"/>
        </w:rPr>
        <w:t xml:space="preserve">The Wilkes University Department of Public Safety is hosting </w:t>
      </w:r>
      <w:r>
        <w:rPr>
          <w:rFonts w:ascii="Georgia" w:hAnsi="Georgia"/>
        </w:rPr>
        <w:t xml:space="preserve">over 40 officers from three states to attend a four-hour course </w:t>
      </w:r>
      <w:r w:rsidR="00DF35D5">
        <w:rPr>
          <w:rFonts w:ascii="Georgia" w:hAnsi="Georgia"/>
        </w:rPr>
        <w:t xml:space="preserve">addressing </w:t>
      </w:r>
      <w:r>
        <w:rPr>
          <w:rFonts w:ascii="Georgia" w:hAnsi="Georgia"/>
        </w:rPr>
        <w:t>civilian response to active s</w:t>
      </w:r>
      <w:r w:rsidRPr="005B217B">
        <w:rPr>
          <w:rFonts w:ascii="Georgia" w:hAnsi="Georgia"/>
        </w:rPr>
        <w:t>hooter</w:t>
      </w:r>
      <w:r w:rsidR="00DF35D5">
        <w:rPr>
          <w:rFonts w:ascii="Georgia" w:hAnsi="Georgia"/>
        </w:rPr>
        <w:t xml:space="preserve"> situations</w:t>
      </w:r>
      <w:r w:rsidR="00596114">
        <w:rPr>
          <w:rFonts w:ascii="Georgia" w:hAnsi="Georgia"/>
        </w:rPr>
        <w:t xml:space="preserve">. The training will be held from 8 a.m. to </w:t>
      </w:r>
      <w:r w:rsidR="00A0516C">
        <w:rPr>
          <w:rFonts w:ascii="Georgia" w:hAnsi="Georgia"/>
        </w:rPr>
        <w:t xml:space="preserve">noon </w:t>
      </w:r>
      <w:r>
        <w:rPr>
          <w:rFonts w:ascii="Georgia" w:hAnsi="Georgia"/>
        </w:rPr>
        <w:t xml:space="preserve">on </w:t>
      </w:r>
      <w:r w:rsidR="00596114">
        <w:rPr>
          <w:rFonts w:ascii="Georgia" w:hAnsi="Georgia"/>
        </w:rPr>
        <w:t xml:space="preserve">Friday, </w:t>
      </w:r>
      <w:r>
        <w:rPr>
          <w:rFonts w:ascii="Georgia" w:hAnsi="Georgia"/>
        </w:rPr>
        <w:t xml:space="preserve">Dec. 8 in the ballroom of the Henry Student Center, </w:t>
      </w:r>
      <w:r w:rsidRPr="005B217B">
        <w:rPr>
          <w:rFonts w:ascii="Georgia" w:hAnsi="Georgia"/>
        </w:rPr>
        <w:t>84 W</w:t>
      </w:r>
      <w:r w:rsidR="00B923F8">
        <w:rPr>
          <w:rFonts w:ascii="Georgia" w:hAnsi="Georgia"/>
        </w:rPr>
        <w:t>.</w:t>
      </w:r>
      <w:r w:rsidRPr="005B217B">
        <w:rPr>
          <w:rFonts w:ascii="Georgia" w:hAnsi="Georgia"/>
        </w:rPr>
        <w:t xml:space="preserve"> South St</w:t>
      </w:r>
      <w:r w:rsidR="00B923F8">
        <w:rPr>
          <w:rFonts w:ascii="Georgia" w:hAnsi="Georgia"/>
        </w:rPr>
        <w:t>.</w:t>
      </w:r>
      <w:r w:rsidRPr="005B217B">
        <w:rPr>
          <w:rFonts w:ascii="Georgia" w:hAnsi="Georgia"/>
        </w:rPr>
        <w:t>, Wilkes-Barre</w:t>
      </w:r>
      <w:r>
        <w:rPr>
          <w:rFonts w:ascii="Georgia" w:hAnsi="Georgia"/>
        </w:rPr>
        <w:t>. The course is designed as a train-the-trainer seminar, allowing attendees to share their knowledge across police departments</w:t>
      </w:r>
      <w:r w:rsidR="00DF35D5">
        <w:rPr>
          <w:rFonts w:ascii="Georgia" w:hAnsi="Georgia"/>
        </w:rPr>
        <w:t xml:space="preserve"> and in their communities</w:t>
      </w:r>
      <w:r>
        <w:rPr>
          <w:rFonts w:ascii="Georgia" w:hAnsi="Georgia"/>
        </w:rPr>
        <w:t xml:space="preserve">. </w:t>
      </w:r>
      <w:bookmarkStart w:id="0" w:name="_GoBack"/>
      <w:bookmarkEnd w:id="0"/>
    </w:p>
    <w:p w14:paraId="63037A4A" w14:textId="77777777" w:rsidR="005B217B" w:rsidRDefault="005B217B" w:rsidP="006F1BAE">
      <w:pPr>
        <w:rPr>
          <w:rFonts w:ascii="Georgia" w:hAnsi="Georgia"/>
        </w:rPr>
      </w:pPr>
    </w:p>
    <w:p w14:paraId="30FEA988" w14:textId="1E2AEE56" w:rsidR="005B217B" w:rsidRDefault="005B217B" w:rsidP="006F1BAE">
      <w:pPr>
        <w:rPr>
          <w:rFonts w:ascii="Georgia" w:hAnsi="Georgia"/>
        </w:rPr>
      </w:pPr>
      <w:r w:rsidRPr="005B217B">
        <w:rPr>
          <w:rFonts w:ascii="Georgia" w:hAnsi="Georgia"/>
        </w:rPr>
        <w:t>The Civilian Response to Active Shooter Events cou</w:t>
      </w:r>
      <w:r>
        <w:rPr>
          <w:rFonts w:ascii="Georgia" w:hAnsi="Georgia"/>
        </w:rPr>
        <w:t>rse</w:t>
      </w:r>
      <w:r w:rsidR="00596114">
        <w:rPr>
          <w:rFonts w:ascii="Georgia" w:hAnsi="Georgia"/>
        </w:rPr>
        <w:t xml:space="preserve"> was </w:t>
      </w:r>
      <w:r>
        <w:rPr>
          <w:rFonts w:ascii="Georgia" w:hAnsi="Georgia"/>
        </w:rPr>
        <w:t xml:space="preserve">designed and built on </w:t>
      </w:r>
      <w:proofErr w:type="gramStart"/>
      <w:r>
        <w:rPr>
          <w:rFonts w:ascii="Georgia" w:hAnsi="Georgia"/>
        </w:rPr>
        <w:t>the avoid</w:t>
      </w:r>
      <w:proofErr w:type="gramEnd"/>
      <w:r>
        <w:rPr>
          <w:rFonts w:ascii="Georgia" w:hAnsi="Georgia"/>
        </w:rPr>
        <w:t>, deny, d</w:t>
      </w:r>
      <w:r w:rsidRPr="005B217B">
        <w:rPr>
          <w:rFonts w:ascii="Georgia" w:hAnsi="Georgia"/>
        </w:rPr>
        <w:t>efend strategy developed by Advanced Law Enforcement Rapid Response Training</w:t>
      </w:r>
      <w:r w:rsidR="00BB6966">
        <w:rPr>
          <w:rFonts w:ascii="Georgia" w:hAnsi="Georgia"/>
        </w:rPr>
        <w:t>, ALERRT</w:t>
      </w:r>
      <w:r w:rsidR="00596114">
        <w:rPr>
          <w:rFonts w:ascii="Georgia" w:hAnsi="Georgia"/>
        </w:rPr>
        <w:t xml:space="preserve">. </w:t>
      </w:r>
      <w:r w:rsidR="00DF35D5">
        <w:rPr>
          <w:rFonts w:ascii="Georgia" w:hAnsi="Georgia"/>
        </w:rPr>
        <w:t>The course</w:t>
      </w:r>
      <w:r w:rsidRPr="005B217B">
        <w:rPr>
          <w:rFonts w:ascii="Georgia" w:hAnsi="Georgia"/>
        </w:rPr>
        <w:t xml:space="preserve"> provides strategies, guidance and a proven plan for surviving an active shooter event. Topics include the history and prevalence of active shooter events, civilian response options, medical issues, and considerations for conducting drills</w:t>
      </w:r>
      <w:r>
        <w:rPr>
          <w:rFonts w:ascii="Georgia" w:hAnsi="Georgia"/>
        </w:rPr>
        <w:t>. Participants i</w:t>
      </w:r>
      <w:r w:rsidR="00F34F1D">
        <w:rPr>
          <w:rFonts w:ascii="Georgia" w:hAnsi="Georgia"/>
        </w:rPr>
        <w:t xml:space="preserve">n </w:t>
      </w:r>
      <w:r w:rsidR="00596114">
        <w:rPr>
          <w:rFonts w:ascii="Georgia" w:hAnsi="Georgia"/>
        </w:rPr>
        <w:t>the</w:t>
      </w:r>
      <w:r w:rsidRPr="005B217B">
        <w:rPr>
          <w:rFonts w:ascii="Georgia" w:hAnsi="Georgia"/>
        </w:rPr>
        <w:t xml:space="preserve"> course will receive</w:t>
      </w:r>
      <w:r w:rsidR="00596114">
        <w:rPr>
          <w:rFonts w:ascii="Georgia" w:hAnsi="Georgia"/>
        </w:rPr>
        <w:t xml:space="preserve"> </w:t>
      </w:r>
      <w:r w:rsidRPr="005B217B">
        <w:rPr>
          <w:rFonts w:ascii="Georgia" w:hAnsi="Georgia"/>
        </w:rPr>
        <w:t>a manual and PowerPoint presentation suitable for use in their own presentations.</w:t>
      </w:r>
      <w:r>
        <w:rPr>
          <w:rFonts w:ascii="Georgia" w:hAnsi="Georgia"/>
        </w:rPr>
        <w:t xml:space="preserve"> </w:t>
      </w:r>
    </w:p>
    <w:p w14:paraId="05CDD813" w14:textId="77777777" w:rsidR="005B217B" w:rsidRDefault="005B217B" w:rsidP="006F1BAE">
      <w:pPr>
        <w:rPr>
          <w:rFonts w:ascii="Georgia" w:hAnsi="Georgia"/>
        </w:rPr>
      </w:pPr>
    </w:p>
    <w:p w14:paraId="44E6F5C4" w14:textId="2F25A153" w:rsidR="005B217B" w:rsidRDefault="005B217B" w:rsidP="006F1BAE">
      <w:pPr>
        <w:rPr>
          <w:rFonts w:ascii="Georgia" w:hAnsi="Georgia"/>
        </w:rPr>
      </w:pPr>
      <w:r>
        <w:rPr>
          <w:rFonts w:ascii="Georgia" w:hAnsi="Georgia"/>
        </w:rPr>
        <w:t xml:space="preserve">There is no charge for the training. Up to 100 officers can attend the course. </w:t>
      </w:r>
    </w:p>
    <w:p w14:paraId="0410C540" w14:textId="77777777" w:rsidR="00BB6966" w:rsidRDefault="00BB6966" w:rsidP="006F1BAE">
      <w:pPr>
        <w:rPr>
          <w:rFonts w:ascii="Georgia" w:hAnsi="Georgia"/>
        </w:rPr>
      </w:pPr>
    </w:p>
    <w:p w14:paraId="36049429" w14:textId="68B4C8BA" w:rsidR="00596114" w:rsidRDefault="00BB6966" w:rsidP="006F1BAE">
      <w:pPr>
        <w:rPr>
          <w:rFonts w:ascii="Georgia" w:hAnsi="Georgia"/>
        </w:rPr>
      </w:pPr>
      <w:r w:rsidRPr="00BB6966">
        <w:rPr>
          <w:rFonts w:ascii="Georgia" w:hAnsi="Georgia"/>
        </w:rPr>
        <w:t>More than 80,000 law enforcement officers across the nation have been trained in ALERRT operations and tactics to respond to active shooter situations.</w:t>
      </w:r>
      <w:r>
        <w:rPr>
          <w:rFonts w:ascii="Georgia" w:hAnsi="Georgia"/>
        </w:rPr>
        <w:t xml:space="preserve"> </w:t>
      </w:r>
      <w:r w:rsidRPr="00BB6966">
        <w:rPr>
          <w:rFonts w:ascii="Georgia" w:hAnsi="Georgia"/>
        </w:rPr>
        <w:t>In March of 2013, the FBI announced that ALERRT is the national standard through which they are training their agents.</w:t>
      </w:r>
    </w:p>
    <w:p w14:paraId="7A856D9F" w14:textId="77777777" w:rsidR="00596114" w:rsidRDefault="00596114" w:rsidP="006F1BAE">
      <w:pPr>
        <w:rPr>
          <w:rFonts w:ascii="Georgia" w:hAnsi="Georgia"/>
        </w:rPr>
      </w:pPr>
    </w:p>
    <w:p w14:paraId="341683F7" w14:textId="34BA8A2E" w:rsidR="00246AC7" w:rsidRPr="00A25E59" w:rsidRDefault="00246AC7" w:rsidP="006F1BAE">
      <w:pPr>
        <w:rPr>
          <w:rFonts w:ascii="Georgia" w:hAnsi="Georgia"/>
        </w:rPr>
      </w:pPr>
      <w:r w:rsidRPr="00A25E59">
        <w:rPr>
          <w:rFonts w:ascii="Georgia" w:hAnsi="Georgia"/>
          <w:b/>
        </w:rPr>
        <w:t>About Wilkes University</w:t>
      </w:r>
      <w:r w:rsidRPr="00A25E59">
        <w:rPr>
          <w:rFonts w:ascii="Georgia" w:hAnsi="Georgia"/>
        </w:rPr>
        <w:t>:</w:t>
      </w:r>
    </w:p>
    <w:p w14:paraId="209F7C56" w14:textId="381CB36C" w:rsidR="00867556" w:rsidRPr="00040A26" w:rsidRDefault="004B5BC0" w:rsidP="006F1BAE">
      <w:pPr>
        <w:rPr>
          <w:rFonts w:ascii="Georgia" w:hAnsi="Georgia"/>
        </w:rPr>
      </w:pPr>
      <w:r w:rsidRPr="004B5BC0">
        <w:rPr>
          <w:rFonts w:ascii="Georgia" w:hAnsi="Georgia"/>
        </w:rPr>
        <w:t>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43 bachelor’s degree programs, Wilkes offers 25 master’s degree programs and five doctoral/terminal degree programs, including the doctor of philosophy in nursing, doctor of nursing practice, doctor of education, doctor of pharmacy, and master of fine arts in creative writing. Learn more at www.wilkes.edu.</w:t>
      </w:r>
    </w:p>
    <w:p w14:paraId="52A06018" w14:textId="7D8D6B04" w:rsidR="00D720F1" w:rsidRPr="00040A26" w:rsidRDefault="00867556" w:rsidP="00D57027">
      <w:pPr>
        <w:jc w:val="center"/>
        <w:rPr>
          <w:rFonts w:ascii="Georgia" w:hAnsi="Georgia"/>
        </w:rPr>
      </w:pPr>
      <w:r w:rsidRPr="00040A26">
        <w:rPr>
          <w:rFonts w:ascii="Georgia" w:hAnsi="Georgia"/>
        </w:rPr>
        <w:t>#####</w:t>
      </w:r>
    </w:p>
    <w:sectPr w:rsidR="00D720F1" w:rsidRPr="00040A26" w:rsidSect="00A51BE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6B0E1" w14:textId="77777777" w:rsidR="00544F55" w:rsidRDefault="00544F55">
      <w:r>
        <w:separator/>
      </w:r>
    </w:p>
  </w:endnote>
  <w:endnote w:type="continuationSeparator" w:id="0">
    <w:p w14:paraId="10A1C9D1" w14:textId="77777777" w:rsidR="00544F55" w:rsidRDefault="0054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7777777" w:rsidR="00DF35D5" w:rsidRPr="001B377F" w:rsidRDefault="00DF35D5">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2EA2" w14:textId="77777777" w:rsidR="00DF35D5" w:rsidRPr="003C5015" w:rsidRDefault="00DF35D5">
    <w:pPr>
      <w:pStyle w:val="Footer"/>
      <w:rPr>
        <w:rFonts w:ascii="Verdana" w:hAnsi="Verdana"/>
        <w:sz w:val="16"/>
      </w:rPr>
    </w:pPr>
  </w:p>
  <w:p w14:paraId="0A60E95A" w14:textId="77777777" w:rsidR="00DF35D5" w:rsidRPr="003C5015" w:rsidRDefault="00DF35D5">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A0516C">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A0516C">
      <w:rPr>
        <w:rFonts w:ascii="Verdana" w:hAnsi="Verdana"/>
        <w:noProof/>
        <w:sz w:val="16"/>
      </w:rPr>
      <w:t>1</w:t>
    </w:r>
    <w:r w:rsidRPr="003C5015">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5FA7A" w14:textId="77777777" w:rsidR="00544F55" w:rsidRDefault="00544F55">
      <w:r>
        <w:separator/>
      </w:r>
    </w:p>
  </w:footnote>
  <w:footnote w:type="continuationSeparator" w:id="0">
    <w:p w14:paraId="37842992" w14:textId="77777777" w:rsidR="00544F55" w:rsidRDefault="00544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512D" w14:textId="77777777" w:rsidR="00DF35D5" w:rsidRDefault="00DF35D5"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DF35D5" w:rsidRPr="001B377F" w:rsidRDefault="00DF35D5"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DF35D5" w:rsidRPr="001B377F" w:rsidRDefault="00DF35D5" w:rsidP="006D514F">
    <w:pPr>
      <w:ind w:left="1310"/>
      <w:rPr>
        <w:rFonts w:ascii="Verdana" w:hAnsi="Verdana"/>
        <w:sz w:val="14"/>
      </w:rPr>
    </w:pPr>
  </w:p>
  <w:p w14:paraId="520149FE" w14:textId="77777777" w:rsidR="00DF35D5" w:rsidRPr="001B377F" w:rsidRDefault="00DF35D5" w:rsidP="006D514F">
    <w:pPr>
      <w:rPr>
        <w:rFonts w:ascii="Verdana" w:hAnsi="Verdana"/>
        <w:sz w:val="14"/>
      </w:rPr>
    </w:pPr>
  </w:p>
  <w:p w14:paraId="5C133097" w14:textId="77777777" w:rsidR="00DF35D5" w:rsidRPr="001B377F" w:rsidRDefault="00DF35D5"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DF35D5" w:rsidRDefault="00DF35D5"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DF35D5" w:rsidRPr="003C5015" w:rsidRDefault="00DF35D5" w:rsidP="00A26E14">
    <w:pPr>
      <w:ind w:left="590" w:firstLine="720"/>
      <w:rPr>
        <w:rFonts w:ascii="Georgia" w:hAnsi="Georgia"/>
        <w:i/>
      </w:rPr>
    </w:pPr>
    <w:r w:rsidRPr="003C5015">
      <w:rPr>
        <w:rFonts w:ascii="Georgia" w:hAnsi="Georgia"/>
        <w:i/>
      </w:rPr>
      <w:t xml:space="preserve">Marketing Communications </w:t>
    </w:r>
  </w:p>
  <w:p w14:paraId="76B4E8FE" w14:textId="77777777" w:rsidR="00DF35D5" w:rsidRPr="001B377F" w:rsidRDefault="00DF35D5" w:rsidP="006D514F">
    <w:pPr>
      <w:ind w:left="1310"/>
      <w:rPr>
        <w:rFonts w:ascii="Verdana" w:hAnsi="Verdana"/>
        <w:sz w:val="14"/>
      </w:rPr>
    </w:pPr>
  </w:p>
  <w:p w14:paraId="155B3CFB" w14:textId="1F8586BD" w:rsidR="00DF35D5" w:rsidRPr="003C5015" w:rsidRDefault="00DF35D5"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DF35D5" w:rsidRPr="001B377F" w:rsidRDefault="00DF35D5" w:rsidP="006D514F">
    <w:pPr>
      <w:ind w:left="1310"/>
      <w:rPr>
        <w:rFonts w:ascii="Verdana" w:hAnsi="Verdana"/>
        <w:sz w:val="14"/>
      </w:rPr>
    </w:pPr>
  </w:p>
  <w:p w14:paraId="58F348CA" w14:textId="77777777" w:rsidR="00DF35D5" w:rsidRPr="000B6F41" w:rsidRDefault="00DF35D5" w:rsidP="006D514F">
    <w:pPr>
      <w:rPr>
        <w:rFonts w:ascii="Georgia" w:hAnsi="Georgia"/>
        <w:sz w:val="14"/>
      </w:rPr>
    </w:pPr>
  </w:p>
  <w:p w14:paraId="083C4B92" w14:textId="77777777" w:rsidR="00DF35D5" w:rsidRPr="000B6F41" w:rsidRDefault="00DF35D5" w:rsidP="006D514F">
    <w:pPr>
      <w:rPr>
        <w:rFonts w:ascii="Georgia" w:hAnsi="Georgia"/>
        <w:sz w:val="14"/>
      </w:rPr>
    </w:pPr>
  </w:p>
  <w:p w14:paraId="0C2BDFE2" w14:textId="54E240DD" w:rsidR="00DF35D5" w:rsidRPr="000B6F41" w:rsidRDefault="00DF35D5" w:rsidP="009311CF">
    <w:pPr>
      <w:rPr>
        <w:rFonts w:ascii="Georgia" w:hAnsi="Georgia"/>
        <w:b/>
        <w:spacing w:val="-30"/>
        <w:sz w:val="56"/>
      </w:rPr>
    </w:pPr>
    <w:r w:rsidRPr="000B6F41">
      <w:rPr>
        <w:rFonts w:ascii="Georgia" w:hAnsi="Georgia"/>
        <w:b/>
        <w:spacing w:val="-30"/>
        <w:sz w:val="56"/>
      </w:rPr>
      <w:t>News Release</w:t>
    </w:r>
  </w:p>
  <w:p w14:paraId="0A388B4A" w14:textId="06DF326F" w:rsidR="00DF35D5" w:rsidRDefault="00DF35D5"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61193"/>
    <w:multiLevelType w:val="hybridMultilevel"/>
    <w:tmpl w:val="C73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5"/>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0A26"/>
    <w:rsid w:val="00041A98"/>
    <w:rsid w:val="00052E62"/>
    <w:rsid w:val="00055958"/>
    <w:rsid w:val="00066C9E"/>
    <w:rsid w:val="00083E6D"/>
    <w:rsid w:val="000B0F52"/>
    <w:rsid w:val="000B6F41"/>
    <w:rsid w:val="000C3C19"/>
    <w:rsid w:val="000C6138"/>
    <w:rsid w:val="000D7CC9"/>
    <w:rsid w:val="000F4470"/>
    <w:rsid w:val="001227C5"/>
    <w:rsid w:val="00140005"/>
    <w:rsid w:val="001474C4"/>
    <w:rsid w:val="001523F9"/>
    <w:rsid w:val="001558CC"/>
    <w:rsid w:val="00156BE0"/>
    <w:rsid w:val="0016119D"/>
    <w:rsid w:val="001631E4"/>
    <w:rsid w:val="0016735D"/>
    <w:rsid w:val="00167721"/>
    <w:rsid w:val="001729CB"/>
    <w:rsid w:val="0019024A"/>
    <w:rsid w:val="00193EAE"/>
    <w:rsid w:val="001A5693"/>
    <w:rsid w:val="001A7430"/>
    <w:rsid w:val="001B2D09"/>
    <w:rsid w:val="001B4761"/>
    <w:rsid w:val="001C33BB"/>
    <w:rsid w:val="001E4F32"/>
    <w:rsid w:val="001F1513"/>
    <w:rsid w:val="001F24E5"/>
    <w:rsid w:val="00201824"/>
    <w:rsid w:val="0021284D"/>
    <w:rsid w:val="002139EB"/>
    <w:rsid w:val="002301C2"/>
    <w:rsid w:val="00234964"/>
    <w:rsid w:val="00244CF1"/>
    <w:rsid w:val="00245DFF"/>
    <w:rsid w:val="00246AC7"/>
    <w:rsid w:val="00265557"/>
    <w:rsid w:val="00265933"/>
    <w:rsid w:val="002669FE"/>
    <w:rsid w:val="00295DCB"/>
    <w:rsid w:val="002B680B"/>
    <w:rsid w:val="002D3DF2"/>
    <w:rsid w:val="002E62B7"/>
    <w:rsid w:val="002F0E22"/>
    <w:rsid w:val="002F1AEC"/>
    <w:rsid w:val="00305E64"/>
    <w:rsid w:val="00306032"/>
    <w:rsid w:val="00313894"/>
    <w:rsid w:val="00316CF2"/>
    <w:rsid w:val="0032084E"/>
    <w:rsid w:val="0032796A"/>
    <w:rsid w:val="0033145F"/>
    <w:rsid w:val="00333E0F"/>
    <w:rsid w:val="003347E2"/>
    <w:rsid w:val="0033595B"/>
    <w:rsid w:val="00367F24"/>
    <w:rsid w:val="00383388"/>
    <w:rsid w:val="00383406"/>
    <w:rsid w:val="00386AED"/>
    <w:rsid w:val="00397BA7"/>
    <w:rsid w:val="003A3C31"/>
    <w:rsid w:val="003A4CAF"/>
    <w:rsid w:val="003C7A10"/>
    <w:rsid w:val="003D02BD"/>
    <w:rsid w:val="003D708B"/>
    <w:rsid w:val="003E1FC7"/>
    <w:rsid w:val="003E2D43"/>
    <w:rsid w:val="00402072"/>
    <w:rsid w:val="00405400"/>
    <w:rsid w:val="00414E47"/>
    <w:rsid w:val="004321EF"/>
    <w:rsid w:val="00445AC3"/>
    <w:rsid w:val="00460ECF"/>
    <w:rsid w:val="00463EE5"/>
    <w:rsid w:val="00482771"/>
    <w:rsid w:val="00484243"/>
    <w:rsid w:val="004B5BC0"/>
    <w:rsid w:val="004E0BF2"/>
    <w:rsid w:val="004E73AF"/>
    <w:rsid w:val="004F3955"/>
    <w:rsid w:val="00507935"/>
    <w:rsid w:val="005357F2"/>
    <w:rsid w:val="005418E6"/>
    <w:rsid w:val="00544F55"/>
    <w:rsid w:val="00575A53"/>
    <w:rsid w:val="005866B2"/>
    <w:rsid w:val="00587606"/>
    <w:rsid w:val="00596114"/>
    <w:rsid w:val="005A2783"/>
    <w:rsid w:val="005A3B20"/>
    <w:rsid w:val="005B217B"/>
    <w:rsid w:val="005B2857"/>
    <w:rsid w:val="005C025C"/>
    <w:rsid w:val="005C41F8"/>
    <w:rsid w:val="005D06FA"/>
    <w:rsid w:val="005D3FF5"/>
    <w:rsid w:val="005F3D53"/>
    <w:rsid w:val="00604BCA"/>
    <w:rsid w:val="0061151E"/>
    <w:rsid w:val="00611CCB"/>
    <w:rsid w:val="006143BB"/>
    <w:rsid w:val="00616BF5"/>
    <w:rsid w:val="00617FF5"/>
    <w:rsid w:val="00635A12"/>
    <w:rsid w:val="00654007"/>
    <w:rsid w:val="006611ED"/>
    <w:rsid w:val="00672278"/>
    <w:rsid w:val="00673AFA"/>
    <w:rsid w:val="00674DD7"/>
    <w:rsid w:val="00696BA1"/>
    <w:rsid w:val="006A09A3"/>
    <w:rsid w:val="006B44B4"/>
    <w:rsid w:val="006B51B8"/>
    <w:rsid w:val="006D514F"/>
    <w:rsid w:val="006F1BAE"/>
    <w:rsid w:val="006F733F"/>
    <w:rsid w:val="00701092"/>
    <w:rsid w:val="00704392"/>
    <w:rsid w:val="007116B6"/>
    <w:rsid w:val="0072144A"/>
    <w:rsid w:val="00721691"/>
    <w:rsid w:val="00733B3B"/>
    <w:rsid w:val="00736A66"/>
    <w:rsid w:val="00762567"/>
    <w:rsid w:val="00770E4B"/>
    <w:rsid w:val="00772BBD"/>
    <w:rsid w:val="007A0BCC"/>
    <w:rsid w:val="007D2E0C"/>
    <w:rsid w:val="007E222E"/>
    <w:rsid w:val="007F4B20"/>
    <w:rsid w:val="00811960"/>
    <w:rsid w:val="0082160E"/>
    <w:rsid w:val="0084378A"/>
    <w:rsid w:val="008507DA"/>
    <w:rsid w:val="00857F6A"/>
    <w:rsid w:val="00867556"/>
    <w:rsid w:val="00872C4B"/>
    <w:rsid w:val="0088674C"/>
    <w:rsid w:val="00887B6F"/>
    <w:rsid w:val="00890ADE"/>
    <w:rsid w:val="00896D1E"/>
    <w:rsid w:val="008B21D6"/>
    <w:rsid w:val="008B7762"/>
    <w:rsid w:val="008C1D33"/>
    <w:rsid w:val="008C30E5"/>
    <w:rsid w:val="008C654E"/>
    <w:rsid w:val="008E0BAC"/>
    <w:rsid w:val="008E4582"/>
    <w:rsid w:val="008E5790"/>
    <w:rsid w:val="00904E52"/>
    <w:rsid w:val="00907DFF"/>
    <w:rsid w:val="009117EA"/>
    <w:rsid w:val="00914EA9"/>
    <w:rsid w:val="00922468"/>
    <w:rsid w:val="0092295D"/>
    <w:rsid w:val="009237A7"/>
    <w:rsid w:val="009311CF"/>
    <w:rsid w:val="00947BEC"/>
    <w:rsid w:val="009A3C7E"/>
    <w:rsid w:val="009B4620"/>
    <w:rsid w:val="009B5385"/>
    <w:rsid w:val="009B72C1"/>
    <w:rsid w:val="009C74B0"/>
    <w:rsid w:val="009D2BA0"/>
    <w:rsid w:val="009D4C44"/>
    <w:rsid w:val="009E1E8B"/>
    <w:rsid w:val="009E6746"/>
    <w:rsid w:val="009F4A9A"/>
    <w:rsid w:val="00A0516C"/>
    <w:rsid w:val="00A13853"/>
    <w:rsid w:val="00A25E59"/>
    <w:rsid w:val="00A26D9A"/>
    <w:rsid w:val="00A26E14"/>
    <w:rsid w:val="00A304AA"/>
    <w:rsid w:val="00A45FBB"/>
    <w:rsid w:val="00A51BE6"/>
    <w:rsid w:val="00A638CA"/>
    <w:rsid w:val="00A7284F"/>
    <w:rsid w:val="00A82E0A"/>
    <w:rsid w:val="00AC4340"/>
    <w:rsid w:val="00AD4818"/>
    <w:rsid w:val="00AE52C7"/>
    <w:rsid w:val="00B05C41"/>
    <w:rsid w:val="00B07756"/>
    <w:rsid w:val="00B30642"/>
    <w:rsid w:val="00B33A48"/>
    <w:rsid w:val="00B35310"/>
    <w:rsid w:val="00B430BF"/>
    <w:rsid w:val="00B524F3"/>
    <w:rsid w:val="00B53AA4"/>
    <w:rsid w:val="00B67D6D"/>
    <w:rsid w:val="00B70C66"/>
    <w:rsid w:val="00B801E9"/>
    <w:rsid w:val="00B86761"/>
    <w:rsid w:val="00B923F8"/>
    <w:rsid w:val="00B95610"/>
    <w:rsid w:val="00B97BB3"/>
    <w:rsid w:val="00BB64E6"/>
    <w:rsid w:val="00BB6966"/>
    <w:rsid w:val="00BC2B6E"/>
    <w:rsid w:val="00BE5825"/>
    <w:rsid w:val="00BF4D68"/>
    <w:rsid w:val="00C020CF"/>
    <w:rsid w:val="00C031FD"/>
    <w:rsid w:val="00C10FEA"/>
    <w:rsid w:val="00C11F68"/>
    <w:rsid w:val="00C1449A"/>
    <w:rsid w:val="00C16625"/>
    <w:rsid w:val="00C17C05"/>
    <w:rsid w:val="00C315D7"/>
    <w:rsid w:val="00C37102"/>
    <w:rsid w:val="00C4291C"/>
    <w:rsid w:val="00C77FC1"/>
    <w:rsid w:val="00C92C72"/>
    <w:rsid w:val="00CA37D1"/>
    <w:rsid w:val="00CD082A"/>
    <w:rsid w:val="00CD0E68"/>
    <w:rsid w:val="00CD139E"/>
    <w:rsid w:val="00CD52A0"/>
    <w:rsid w:val="00CE2FB5"/>
    <w:rsid w:val="00CE7AAC"/>
    <w:rsid w:val="00CF12D7"/>
    <w:rsid w:val="00CF5EA9"/>
    <w:rsid w:val="00D03F0F"/>
    <w:rsid w:val="00D22360"/>
    <w:rsid w:val="00D22BB2"/>
    <w:rsid w:val="00D321B7"/>
    <w:rsid w:val="00D33EDB"/>
    <w:rsid w:val="00D41412"/>
    <w:rsid w:val="00D432EF"/>
    <w:rsid w:val="00D57027"/>
    <w:rsid w:val="00D60F1F"/>
    <w:rsid w:val="00D63A0D"/>
    <w:rsid w:val="00D65377"/>
    <w:rsid w:val="00D720F1"/>
    <w:rsid w:val="00D80A19"/>
    <w:rsid w:val="00D84069"/>
    <w:rsid w:val="00DA2A70"/>
    <w:rsid w:val="00DB58AB"/>
    <w:rsid w:val="00DF35D5"/>
    <w:rsid w:val="00E0203F"/>
    <w:rsid w:val="00E12FBC"/>
    <w:rsid w:val="00E16D7B"/>
    <w:rsid w:val="00E20E33"/>
    <w:rsid w:val="00E20FAE"/>
    <w:rsid w:val="00E53443"/>
    <w:rsid w:val="00E708AA"/>
    <w:rsid w:val="00E82B65"/>
    <w:rsid w:val="00E901AC"/>
    <w:rsid w:val="00E941D7"/>
    <w:rsid w:val="00ED3DC5"/>
    <w:rsid w:val="00ED75DD"/>
    <w:rsid w:val="00EE6D0B"/>
    <w:rsid w:val="00EF55A0"/>
    <w:rsid w:val="00F34F1D"/>
    <w:rsid w:val="00F37896"/>
    <w:rsid w:val="00F42BFE"/>
    <w:rsid w:val="00F52540"/>
    <w:rsid w:val="00F61A91"/>
    <w:rsid w:val="00F63F51"/>
    <w:rsid w:val="00F73E3B"/>
    <w:rsid w:val="00F935F6"/>
    <w:rsid w:val="00F94CF8"/>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1452434487">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99BD4-17E8-40A3-9AF1-28C7365D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Mayk news release.dot</Template>
  <TotalTime>0</TotalTime>
  <Pages>1</Pages>
  <Words>371</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2462</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babayaga</cp:lastModifiedBy>
  <cp:revision>2</cp:revision>
  <cp:lastPrinted>2017-07-13T13:05:00Z</cp:lastPrinted>
  <dcterms:created xsi:type="dcterms:W3CDTF">2017-11-21T19:36:00Z</dcterms:created>
  <dcterms:modified xsi:type="dcterms:W3CDTF">2017-11-21T19:36:00Z</dcterms:modified>
</cp:coreProperties>
</file>