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C81C" w14:textId="77777777" w:rsidR="00755316" w:rsidRDefault="00755316" w:rsidP="00755316">
      <w:pPr>
        <w:rPr>
          <w:b/>
        </w:rPr>
      </w:pPr>
    </w:p>
    <w:p w14:paraId="244E9C43" w14:textId="77777777" w:rsidR="00755316" w:rsidRPr="00D50150" w:rsidRDefault="00755316" w:rsidP="00755316">
      <w:pPr>
        <w:rPr>
          <w:b/>
        </w:rPr>
      </w:pPr>
      <w:r w:rsidRPr="00D50150">
        <w:rPr>
          <w:b/>
        </w:rPr>
        <w:t>Section 1: Executive Summary</w:t>
      </w:r>
    </w:p>
    <w:p w14:paraId="76CD71C1" w14:textId="77777777" w:rsidR="00755316" w:rsidRPr="00D50150" w:rsidRDefault="00755316" w:rsidP="00755316">
      <w:pPr>
        <w:pStyle w:val="ListParagraph"/>
        <w:numPr>
          <w:ilvl w:val="0"/>
          <w:numId w:val="1"/>
        </w:numPr>
        <w:rPr>
          <w:rFonts w:eastAsia="Times New Roman" w:cs="Times New Roman"/>
          <w:snapToGrid w:val="0"/>
        </w:rPr>
      </w:pPr>
      <w:r w:rsidRPr="00D50150">
        <w:t>Description</w:t>
      </w:r>
    </w:p>
    <w:p w14:paraId="4291FAE4" w14:textId="4B4558C3" w:rsidR="00755316" w:rsidRPr="00D50150" w:rsidRDefault="00755316" w:rsidP="00755316">
      <w:pPr>
        <w:pStyle w:val="ListParagraph"/>
        <w:ind w:left="360"/>
        <w:rPr>
          <w:rFonts w:eastAsia="Times New Roman" w:cs="Times New Roman"/>
          <w:snapToGrid w:val="0"/>
        </w:rPr>
      </w:pPr>
      <w:r w:rsidRPr="00D50150">
        <w:rPr>
          <w:rFonts w:eastAsia="Times New Roman" w:cs="Times New Roman"/>
          <w:snapToGrid w:val="0"/>
        </w:rPr>
        <w:t xml:space="preserve">The name of this organization shall be Cornell Cooperative Extension Association of </w:t>
      </w:r>
      <w:r w:rsidR="00ED6BE6" w:rsidRPr="00D50150">
        <w:rPr>
          <w:rFonts w:eastAsia="Times New Roman" w:cs="Times New Roman"/>
          <w:snapToGrid w:val="0"/>
        </w:rPr>
        <w:t xml:space="preserve">Monroe </w:t>
      </w:r>
      <w:r w:rsidRPr="00D50150">
        <w:rPr>
          <w:rFonts w:eastAsia="Times New Roman" w:cs="Times New Roman"/>
          <w:snapToGrid w:val="0"/>
        </w:rPr>
        <w:t xml:space="preserve">County; State of New York hereafter called CCE </w:t>
      </w:r>
      <w:r w:rsidR="00ED6BE6" w:rsidRPr="00D50150">
        <w:rPr>
          <w:rFonts w:eastAsia="Times New Roman" w:cs="Times New Roman"/>
          <w:snapToGrid w:val="0"/>
        </w:rPr>
        <w:t>Monroe</w:t>
      </w:r>
      <w:r w:rsidRPr="00D50150">
        <w:rPr>
          <w:rFonts w:eastAsia="Times New Roman" w:cs="Times New Roman"/>
          <w:snapToGrid w:val="0"/>
        </w:rPr>
        <w:t xml:space="preserve">. CCE </w:t>
      </w:r>
      <w:r w:rsidR="00ED6BE6" w:rsidRPr="00D50150">
        <w:rPr>
          <w:rFonts w:eastAsia="Times New Roman" w:cs="Times New Roman"/>
          <w:snapToGrid w:val="0"/>
        </w:rPr>
        <w:t xml:space="preserve">Monroe </w:t>
      </w:r>
      <w:r w:rsidRPr="00D50150">
        <w:rPr>
          <w:rFonts w:eastAsia="Times New Roman" w:cs="Times New Roman"/>
          <w:snapToGrid w:val="0"/>
        </w:rPr>
        <w:t xml:space="preserve">is a subordinate governmental agency with nonprofit tax status consisting of an unincorporated organization of residents of </w:t>
      </w:r>
      <w:r w:rsidR="00ED6BE6" w:rsidRPr="00D50150">
        <w:rPr>
          <w:rFonts w:eastAsia="Times New Roman" w:cs="Times New Roman"/>
          <w:snapToGrid w:val="0"/>
        </w:rPr>
        <w:t xml:space="preserve">Monroe </w:t>
      </w:r>
      <w:r w:rsidRPr="00D50150">
        <w:rPr>
          <w:rFonts w:eastAsia="Times New Roman" w:cs="Times New Roman"/>
          <w:snapToGrid w:val="0"/>
        </w:rPr>
        <w:t xml:space="preserve">County in cooperation with Cornell University and the United States Department of Agriculture; and in accordance with </w:t>
      </w:r>
      <w:commentRangeStart w:id="0"/>
      <w:r w:rsidRPr="00D50150">
        <w:rPr>
          <w:rFonts w:eastAsia="Times New Roman" w:cs="Times New Roman"/>
          <w:snapToGrid w:val="0"/>
        </w:rPr>
        <w:t>subdivision 8(b) of section 224 of the County Law as amended</w:t>
      </w:r>
      <w:commentRangeEnd w:id="0"/>
      <w:r w:rsidR="00ED6BE6" w:rsidRPr="00D50150">
        <w:rPr>
          <w:rStyle w:val="CommentReference"/>
        </w:rPr>
        <w:commentReference w:id="0"/>
      </w:r>
      <w:r w:rsidRPr="00D50150">
        <w:rPr>
          <w:rFonts w:eastAsia="Times New Roman" w:cs="Times New Roman"/>
          <w:snapToGrid w:val="0"/>
        </w:rPr>
        <w:t>.</w:t>
      </w:r>
    </w:p>
    <w:p w14:paraId="7552C761" w14:textId="77777777" w:rsidR="00755316" w:rsidRPr="00D50150" w:rsidRDefault="00755316" w:rsidP="00755316">
      <w:pPr>
        <w:pStyle w:val="ListParagraph"/>
        <w:numPr>
          <w:ilvl w:val="0"/>
          <w:numId w:val="1"/>
        </w:numPr>
        <w:rPr>
          <w:rFonts w:eastAsia="Times New Roman" w:cs="Times New Roman"/>
          <w:snapToGrid w:val="0"/>
        </w:rPr>
      </w:pPr>
      <w:r w:rsidRPr="00D50150">
        <w:t>Statement of Purpose</w:t>
      </w:r>
    </w:p>
    <w:p w14:paraId="03B7CA2E" w14:textId="73A955D6" w:rsidR="00755316" w:rsidRPr="00D50150" w:rsidRDefault="00755316" w:rsidP="00755316">
      <w:pPr>
        <w:ind w:left="360"/>
      </w:pPr>
      <w:r w:rsidRPr="00D50150">
        <w:t xml:space="preserve">This Investment Policy Statement (IPS) is set forth by the Board of Directors of the Cornell Cooperative Extension of </w:t>
      </w:r>
      <w:r w:rsidR="0030763A" w:rsidRPr="00D50150">
        <w:t>Monroe</w:t>
      </w:r>
      <w:r w:rsidRPr="00D50150">
        <w:t xml:space="preserve"> County, State of New York (CCE </w:t>
      </w:r>
      <w:r w:rsidR="0030763A" w:rsidRPr="00D50150">
        <w:t xml:space="preserve">Monroe </w:t>
      </w:r>
      <w:r w:rsidRPr="00D50150">
        <w:t xml:space="preserve">Board)) </w:t>
      </w:r>
      <w:proofErr w:type="gramStart"/>
      <w:r w:rsidRPr="00D50150">
        <w:t>in order to</w:t>
      </w:r>
      <w:proofErr w:type="gramEnd"/>
      <w:r w:rsidRPr="00D50150">
        <w:t>:</w:t>
      </w:r>
    </w:p>
    <w:p w14:paraId="3CD3F697" w14:textId="58AB9E93" w:rsidR="00755316" w:rsidRPr="00D50150" w:rsidRDefault="00755316" w:rsidP="00755316">
      <w:pPr>
        <w:pStyle w:val="ListParagraph"/>
        <w:numPr>
          <w:ilvl w:val="1"/>
          <w:numId w:val="2"/>
        </w:numPr>
      </w:pPr>
      <w:r w:rsidRPr="00D50150">
        <w:t xml:space="preserve">Establish a clear understanding between the CCE </w:t>
      </w:r>
      <w:r w:rsidR="0030763A" w:rsidRPr="00D50150">
        <w:t xml:space="preserve">Monroe </w:t>
      </w:r>
      <w:r w:rsidRPr="00D50150">
        <w:t>Board and any Investment Advisor or Investment Manager employed to manage the Fund assets.</w:t>
      </w:r>
    </w:p>
    <w:p w14:paraId="2AA7DB52" w14:textId="77777777" w:rsidR="00755316" w:rsidRPr="00D50150" w:rsidRDefault="00755316" w:rsidP="00755316">
      <w:pPr>
        <w:pStyle w:val="ListParagraph"/>
        <w:numPr>
          <w:ilvl w:val="1"/>
          <w:numId w:val="2"/>
        </w:numPr>
      </w:pPr>
      <w:r w:rsidRPr="00D50150">
        <w:t xml:space="preserve">Provide meaningful guidance in the management of the Fund assets </w:t>
      </w:r>
      <w:proofErr w:type="gramStart"/>
      <w:r w:rsidRPr="00D50150">
        <w:t>given</w:t>
      </w:r>
      <w:proofErr w:type="gramEnd"/>
      <w:r w:rsidRPr="00D50150">
        <w:t xml:space="preserve"> changing economic, business and investment market conditions.</w:t>
      </w:r>
    </w:p>
    <w:p w14:paraId="049591D0" w14:textId="77777777" w:rsidR="00755316" w:rsidRPr="00D50150" w:rsidRDefault="00755316" w:rsidP="00755316">
      <w:pPr>
        <w:pStyle w:val="ListParagraph"/>
        <w:numPr>
          <w:ilvl w:val="1"/>
          <w:numId w:val="2"/>
        </w:numPr>
      </w:pPr>
      <w:r w:rsidRPr="00D50150">
        <w:t>Provide a basis for evaluation of the Fund and Investment Advisor/Manager performance.</w:t>
      </w:r>
    </w:p>
    <w:p w14:paraId="790794CD" w14:textId="77777777" w:rsidR="00755316" w:rsidRPr="00D50150" w:rsidRDefault="00755316" w:rsidP="00755316">
      <w:pPr>
        <w:pStyle w:val="ListParagraph"/>
        <w:numPr>
          <w:ilvl w:val="1"/>
          <w:numId w:val="2"/>
        </w:numPr>
      </w:pPr>
      <w:r w:rsidRPr="00D50150">
        <w:t>In general, the purpose of this Investment Policy Statement is to outline the philosophy and attitudes which will guide the investment management of the Fund toward the desired results. It is intended to be sufficiently specific to be meaningful; yet flexible enough to be practical and endure both time and change.</w:t>
      </w:r>
    </w:p>
    <w:p w14:paraId="32E47E2D" w14:textId="77777777" w:rsidR="00755316" w:rsidRPr="00D50150" w:rsidRDefault="00755316" w:rsidP="00755316">
      <w:pPr>
        <w:pStyle w:val="ListParagraph"/>
        <w:numPr>
          <w:ilvl w:val="0"/>
          <w:numId w:val="1"/>
        </w:numPr>
      </w:pPr>
      <w:r w:rsidRPr="00D50150">
        <w:t>Nature of Investible Assets (the Fund)</w:t>
      </w:r>
    </w:p>
    <w:p w14:paraId="482B7837" w14:textId="2218425C" w:rsidR="0030763A" w:rsidRPr="00D50150" w:rsidRDefault="00031E9B" w:rsidP="00755316">
      <w:pPr>
        <w:pStyle w:val="ListParagraph"/>
        <w:numPr>
          <w:ilvl w:val="1"/>
          <w:numId w:val="1"/>
        </w:numPr>
      </w:pPr>
      <w:r w:rsidRPr="00D50150">
        <w:t>Proceeds</w:t>
      </w:r>
      <w:r w:rsidR="0030763A" w:rsidRPr="00D50150">
        <w:t xml:space="preserve"> from the </w:t>
      </w:r>
      <w:r w:rsidRPr="00D50150">
        <w:t>“</w:t>
      </w:r>
      <w:r w:rsidR="0030763A" w:rsidRPr="00D50150">
        <w:t xml:space="preserve">Bridge </w:t>
      </w:r>
      <w:proofErr w:type="gramStart"/>
      <w:r w:rsidRPr="00D50150">
        <w:t>T</w:t>
      </w:r>
      <w:r w:rsidR="0030763A" w:rsidRPr="00D50150">
        <w:t>he</w:t>
      </w:r>
      <w:proofErr w:type="gramEnd"/>
      <w:r w:rsidR="0030763A" w:rsidRPr="00D50150">
        <w:t xml:space="preserve"> Gap</w:t>
      </w:r>
      <w:r w:rsidRPr="00D50150">
        <w:t>”</w:t>
      </w:r>
      <w:r w:rsidR="0030763A" w:rsidRPr="00D50150">
        <w:t xml:space="preserve"> campaign</w:t>
      </w:r>
    </w:p>
    <w:p w14:paraId="4704ED86" w14:textId="3782F300" w:rsidR="00755316" w:rsidRPr="00D50150" w:rsidRDefault="00755316" w:rsidP="00031E9B">
      <w:pPr>
        <w:pStyle w:val="ListParagraph"/>
        <w:numPr>
          <w:ilvl w:val="1"/>
          <w:numId w:val="1"/>
        </w:numPr>
      </w:pPr>
      <w:r w:rsidRPr="00D50150">
        <w:t>Other funds designated for long-term investment</w:t>
      </w:r>
    </w:p>
    <w:p w14:paraId="524427DC" w14:textId="77777777" w:rsidR="00031E9B" w:rsidRDefault="00031E9B" w:rsidP="00031E9B">
      <w:pPr>
        <w:pStyle w:val="ListParagraph"/>
      </w:pPr>
    </w:p>
    <w:p w14:paraId="2318F6F6" w14:textId="77777777" w:rsidR="00755316" w:rsidRPr="00D50150" w:rsidRDefault="00755316" w:rsidP="00755316">
      <w:pPr>
        <w:rPr>
          <w:b/>
        </w:rPr>
      </w:pPr>
      <w:r w:rsidRPr="00D50150">
        <w:rPr>
          <w:b/>
        </w:rPr>
        <w:t>Section 2: Investment Objectives</w:t>
      </w:r>
    </w:p>
    <w:p w14:paraId="0FC70793" w14:textId="32C36E7B" w:rsidR="00755316" w:rsidRPr="00D50150" w:rsidRDefault="00755316" w:rsidP="00755316">
      <w:r w:rsidRPr="00D50150">
        <w:t xml:space="preserve">The objectives of the account should be pursued as long-term; designed to maximize the return without exposure to undue risk, as defined herein. Knowing that the CCE </w:t>
      </w:r>
      <w:r w:rsidR="00A66CDA" w:rsidRPr="00D50150">
        <w:t>Monroe</w:t>
      </w:r>
      <w:r w:rsidRPr="00D50150">
        <w:t xml:space="preserve"> Board understands that fluctuations </w:t>
      </w:r>
      <w:proofErr w:type="gramStart"/>
      <w:r w:rsidRPr="00D50150">
        <w:t>of</w:t>
      </w:r>
      <w:proofErr w:type="gramEnd"/>
      <w:r w:rsidRPr="00D50150">
        <w:t xml:space="preserve"> rates of return are characteristic of the securities market, the Investment Managers’ greatest concern should be capital preservation of assets and consistency of portfolio returns.</w:t>
      </w:r>
    </w:p>
    <w:p w14:paraId="617A3B76" w14:textId="76C00DCB" w:rsidR="00755316" w:rsidRPr="00D50150" w:rsidRDefault="00D937D5" w:rsidP="00755316">
      <w:pPr>
        <w:pStyle w:val="ListParagraph"/>
        <w:numPr>
          <w:ilvl w:val="0"/>
          <w:numId w:val="3"/>
        </w:numPr>
      </w:pPr>
      <w:r w:rsidRPr="00D50150">
        <w:t>A portion of the p</w:t>
      </w:r>
      <w:r w:rsidR="00755316" w:rsidRPr="00D50150">
        <w:t xml:space="preserve">roceeds from the </w:t>
      </w:r>
      <w:r w:rsidRPr="00D50150">
        <w:t xml:space="preserve">“Bridge </w:t>
      </w:r>
      <w:proofErr w:type="gramStart"/>
      <w:r w:rsidRPr="00D50150">
        <w:t>The</w:t>
      </w:r>
      <w:proofErr w:type="gramEnd"/>
      <w:r w:rsidRPr="00D50150">
        <w:t xml:space="preserve"> Gap” campaign </w:t>
      </w:r>
      <w:r w:rsidR="00755316" w:rsidRPr="00D50150">
        <w:t>(Section 1, 3a) and other long-term funds (Section 1, 3b) shall generally be invested to:</w:t>
      </w:r>
    </w:p>
    <w:p w14:paraId="29480C63" w14:textId="77777777" w:rsidR="00755316" w:rsidRPr="00D50150" w:rsidRDefault="00755316" w:rsidP="00755316">
      <w:pPr>
        <w:pStyle w:val="ListParagraph"/>
        <w:numPr>
          <w:ilvl w:val="1"/>
          <w:numId w:val="3"/>
        </w:numPr>
      </w:pPr>
      <w:r w:rsidRPr="00D50150">
        <w:t>Preserve over time the principal value of assets as measured in real, inflation adjusted terms.</w:t>
      </w:r>
    </w:p>
    <w:p w14:paraId="4C1008BB" w14:textId="77777777" w:rsidR="00755316" w:rsidRPr="00D50150" w:rsidRDefault="00755316" w:rsidP="00755316">
      <w:pPr>
        <w:pStyle w:val="ListParagraph"/>
        <w:numPr>
          <w:ilvl w:val="1"/>
          <w:numId w:val="3"/>
        </w:numPr>
      </w:pPr>
      <w:r w:rsidRPr="00D50150">
        <w:t>Optimize the total aggregate return from capital appreciation, dividends and interest earnings assuming a prudent level of risk.</w:t>
      </w:r>
    </w:p>
    <w:p w14:paraId="1E2BD4D0" w14:textId="79FAAD00" w:rsidR="00755316" w:rsidRPr="00D50150" w:rsidRDefault="00D937D5" w:rsidP="00755316">
      <w:pPr>
        <w:pStyle w:val="ListParagraph"/>
        <w:numPr>
          <w:ilvl w:val="0"/>
          <w:numId w:val="3"/>
        </w:numPr>
      </w:pPr>
      <w:r w:rsidRPr="00D50150">
        <w:t xml:space="preserve">The remainder of the proceeds from the “Bridge </w:t>
      </w:r>
      <w:proofErr w:type="gramStart"/>
      <w:r w:rsidRPr="00D50150">
        <w:t>The</w:t>
      </w:r>
      <w:proofErr w:type="gramEnd"/>
      <w:r w:rsidRPr="00D50150">
        <w:t xml:space="preserve"> Gap” campaign (Section 1, 3a) </w:t>
      </w:r>
      <w:r w:rsidR="00755316" w:rsidRPr="00D50150">
        <w:t>will be invested for relatively short periods of time with the objective of safety of principal, sufficient liquidity to permit cash withdrawals for expenditures.</w:t>
      </w:r>
    </w:p>
    <w:p w14:paraId="128FF21A" w14:textId="77777777" w:rsidR="00755316" w:rsidRPr="00D50150" w:rsidRDefault="00755316" w:rsidP="00755316"/>
    <w:p w14:paraId="37478E50" w14:textId="77777777" w:rsidR="00755316" w:rsidRDefault="00755316" w:rsidP="00755316">
      <w:pPr>
        <w:rPr>
          <w:b/>
        </w:rPr>
      </w:pPr>
      <w:r w:rsidRPr="00D50150">
        <w:rPr>
          <w:b/>
        </w:rPr>
        <w:t>Section 3: Investment Performance Goals</w:t>
      </w:r>
    </w:p>
    <w:p w14:paraId="4F2B55C0" w14:textId="77777777" w:rsidR="00755316" w:rsidRPr="00D50150" w:rsidRDefault="00755316" w:rsidP="00755316">
      <w:pPr>
        <w:pStyle w:val="ListParagraph"/>
        <w:numPr>
          <w:ilvl w:val="0"/>
          <w:numId w:val="4"/>
        </w:numPr>
      </w:pPr>
      <w:r w:rsidRPr="00D50150">
        <w:t>Long Term Investments</w:t>
      </w:r>
    </w:p>
    <w:p w14:paraId="5529BF52" w14:textId="12ED4AD7" w:rsidR="00D50150" w:rsidRDefault="00755316" w:rsidP="00D50150">
      <w:pPr>
        <w:pStyle w:val="ListParagraph"/>
        <w:numPr>
          <w:ilvl w:val="1"/>
          <w:numId w:val="4"/>
        </w:numPr>
      </w:pPr>
      <w:r w:rsidRPr="00D50150">
        <w:lastRenderedPageBreak/>
        <w:t xml:space="preserve">On an annualized basis, net of fees, the total return of the </w:t>
      </w:r>
      <w:proofErr w:type="gramStart"/>
      <w:r w:rsidRPr="00D50150">
        <w:t>Long Term</w:t>
      </w:r>
      <w:proofErr w:type="gramEnd"/>
      <w:r w:rsidRPr="00D50150">
        <w:t xml:space="preserve"> Investment portfolio will be expected to equal or exceed the average return of appropriate market indices such as the Russell 1000® Value Index and the </w:t>
      </w:r>
      <w:r w:rsidR="008F13BD" w:rsidRPr="00D50150">
        <w:t>Bloomberg</w:t>
      </w:r>
      <w:r w:rsidRPr="00D50150">
        <w:t xml:space="preserve"> Aggregate Bond Indices, weighted by the asset allocation target percentages over a rolling </w:t>
      </w:r>
      <w:proofErr w:type="gramStart"/>
      <w:r w:rsidRPr="00D50150">
        <w:t>five year</w:t>
      </w:r>
      <w:proofErr w:type="gramEnd"/>
      <w:r w:rsidRPr="00D50150">
        <w:t xml:space="preserve"> period. </w:t>
      </w:r>
    </w:p>
    <w:p w14:paraId="69A063C5" w14:textId="454731FF" w:rsidR="00D50150" w:rsidRDefault="00D50150" w:rsidP="00D50150">
      <w:pPr>
        <w:pStyle w:val="ListParagraph"/>
        <w:numPr>
          <w:ilvl w:val="0"/>
          <w:numId w:val="4"/>
        </w:numPr>
      </w:pPr>
      <w:r>
        <w:t>Short Term Investments</w:t>
      </w:r>
    </w:p>
    <w:p w14:paraId="117DC142" w14:textId="5B225E41" w:rsidR="00D50150" w:rsidRPr="00D50150" w:rsidRDefault="00D50150" w:rsidP="00D50150">
      <w:pPr>
        <w:pStyle w:val="ListParagraph"/>
        <w:numPr>
          <w:ilvl w:val="1"/>
          <w:numId w:val="4"/>
        </w:numPr>
      </w:pPr>
      <w:r>
        <w:t xml:space="preserve">Due to the nature of short-term fixed income investment, these assets will not be required to </w:t>
      </w:r>
      <w:r w:rsidR="002269A3">
        <w:t>equal or exceed the average return of similar market indices.</w:t>
      </w:r>
    </w:p>
    <w:p w14:paraId="06DBB227" w14:textId="77777777" w:rsidR="00A66CDA" w:rsidRDefault="00A66CDA" w:rsidP="00755316">
      <w:pPr>
        <w:rPr>
          <w:b/>
        </w:rPr>
      </w:pPr>
    </w:p>
    <w:p w14:paraId="36AEC908" w14:textId="646B63AC" w:rsidR="00755316" w:rsidRDefault="00A66CDA" w:rsidP="00755316">
      <w:pPr>
        <w:rPr>
          <w:b/>
        </w:rPr>
      </w:pPr>
      <w:r>
        <w:rPr>
          <w:b/>
        </w:rPr>
        <w:t>Section 4: Short Term Investment Asset Allocation Guidelines</w:t>
      </w:r>
    </w:p>
    <w:p w14:paraId="22027727" w14:textId="77777777" w:rsidR="00383EA0" w:rsidRPr="00383EA0" w:rsidRDefault="00383EA0" w:rsidP="00383EA0">
      <w:pPr>
        <w:rPr>
          <w:bCs/>
        </w:rPr>
      </w:pPr>
      <w:r w:rsidRPr="00383EA0">
        <w:rPr>
          <w:bCs/>
        </w:rPr>
        <w:t xml:space="preserve">The CCE Monroe Board intends to use the investment policy and restrictions presented in this statement as a framework to guide the management of short-term investment assets in a manner that preserves principal, maintains adequate liquidity, and generates </w:t>
      </w:r>
      <w:proofErr w:type="gramStart"/>
      <w:r w:rsidRPr="00383EA0">
        <w:rPr>
          <w:bCs/>
        </w:rPr>
        <w:t>stable interest</w:t>
      </w:r>
      <w:proofErr w:type="gramEnd"/>
      <w:r w:rsidRPr="00383EA0">
        <w:rPr>
          <w:bCs/>
        </w:rPr>
        <w:t xml:space="preserve"> income at a level of risk deemed acceptable. These policies and restrictions are designed to support prudent treasury management while minimizing unnecessary constraints that could limit the ability to respond to changing short-term market conditions.</w:t>
      </w:r>
    </w:p>
    <w:p w14:paraId="53A1E13E" w14:textId="080D90DB" w:rsidR="00383EA0" w:rsidRPr="00383EA0" w:rsidRDefault="00383EA0" w:rsidP="00383EA0">
      <w:pPr>
        <w:rPr>
          <w:bCs/>
        </w:rPr>
      </w:pPr>
      <w:r w:rsidRPr="00383EA0">
        <w:rPr>
          <w:bCs/>
        </w:rPr>
        <w:t>This policy permits the use of short-term, fixed-income instruments, including FDIC-insured Certificates of Deposit (CDs). This is intended to provide regular access to funds, enhance reinvestment flexibility in changing interest rate environments, and maintain sufficient liquidity to meet operational and contingency cash needs.</w:t>
      </w:r>
    </w:p>
    <w:p w14:paraId="044AEBB5" w14:textId="39271D44" w:rsidR="00383EA0" w:rsidRPr="00383EA0" w:rsidRDefault="00383EA0" w:rsidP="00383EA0">
      <w:pPr>
        <w:rPr>
          <w:bCs/>
        </w:rPr>
      </w:pPr>
      <w:r w:rsidRPr="00383EA0">
        <w:rPr>
          <w:bCs/>
        </w:rPr>
        <w:t xml:space="preserve">The allocation of short-term assets shall prioritize safety of principal and liquidity, while seeking competitive yields available in the short-duration fixed income market. Investments </w:t>
      </w:r>
      <w:r w:rsidR="00D50150">
        <w:rPr>
          <w:bCs/>
        </w:rPr>
        <w:t xml:space="preserve">may </w:t>
      </w:r>
      <w:r w:rsidRPr="00383EA0">
        <w:rPr>
          <w:bCs/>
        </w:rPr>
        <w:t>be diversified across maturities and, where appropriate, across financial institutions to mitigate concentration risk and optimize cash flow availability.</w:t>
      </w:r>
    </w:p>
    <w:p w14:paraId="49412C9C" w14:textId="77777777" w:rsidR="00383EA0" w:rsidRPr="00383EA0" w:rsidRDefault="00383EA0" w:rsidP="00383EA0">
      <w:pPr>
        <w:rPr>
          <w:bCs/>
        </w:rPr>
      </w:pPr>
      <w:r w:rsidRPr="00383EA0">
        <w:rPr>
          <w:bCs/>
        </w:rPr>
        <w:t>It is the responsibility of management and/or designated financial personnel to monitor and ensure that short-term investment holdings remain in compliance with these guidelines, and that sufficient liquid assets are available to meet anticipated operating requirements.</w:t>
      </w:r>
    </w:p>
    <w:p w14:paraId="1E65EDC8" w14:textId="77777777" w:rsidR="00383EA0" w:rsidRDefault="00383EA0" w:rsidP="00A66CDA">
      <w:pPr>
        <w:rPr>
          <w:bCs/>
        </w:rPr>
      </w:pPr>
    </w:p>
    <w:p w14:paraId="166DF615" w14:textId="77777777" w:rsidR="00A66CDA" w:rsidRDefault="00A66CDA" w:rsidP="00755316">
      <w:pPr>
        <w:rPr>
          <w:b/>
        </w:rPr>
      </w:pPr>
    </w:p>
    <w:p w14:paraId="6A630574" w14:textId="5944C973" w:rsidR="00755316" w:rsidRDefault="00755316" w:rsidP="00755316">
      <w:pPr>
        <w:rPr>
          <w:b/>
        </w:rPr>
      </w:pPr>
      <w:r>
        <w:rPr>
          <w:b/>
        </w:rPr>
        <w:t xml:space="preserve">Section </w:t>
      </w:r>
      <w:r w:rsidR="00A66CDA">
        <w:rPr>
          <w:b/>
        </w:rPr>
        <w:t>5</w:t>
      </w:r>
      <w:r>
        <w:rPr>
          <w:b/>
        </w:rPr>
        <w:t>: Long Term Investment Asset Allocation Guidelines</w:t>
      </w:r>
    </w:p>
    <w:p w14:paraId="73D53344" w14:textId="371850E4" w:rsidR="00755316" w:rsidRDefault="00755316" w:rsidP="00755316">
      <w:r>
        <w:t xml:space="preserve">The CCE </w:t>
      </w:r>
      <w:r w:rsidR="00A66CDA">
        <w:t>Monroe</w:t>
      </w:r>
      <w:r>
        <w:t xml:space="preserve"> Board intends to use the investment policy and restrictions presented in this statement as a framework to help the Investment Manager(s) achieve the investment objectives at a level of risk deemed acceptable.  These policies and restrictions are designed to minimize interfering with the Investment Managers’ efforts to attain overall objectives, and to minimize excluding the Investment Manager(s) from appropriate investment opportunities. This policy allows the Investment Manager(s) substantial discretion in the allocation and diversification of the assets for the purpose of increasing investment returns and/or reducing risk exposures. When appropriate, the CCE </w:t>
      </w:r>
      <w:r w:rsidR="00A66CDA">
        <w:t>Monroe</w:t>
      </w:r>
      <w:r>
        <w:t xml:space="preserve"> Board </w:t>
      </w:r>
      <w:proofErr w:type="gramStart"/>
      <w:r>
        <w:t>gives to</w:t>
      </w:r>
      <w:proofErr w:type="gramEnd"/>
      <w:r>
        <w:t xml:space="preserve"> the Investment Manager(s) broad responsibility to shift the commitment of assets among industry sectors and individual securities to pursue opportunities presented by long term secular changes within the capital markets.</w:t>
      </w:r>
    </w:p>
    <w:p w14:paraId="551CA8C5" w14:textId="77777777" w:rsidR="00755316" w:rsidRDefault="00755316" w:rsidP="00755316">
      <w:r>
        <w:t xml:space="preserve">This portfolio shall be diversified by asset class </w:t>
      </w:r>
      <w:proofErr w:type="gramStart"/>
      <w:r>
        <w:t>in order to</w:t>
      </w:r>
      <w:proofErr w:type="gramEnd"/>
      <w:r>
        <w:t xml:space="preserve"> reduce its overall risk and volatility. The following target allocations and expected ranges are to be followed. (At market value)</w:t>
      </w:r>
    </w:p>
    <w:p w14:paraId="47836B27" w14:textId="77777777" w:rsidR="00755316" w:rsidRDefault="00755316" w:rsidP="00755316"/>
    <w:tbl>
      <w:tblPr>
        <w:tblStyle w:val="TableGrid"/>
        <w:tblW w:w="0" w:type="auto"/>
        <w:tblInd w:w="108" w:type="dxa"/>
        <w:tblLook w:val="04A0" w:firstRow="1" w:lastRow="0" w:firstColumn="1" w:lastColumn="0" w:noHBand="0" w:noVBand="1"/>
      </w:tblPr>
      <w:tblGrid>
        <w:gridCol w:w="2017"/>
        <w:gridCol w:w="1973"/>
        <w:gridCol w:w="2063"/>
        <w:gridCol w:w="1975"/>
      </w:tblGrid>
      <w:tr w:rsidR="00755316" w14:paraId="669C219B" w14:textId="77777777" w:rsidTr="00755316">
        <w:tc>
          <w:tcPr>
            <w:tcW w:w="2017" w:type="dxa"/>
            <w:tcBorders>
              <w:top w:val="single" w:sz="4" w:space="0" w:color="auto"/>
              <w:left w:val="single" w:sz="4" w:space="0" w:color="auto"/>
              <w:bottom w:val="single" w:sz="4" w:space="0" w:color="auto"/>
              <w:right w:val="single" w:sz="4" w:space="0" w:color="auto"/>
            </w:tcBorders>
            <w:hideMark/>
          </w:tcPr>
          <w:p w14:paraId="17B28BFD" w14:textId="77777777" w:rsidR="00755316" w:rsidRDefault="00755316">
            <w:r>
              <w:t>Asset Class</w:t>
            </w:r>
          </w:p>
        </w:tc>
        <w:tc>
          <w:tcPr>
            <w:tcW w:w="1973" w:type="dxa"/>
            <w:tcBorders>
              <w:top w:val="single" w:sz="4" w:space="0" w:color="auto"/>
              <w:left w:val="single" w:sz="4" w:space="0" w:color="auto"/>
              <w:bottom w:val="single" w:sz="4" w:space="0" w:color="auto"/>
              <w:right w:val="single" w:sz="4" w:space="0" w:color="auto"/>
            </w:tcBorders>
            <w:hideMark/>
          </w:tcPr>
          <w:p w14:paraId="37B13410" w14:textId="77777777" w:rsidR="00755316" w:rsidRDefault="00755316">
            <w:r>
              <w:t>Lower Limit</w:t>
            </w:r>
          </w:p>
        </w:tc>
        <w:tc>
          <w:tcPr>
            <w:tcW w:w="2063" w:type="dxa"/>
            <w:tcBorders>
              <w:top w:val="single" w:sz="4" w:space="0" w:color="auto"/>
              <w:left w:val="single" w:sz="4" w:space="0" w:color="auto"/>
              <w:bottom w:val="single" w:sz="4" w:space="0" w:color="auto"/>
              <w:right w:val="single" w:sz="4" w:space="0" w:color="auto"/>
            </w:tcBorders>
            <w:hideMark/>
          </w:tcPr>
          <w:p w14:paraId="24272AC6" w14:textId="77777777" w:rsidR="00755316" w:rsidRDefault="00755316">
            <w:r>
              <w:t>Strategic Allocation</w:t>
            </w:r>
          </w:p>
        </w:tc>
        <w:tc>
          <w:tcPr>
            <w:tcW w:w="1975" w:type="dxa"/>
            <w:tcBorders>
              <w:top w:val="single" w:sz="4" w:space="0" w:color="auto"/>
              <w:left w:val="single" w:sz="4" w:space="0" w:color="auto"/>
              <w:bottom w:val="single" w:sz="4" w:space="0" w:color="auto"/>
              <w:right w:val="single" w:sz="4" w:space="0" w:color="auto"/>
            </w:tcBorders>
            <w:hideMark/>
          </w:tcPr>
          <w:p w14:paraId="0DA0A30F" w14:textId="77777777" w:rsidR="00755316" w:rsidRDefault="00755316">
            <w:r>
              <w:t>Upper Limit</w:t>
            </w:r>
          </w:p>
        </w:tc>
      </w:tr>
      <w:tr w:rsidR="00DC3952" w14:paraId="7EF0DC6F" w14:textId="77777777" w:rsidTr="00755316">
        <w:tc>
          <w:tcPr>
            <w:tcW w:w="2017" w:type="dxa"/>
            <w:tcBorders>
              <w:top w:val="single" w:sz="4" w:space="0" w:color="auto"/>
              <w:left w:val="single" w:sz="4" w:space="0" w:color="auto"/>
              <w:bottom w:val="single" w:sz="4" w:space="0" w:color="auto"/>
              <w:right w:val="single" w:sz="4" w:space="0" w:color="auto"/>
            </w:tcBorders>
            <w:hideMark/>
          </w:tcPr>
          <w:p w14:paraId="59455F3E" w14:textId="77777777" w:rsidR="00DC3952" w:rsidRDefault="00DC3952" w:rsidP="00DC3952">
            <w:r>
              <w:t>Equities</w:t>
            </w:r>
          </w:p>
        </w:tc>
        <w:tc>
          <w:tcPr>
            <w:tcW w:w="1973" w:type="dxa"/>
            <w:tcBorders>
              <w:top w:val="single" w:sz="4" w:space="0" w:color="auto"/>
              <w:left w:val="single" w:sz="4" w:space="0" w:color="auto"/>
              <w:bottom w:val="single" w:sz="4" w:space="0" w:color="auto"/>
              <w:right w:val="single" w:sz="4" w:space="0" w:color="auto"/>
            </w:tcBorders>
            <w:hideMark/>
          </w:tcPr>
          <w:p w14:paraId="5563C662" w14:textId="65145F47" w:rsidR="00DC3952" w:rsidRDefault="00DC3952" w:rsidP="00DC3952">
            <w:r>
              <w:t>0-10%</w:t>
            </w:r>
          </w:p>
        </w:tc>
        <w:tc>
          <w:tcPr>
            <w:tcW w:w="2063" w:type="dxa"/>
            <w:tcBorders>
              <w:top w:val="single" w:sz="4" w:space="0" w:color="auto"/>
              <w:left w:val="single" w:sz="4" w:space="0" w:color="auto"/>
              <w:bottom w:val="single" w:sz="4" w:space="0" w:color="auto"/>
              <w:right w:val="single" w:sz="4" w:space="0" w:color="auto"/>
            </w:tcBorders>
            <w:hideMark/>
          </w:tcPr>
          <w:p w14:paraId="6FBE76EA" w14:textId="37D2F339" w:rsidR="00DC3952" w:rsidRDefault="00DC3952" w:rsidP="00DC3952">
            <w:r>
              <w:t>20%</w:t>
            </w:r>
          </w:p>
        </w:tc>
        <w:tc>
          <w:tcPr>
            <w:tcW w:w="1975" w:type="dxa"/>
            <w:tcBorders>
              <w:top w:val="single" w:sz="4" w:space="0" w:color="auto"/>
              <w:left w:val="single" w:sz="4" w:space="0" w:color="auto"/>
              <w:bottom w:val="single" w:sz="4" w:space="0" w:color="auto"/>
              <w:right w:val="single" w:sz="4" w:space="0" w:color="auto"/>
            </w:tcBorders>
            <w:hideMark/>
          </w:tcPr>
          <w:p w14:paraId="78E4DCA0" w14:textId="7B62A713" w:rsidR="00DC3952" w:rsidRDefault="00DC3952" w:rsidP="00DC3952">
            <w:r>
              <w:t>30%</w:t>
            </w:r>
          </w:p>
        </w:tc>
      </w:tr>
      <w:tr w:rsidR="00DC3952" w14:paraId="501AD274" w14:textId="77777777" w:rsidTr="00755316">
        <w:tc>
          <w:tcPr>
            <w:tcW w:w="2017" w:type="dxa"/>
            <w:tcBorders>
              <w:top w:val="single" w:sz="4" w:space="0" w:color="auto"/>
              <w:left w:val="single" w:sz="4" w:space="0" w:color="auto"/>
              <w:bottom w:val="single" w:sz="4" w:space="0" w:color="auto"/>
              <w:right w:val="single" w:sz="4" w:space="0" w:color="auto"/>
            </w:tcBorders>
            <w:hideMark/>
          </w:tcPr>
          <w:p w14:paraId="79458755" w14:textId="77777777" w:rsidR="00DC3952" w:rsidRDefault="00DC3952" w:rsidP="00DC3952">
            <w:r>
              <w:t>Fixed Income</w:t>
            </w:r>
          </w:p>
        </w:tc>
        <w:tc>
          <w:tcPr>
            <w:tcW w:w="1973" w:type="dxa"/>
            <w:tcBorders>
              <w:top w:val="single" w:sz="4" w:space="0" w:color="auto"/>
              <w:left w:val="single" w:sz="4" w:space="0" w:color="auto"/>
              <w:bottom w:val="single" w:sz="4" w:space="0" w:color="auto"/>
              <w:right w:val="single" w:sz="4" w:space="0" w:color="auto"/>
            </w:tcBorders>
            <w:hideMark/>
          </w:tcPr>
          <w:p w14:paraId="7B65AF34" w14:textId="18083A26" w:rsidR="00DC3952" w:rsidRDefault="00DC3952" w:rsidP="00DC3952">
            <w:r>
              <w:t>70%</w:t>
            </w:r>
          </w:p>
        </w:tc>
        <w:tc>
          <w:tcPr>
            <w:tcW w:w="2063" w:type="dxa"/>
            <w:tcBorders>
              <w:top w:val="single" w:sz="4" w:space="0" w:color="auto"/>
              <w:left w:val="single" w:sz="4" w:space="0" w:color="auto"/>
              <w:bottom w:val="single" w:sz="4" w:space="0" w:color="auto"/>
              <w:right w:val="single" w:sz="4" w:space="0" w:color="auto"/>
            </w:tcBorders>
            <w:hideMark/>
          </w:tcPr>
          <w:p w14:paraId="06FF4A51" w14:textId="641CEA8A" w:rsidR="00DC3952" w:rsidRDefault="00DC3952" w:rsidP="00DC3952">
            <w:r>
              <w:t>80%</w:t>
            </w:r>
          </w:p>
        </w:tc>
        <w:tc>
          <w:tcPr>
            <w:tcW w:w="1975" w:type="dxa"/>
            <w:tcBorders>
              <w:top w:val="single" w:sz="4" w:space="0" w:color="auto"/>
              <w:left w:val="single" w:sz="4" w:space="0" w:color="auto"/>
              <w:bottom w:val="single" w:sz="4" w:space="0" w:color="auto"/>
              <w:right w:val="single" w:sz="4" w:space="0" w:color="auto"/>
            </w:tcBorders>
            <w:hideMark/>
          </w:tcPr>
          <w:p w14:paraId="0AD2B29C" w14:textId="7E609344" w:rsidR="00DC3952" w:rsidRDefault="00DC3952" w:rsidP="00DC3952">
            <w:r>
              <w:t>90%</w:t>
            </w:r>
          </w:p>
        </w:tc>
      </w:tr>
      <w:tr w:rsidR="00DC3952" w14:paraId="31D6B9D5" w14:textId="77777777" w:rsidTr="00755316">
        <w:tc>
          <w:tcPr>
            <w:tcW w:w="2017" w:type="dxa"/>
            <w:tcBorders>
              <w:top w:val="single" w:sz="4" w:space="0" w:color="auto"/>
              <w:left w:val="single" w:sz="4" w:space="0" w:color="auto"/>
              <w:bottom w:val="single" w:sz="4" w:space="0" w:color="auto"/>
              <w:right w:val="single" w:sz="4" w:space="0" w:color="auto"/>
            </w:tcBorders>
            <w:hideMark/>
          </w:tcPr>
          <w:p w14:paraId="3008866E" w14:textId="77777777" w:rsidR="00DC3952" w:rsidRDefault="00DC3952" w:rsidP="00DC3952">
            <w:r>
              <w:t>Cash and Cash Equivalents</w:t>
            </w:r>
          </w:p>
        </w:tc>
        <w:tc>
          <w:tcPr>
            <w:tcW w:w="1973" w:type="dxa"/>
            <w:tcBorders>
              <w:top w:val="single" w:sz="4" w:space="0" w:color="auto"/>
              <w:left w:val="single" w:sz="4" w:space="0" w:color="auto"/>
              <w:bottom w:val="single" w:sz="4" w:space="0" w:color="auto"/>
              <w:right w:val="single" w:sz="4" w:space="0" w:color="auto"/>
            </w:tcBorders>
            <w:hideMark/>
          </w:tcPr>
          <w:p w14:paraId="5219FF14" w14:textId="169516ED" w:rsidR="00DC3952" w:rsidRDefault="00DC3952" w:rsidP="00DC3952">
            <w:r>
              <w:t>0%</w:t>
            </w:r>
          </w:p>
        </w:tc>
        <w:tc>
          <w:tcPr>
            <w:tcW w:w="2063" w:type="dxa"/>
            <w:tcBorders>
              <w:top w:val="single" w:sz="4" w:space="0" w:color="auto"/>
              <w:left w:val="single" w:sz="4" w:space="0" w:color="auto"/>
              <w:bottom w:val="single" w:sz="4" w:space="0" w:color="auto"/>
              <w:right w:val="single" w:sz="4" w:space="0" w:color="auto"/>
            </w:tcBorders>
          </w:tcPr>
          <w:p w14:paraId="4A5B894B" w14:textId="77777777" w:rsidR="00DC3952" w:rsidRDefault="00DC3952" w:rsidP="00DC3952"/>
        </w:tc>
        <w:tc>
          <w:tcPr>
            <w:tcW w:w="1975" w:type="dxa"/>
            <w:tcBorders>
              <w:top w:val="single" w:sz="4" w:space="0" w:color="auto"/>
              <w:left w:val="single" w:sz="4" w:space="0" w:color="auto"/>
              <w:bottom w:val="single" w:sz="4" w:space="0" w:color="auto"/>
              <w:right w:val="single" w:sz="4" w:space="0" w:color="auto"/>
            </w:tcBorders>
            <w:hideMark/>
          </w:tcPr>
          <w:p w14:paraId="34AED2B8" w14:textId="0ACAB119" w:rsidR="00DC3952" w:rsidRDefault="00A66CDA" w:rsidP="00DC3952">
            <w:r>
              <w:t>1</w:t>
            </w:r>
            <w:r w:rsidR="00DC3952">
              <w:t>0%</w:t>
            </w:r>
          </w:p>
        </w:tc>
      </w:tr>
    </w:tbl>
    <w:p w14:paraId="15A3E3D1" w14:textId="77777777" w:rsidR="00755316" w:rsidRDefault="00755316" w:rsidP="00755316"/>
    <w:p w14:paraId="4B678EAF" w14:textId="77777777" w:rsidR="00755316" w:rsidRPr="00D50150" w:rsidRDefault="00755316" w:rsidP="00755316">
      <w:r>
        <w:t xml:space="preserve">It is the responsibility of the individual Investment Manager(s) to monitor and </w:t>
      </w:r>
      <w:proofErr w:type="gramStart"/>
      <w:r>
        <w:t>insure</w:t>
      </w:r>
      <w:proofErr w:type="gramEnd"/>
      <w:r>
        <w:t xml:space="preserve"> the portfolio </w:t>
      </w:r>
      <w:proofErr w:type="gramStart"/>
      <w:r>
        <w:t xml:space="preserve">is in </w:t>
      </w:r>
      <w:r w:rsidRPr="00D50150">
        <w:t>compliance with</w:t>
      </w:r>
      <w:proofErr w:type="gramEnd"/>
      <w:r w:rsidRPr="00D50150">
        <w:t xml:space="preserve"> these allocation guidelines.</w:t>
      </w:r>
    </w:p>
    <w:p w14:paraId="5ED9AD88" w14:textId="77777777" w:rsidR="00755316" w:rsidRPr="00D50150" w:rsidRDefault="00755316" w:rsidP="00755316"/>
    <w:p w14:paraId="5FE33211" w14:textId="24E07947" w:rsidR="00755316" w:rsidRPr="00D50150" w:rsidRDefault="00755316" w:rsidP="00755316">
      <w:pPr>
        <w:rPr>
          <w:b/>
        </w:rPr>
      </w:pPr>
      <w:r w:rsidRPr="00D50150">
        <w:rPr>
          <w:b/>
        </w:rPr>
        <w:t xml:space="preserve">Section </w:t>
      </w:r>
      <w:r w:rsidR="00036579" w:rsidRPr="00D50150">
        <w:rPr>
          <w:b/>
        </w:rPr>
        <w:t>6</w:t>
      </w:r>
      <w:r w:rsidRPr="00D50150">
        <w:rPr>
          <w:b/>
        </w:rPr>
        <w:t>: Communications and Monitoring</w:t>
      </w:r>
    </w:p>
    <w:p w14:paraId="2A049317" w14:textId="3A02537D" w:rsidR="00755316" w:rsidRPr="00D50150" w:rsidRDefault="00755316" w:rsidP="00755316">
      <w:pPr>
        <w:pStyle w:val="ListParagraph"/>
        <w:numPr>
          <w:ilvl w:val="0"/>
          <w:numId w:val="5"/>
        </w:numPr>
      </w:pPr>
      <w:r w:rsidRPr="00D50150">
        <w:t xml:space="preserve">The Investment Manager(s) is required to provide the CCE </w:t>
      </w:r>
      <w:r w:rsidR="00036579" w:rsidRPr="00D50150">
        <w:t>Monroe</w:t>
      </w:r>
      <w:r w:rsidRPr="00D50150">
        <w:t xml:space="preserve"> Board with a quarterly account review detailing investment performance (time weighted), strategy and account value. </w:t>
      </w:r>
      <w:proofErr w:type="gramStart"/>
      <w:r w:rsidRPr="00D50150">
        <w:t>Also</w:t>
      </w:r>
      <w:proofErr w:type="gramEnd"/>
      <w:r w:rsidRPr="00D50150">
        <w:t xml:space="preserve"> the CCE </w:t>
      </w:r>
      <w:r w:rsidR="00036579" w:rsidRPr="00D50150">
        <w:t>Monroe</w:t>
      </w:r>
      <w:r w:rsidRPr="00D50150">
        <w:t xml:space="preserve"> Board must receive information about changes in the Investment Managers’ investment philosophy, management, ownership, and key personnel in a timely fashion, not to exceed three months from the change. </w:t>
      </w:r>
    </w:p>
    <w:p w14:paraId="0C8B95D3" w14:textId="19057336" w:rsidR="00755316" w:rsidRPr="00D50150" w:rsidRDefault="00755316" w:rsidP="00755316">
      <w:pPr>
        <w:pStyle w:val="ListParagraph"/>
        <w:numPr>
          <w:ilvl w:val="0"/>
          <w:numId w:val="5"/>
        </w:numPr>
      </w:pPr>
      <w:r w:rsidRPr="00D50150">
        <w:t xml:space="preserve">Quarterly reports will be reviewed internally by the CCE </w:t>
      </w:r>
      <w:r w:rsidR="00036579" w:rsidRPr="00D50150">
        <w:t>Monroe</w:t>
      </w:r>
      <w:r w:rsidRPr="00D50150">
        <w:t xml:space="preserve"> Board Treasurer, CCE </w:t>
      </w:r>
      <w:r w:rsidR="00036579" w:rsidRPr="00D50150">
        <w:t xml:space="preserve">Monroe </w:t>
      </w:r>
      <w:r w:rsidRPr="00D50150">
        <w:t xml:space="preserve">Director and </w:t>
      </w:r>
      <w:r w:rsidR="00383EA0" w:rsidRPr="00D50150">
        <w:t>Finance and Operations Administrator</w:t>
      </w:r>
      <w:r w:rsidRPr="00D50150">
        <w:t xml:space="preserve">. The CCE </w:t>
      </w:r>
      <w:r w:rsidR="00036579" w:rsidRPr="00D50150">
        <w:t>Monroe</w:t>
      </w:r>
      <w:r w:rsidRPr="00D50150">
        <w:t xml:space="preserve"> Board Treasurer will deliver a review of the quarterly report to the CCE </w:t>
      </w:r>
      <w:r w:rsidR="00036579" w:rsidRPr="00D50150">
        <w:t>Monroe</w:t>
      </w:r>
      <w:r w:rsidRPr="00D50150">
        <w:t xml:space="preserve"> Board at the next available CCE </w:t>
      </w:r>
      <w:r w:rsidR="00036579" w:rsidRPr="00D50150">
        <w:t>Monroe</w:t>
      </w:r>
      <w:r w:rsidRPr="00D50150">
        <w:t xml:space="preserve"> Board meeting following receipt of quarterly report. </w:t>
      </w:r>
    </w:p>
    <w:p w14:paraId="61FF8988" w14:textId="7C2D069E" w:rsidR="00755316" w:rsidRPr="00D50150" w:rsidRDefault="00755316" w:rsidP="00755316">
      <w:pPr>
        <w:pStyle w:val="ListParagraph"/>
        <w:numPr>
          <w:ilvl w:val="0"/>
          <w:numId w:val="5"/>
        </w:numPr>
      </w:pPr>
      <w:r w:rsidRPr="00D50150">
        <w:t xml:space="preserve">Online access to the </w:t>
      </w:r>
      <w:proofErr w:type="gramStart"/>
      <w:r w:rsidRPr="00D50150">
        <w:t>fund account</w:t>
      </w:r>
      <w:proofErr w:type="gramEnd"/>
      <w:r w:rsidRPr="00D50150">
        <w:t xml:space="preserve"> and performance information will be established. This access will be limited to the CCE </w:t>
      </w:r>
      <w:r w:rsidR="00036579" w:rsidRPr="00D50150">
        <w:t>Monroe</w:t>
      </w:r>
      <w:r w:rsidRPr="00D50150">
        <w:t xml:space="preserve"> Director and </w:t>
      </w:r>
      <w:r w:rsidR="00383EA0" w:rsidRPr="00D50150">
        <w:t>Finance and Operations Administrator</w:t>
      </w:r>
      <w:r w:rsidRPr="00D50150">
        <w:t xml:space="preserve">. </w:t>
      </w:r>
    </w:p>
    <w:p w14:paraId="234C03FE" w14:textId="77777777" w:rsidR="00755316" w:rsidRPr="00D50150" w:rsidRDefault="00755316" w:rsidP="00755316">
      <w:pPr>
        <w:pStyle w:val="ListParagraph"/>
        <w:ind w:left="360"/>
      </w:pPr>
    </w:p>
    <w:p w14:paraId="3641FC18" w14:textId="4151AAB6" w:rsidR="00755316" w:rsidRPr="00D50150" w:rsidRDefault="00755316" w:rsidP="00755316">
      <w:pPr>
        <w:rPr>
          <w:b/>
        </w:rPr>
      </w:pPr>
      <w:r w:rsidRPr="00D50150">
        <w:rPr>
          <w:b/>
        </w:rPr>
        <w:t xml:space="preserve">Section </w:t>
      </w:r>
      <w:r w:rsidR="00D50150" w:rsidRPr="00D50150">
        <w:rPr>
          <w:b/>
        </w:rPr>
        <w:t>7</w:t>
      </w:r>
      <w:r w:rsidRPr="00D50150">
        <w:rPr>
          <w:b/>
        </w:rPr>
        <w:t>: Spending Policy</w:t>
      </w:r>
    </w:p>
    <w:p w14:paraId="1C70EFE0" w14:textId="21C7A79C" w:rsidR="00755316" w:rsidRPr="00D50150" w:rsidRDefault="00755316" w:rsidP="00755316">
      <w:pPr>
        <w:pStyle w:val="ListParagraph"/>
        <w:numPr>
          <w:ilvl w:val="0"/>
          <w:numId w:val="6"/>
        </w:numPr>
      </w:pPr>
      <w:r w:rsidRPr="00D50150">
        <w:t>The budget for spending from the fund, for all purposes, shall be presented annually</w:t>
      </w:r>
      <w:r w:rsidR="005D6E0A" w:rsidRPr="00D50150">
        <w:t xml:space="preserve"> in conjunction with the Association budget</w:t>
      </w:r>
      <w:r w:rsidRPr="00D50150">
        <w:t xml:space="preserve"> by the CCE </w:t>
      </w:r>
      <w:r w:rsidR="00AB6309" w:rsidRPr="00D50150">
        <w:t>Monroe</w:t>
      </w:r>
      <w:r w:rsidRPr="00D50150">
        <w:t xml:space="preserve"> Director and Finance</w:t>
      </w:r>
      <w:r w:rsidR="00B33F46" w:rsidRPr="00D50150">
        <w:t xml:space="preserve"> and Operations Administrator</w:t>
      </w:r>
      <w:r w:rsidRPr="00D50150">
        <w:t xml:space="preserve"> to </w:t>
      </w:r>
      <w:r w:rsidR="00C156A2" w:rsidRPr="00D50150">
        <w:t xml:space="preserve">the CCE </w:t>
      </w:r>
      <w:r w:rsidR="00B33F46" w:rsidRPr="00D50150">
        <w:t>Monroe</w:t>
      </w:r>
      <w:r w:rsidR="00C156A2" w:rsidRPr="00D50150">
        <w:t xml:space="preserve"> Board for approval. </w:t>
      </w:r>
      <w:r w:rsidRPr="00D50150">
        <w:rPr>
          <w:color w:val="FF0000"/>
        </w:rPr>
        <w:t xml:space="preserve"> </w:t>
      </w:r>
      <w:r w:rsidRPr="00D50150">
        <w:t xml:space="preserve">An analysis of current and future economic conditions, the performance of the investment portfolio, fund raising accomplishments, applicable laws and the mission of CCE </w:t>
      </w:r>
      <w:r w:rsidR="00B33F46" w:rsidRPr="00D50150">
        <w:t>Monroe</w:t>
      </w:r>
      <w:r w:rsidRPr="00D50150">
        <w:t xml:space="preserve"> shall guide the CCE </w:t>
      </w:r>
      <w:r w:rsidR="00B33F46" w:rsidRPr="00D50150">
        <w:t>Monroe</w:t>
      </w:r>
      <w:r w:rsidRPr="00D50150">
        <w:t xml:space="preserve"> Board. Total return of the portfolio shall consist of the dividends, interest, realized capital gains and/or losses and unrealized capital gains and/or losses. </w:t>
      </w:r>
    </w:p>
    <w:p w14:paraId="33AF1EF8" w14:textId="5351C921" w:rsidR="00755316" w:rsidRPr="00086995" w:rsidRDefault="00755316" w:rsidP="00755316">
      <w:pPr>
        <w:pStyle w:val="ListParagraph"/>
        <w:numPr>
          <w:ilvl w:val="0"/>
          <w:numId w:val="6"/>
        </w:numPr>
        <w:rPr>
          <w:highlight w:val="cyan"/>
        </w:rPr>
      </w:pPr>
      <w:r w:rsidRPr="00086995">
        <w:rPr>
          <w:highlight w:val="cyan"/>
        </w:rPr>
        <w:t>Available income is defined as income generated by the</w:t>
      </w:r>
      <w:r w:rsidR="00B33F46" w:rsidRPr="00086995">
        <w:rPr>
          <w:highlight w:val="cyan"/>
        </w:rPr>
        <w:t xml:space="preserve"> short-term</w:t>
      </w:r>
      <w:r w:rsidR="00086995" w:rsidRPr="00086995">
        <w:rPr>
          <w:highlight w:val="cyan"/>
        </w:rPr>
        <w:t xml:space="preserve"> and</w:t>
      </w:r>
      <w:r w:rsidRPr="00086995">
        <w:rPr>
          <w:highlight w:val="cyan"/>
        </w:rPr>
        <w:t xml:space="preserve"> </w:t>
      </w:r>
      <w:r w:rsidR="00086995" w:rsidRPr="00086995">
        <w:rPr>
          <w:highlight w:val="cyan"/>
        </w:rPr>
        <w:t>long-term</w:t>
      </w:r>
      <w:r w:rsidRPr="00086995">
        <w:rPr>
          <w:highlight w:val="cyan"/>
        </w:rPr>
        <w:t xml:space="preserve"> funds from interest, dividends and realized capital gains. Principal should remain intact. </w:t>
      </w:r>
    </w:p>
    <w:p w14:paraId="6043EB94" w14:textId="2676BEC6" w:rsidR="00755316" w:rsidRPr="00086995" w:rsidRDefault="00755316" w:rsidP="00755316">
      <w:pPr>
        <w:pStyle w:val="ListParagraph"/>
        <w:numPr>
          <w:ilvl w:val="0"/>
          <w:numId w:val="6"/>
        </w:numPr>
        <w:rPr>
          <w:highlight w:val="cyan"/>
        </w:rPr>
      </w:pPr>
      <w:r w:rsidRPr="00086995">
        <w:rPr>
          <w:highlight w:val="cyan"/>
        </w:rPr>
        <w:t xml:space="preserve">Income from </w:t>
      </w:r>
      <w:r w:rsidR="00086995" w:rsidRPr="00086995">
        <w:rPr>
          <w:highlight w:val="cyan"/>
        </w:rPr>
        <w:t>long-term</w:t>
      </w:r>
      <w:r w:rsidRPr="00086995">
        <w:rPr>
          <w:highlight w:val="cyan"/>
        </w:rPr>
        <w:t xml:space="preserve"> funds is designated to cover operating costs only and not available for CCE </w:t>
      </w:r>
      <w:r w:rsidR="00086995" w:rsidRPr="00086995">
        <w:rPr>
          <w:highlight w:val="cyan"/>
        </w:rPr>
        <w:t>Monroe</w:t>
      </w:r>
      <w:r w:rsidRPr="00086995">
        <w:rPr>
          <w:highlight w:val="cyan"/>
        </w:rPr>
        <w:t xml:space="preserve"> program expenditures or use. </w:t>
      </w:r>
    </w:p>
    <w:p w14:paraId="28B184A7" w14:textId="086CF045" w:rsidR="00755316" w:rsidRPr="00D50150" w:rsidRDefault="00755316" w:rsidP="00C156A2">
      <w:pPr>
        <w:pStyle w:val="ListParagraph"/>
        <w:numPr>
          <w:ilvl w:val="0"/>
          <w:numId w:val="6"/>
        </w:numPr>
      </w:pPr>
      <w:r w:rsidRPr="00D50150">
        <w:t xml:space="preserve">Accessing more than available income from </w:t>
      </w:r>
      <w:r w:rsidR="00086995" w:rsidRPr="00D50150">
        <w:t>long-term</w:t>
      </w:r>
      <w:r w:rsidRPr="00D50150">
        <w:t xml:space="preserve"> funds requires a written plan including a</w:t>
      </w:r>
      <w:r w:rsidR="00C156A2" w:rsidRPr="00D50150">
        <w:t>n aggressive</w:t>
      </w:r>
      <w:r w:rsidRPr="00D50150">
        <w:t xml:space="preserve"> timeline to replace the principal withdrawn unless the principal is replaced by a fixed asset such as a permanent building. This plan outlining the replacement of principal must be maintained in the permanent record of the CCE </w:t>
      </w:r>
      <w:r w:rsidR="00086995" w:rsidRPr="00D50150">
        <w:t>Monroe</w:t>
      </w:r>
      <w:r w:rsidRPr="00D50150">
        <w:t xml:space="preserve"> Board. </w:t>
      </w:r>
    </w:p>
    <w:p w14:paraId="3D3AC61F" w14:textId="61582FC0" w:rsidR="00755316" w:rsidRPr="00D50150" w:rsidRDefault="00755316" w:rsidP="00755316">
      <w:pPr>
        <w:pStyle w:val="ListParagraph"/>
        <w:numPr>
          <w:ilvl w:val="0"/>
          <w:numId w:val="6"/>
        </w:numPr>
      </w:pPr>
      <w:r w:rsidRPr="00D50150">
        <w:t xml:space="preserve">The CCE </w:t>
      </w:r>
      <w:r w:rsidR="00086995" w:rsidRPr="00D50150">
        <w:t>Monroe</w:t>
      </w:r>
      <w:r w:rsidRPr="00D50150">
        <w:t xml:space="preserve"> Board must approve any withdrawal that </w:t>
      </w:r>
      <w:proofErr w:type="gramStart"/>
      <w:r w:rsidRPr="00D50150">
        <w:t>impacts</w:t>
      </w:r>
      <w:proofErr w:type="gramEnd"/>
      <w:r w:rsidRPr="00D50150">
        <w:t xml:space="preserve"> the principal balance. The CCE </w:t>
      </w:r>
      <w:r w:rsidR="00086995" w:rsidRPr="00D50150">
        <w:t>Monroe</w:t>
      </w:r>
      <w:r w:rsidRPr="00D50150">
        <w:t xml:space="preserve"> Board will exercise prudent discretion when making any decision to allow withdrawals from principal. See Section 9: Restrictions.</w:t>
      </w:r>
    </w:p>
    <w:p w14:paraId="12CF69BB" w14:textId="77777777" w:rsidR="0065589B" w:rsidRPr="00D50150" w:rsidRDefault="0065589B" w:rsidP="00755316">
      <w:pPr>
        <w:rPr>
          <w:b/>
        </w:rPr>
      </w:pPr>
    </w:p>
    <w:p w14:paraId="3A17F5F0" w14:textId="56B1A92B" w:rsidR="00755316" w:rsidRPr="00D50150" w:rsidRDefault="00755316" w:rsidP="00755316">
      <w:pPr>
        <w:rPr>
          <w:b/>
        </w:rPr>
      </w:pPr>
      <w:r w:rsidRPr="00D50150">
        <w:rPr>
          <w:b/>
        </w:rPr>
        <w:t xml:space="preserve">Section </w:t>
      </w:r>
      <w:r w:rsidR="00D50150" w:rsidRPr="00D50150">
        <w:rPr>
          <w:b/>
        </w:rPr>
        <w:t>8</w:t>
      </w:r>
      <w:r w:rsidRPr="00D50150">
        <w:rPr>
          <w:b/>
        </w:rPr>
        <w:t>: Duties</w:t>
      </w:r>
    </w:p>
    <w:p w14:paraId="4442CB35" w14:textId="77777777" w:rsidR="00755316" w:rsidRPr="00D50150" w:rsidRDefault="00755316" w:rsidP="00755316">
      <w:pPr>
        <w:pStyle w:val="ListParagraph"/>
        <w:numPr>
          <w:ilvl w:val="0"/>
          <w:numId w:val="7"/>
        </w:numPr>
      </w:pPr>
      <w:r w:rsidRPr="00D50150">
        <w:t>Investment Advisor and /or Investment Manager</w:t>
      </w:r>
    </w:p>
    <w:p w14:paraId="517A93FC" w14:textId="77777777" w:rsidR="00755316" w:rsidRPr="00D50150" w:rsidRDefault="00755316" w:rsidP="00755316">
      <w:pPr>
        <w:pStyle w:val="ListParagraph"/>
        <w:numPr>
          <w:ilvl w:val="1"/>
          <w:numId w:val="7"/>
        </w:numPr>
      </w:pPr>
      <w:r w:rsidRPr="00D50150">
        <w:t xml:space="preserve">Oversee the assets and review investment performance. </w:t>
      </w:r>
    </w:p>
    <w:p w14:paraId="668BFB51" w14:textId="77777777" w:rsidR="00755316" w:rsidRPr="00D50150" w:rsidRDefault="00755316" w:rsidP="00755316">
      <w:pPr>
        <w:pStyle w:val="ListParagraph"/>
        <w:numPr>
          <w:ilvl w:val="1"/>
          <w:numId w:val="7"/>
        </w:numPr>
      </w:pPr>
      <w:r w:rsidRPr="00D50150">
        <w:t>Monitor the portfolio performance against like peers and comparable universe(s) based on prevailing market conditions.</w:t>
      </w:r>
    </w:p>
    <w:p w14:paraId="23354B4A" w14:textId="77777777" w:rsidR="00755316" w:rsidRPr="00D50150" w:rsidRDefault="00755316" w:rsidP="00755316">
      <w:pPr>
        <w:pStyle w:val="ListParagraph"/>
        <w:numPr>
          <w:ilvl w:val="1"/>
          <w:numId w:val="7"/>
        </w:numPr>
      </w:pPr>
      <w:r w:rsidRPr="00D50150">
        <w:t>Determine asset allocation of the fund acting within the parameters of this Investment Policy Statement.</w:t>
      </w:r>
    </w:p>
    <w:p w14:paraId="4E9608D5" w14:textId="77777777" w:rsidR="00755316" w:rsidRPr="00D50150" w:rsidRDefault="00755316" w:rsidP="00755316">
      <w:pPr>
        <w:pStyle w:val="ListParagraph"/>
        <w:numPr>
          <w:ilvl w:val="1"/>
          <w:numId w:val="7"/>
        </w:numPr>
      </w:pPr>
      <w:r w:rsidRPr="00D50150">
        <w:t>Be responsible for communication and reporting on fund performance and any changes related to the fund investments.</w:t>
      </w:r>
    </w:p>
    <w:p w14:paraId="6CDDC0FF" w14:textId="07FDEC7A" w:rsidR="00755316" w:rsidRPr="00D50150" w:rsidRDefault="00755316" w:rsidP="00755316">
      <w:pPr>
        <w:pStyle w:val="ListParagraph"/>
        <w:numPr>
          <w:ilvl w:val="0"/>
          <w:numId w:val="7"/>
        </w:numPr>
      </w:pPr>
      <w:r w:rsidRPr="00D50150">
        <w:t xml:space="preserve">CCE </w:t>
      </w:r>
      <w:r w:rsidR="00AB6309" w:rsidRPr="00D50150">
        <w:t>Monroe</w:t>
      </w:r>
      <w:r w:rsidRPr="00D50150">
        <w:t xml:space="preserve"> Board  </w:t>
      </w:r>
    </w:p>
    <w:p w14:paraId="1241ECE0" w14:textId="77777777" w:rsidR="00755316" w:rsidRPr="00D50150" w:rsidRDefault="00755316" w:rsidP="00755316">
      <w:pPr>
        <w:pStyle w:val="ListParagraph"/>
        <w:numPr>
          <w:ilvl w:val="1"/>
          <w:numId w:val="7"/>
        </w:numPr>
      </w:pPr>
      <w:r w:rsidRPr="00D50150">
        <w:t xml:space="preserve">The “prudent person” standard shall be used by the Investment Advisor and Investment Manager and shall be applied in the context of managing the overall portfolios. Investments shall be made with judgment and care that </w:t>
      </w:r>
      <w:proofErr w:type="gramStart"/>
      <w:r w:rsidRPr="00D50150">
        <w:t>persons</w:t>
      </w:r>
      <w:proofErr w:type="gramEnd"/>
      <w:r w:rsidRPr="00D50150">
        <w:t xml:space="preserve"> of prudence, discretion and intelligence exercise in the management of their own affairs. </w:t>
      </w:r>
    </w:p>
    <w:p w14:paraId="06291922" w14:textId="77777777" w:rsidR="00755316" w:rsidRPr="00D50150" w:rsidRDefault="00755316" w:rsidP="00755316">
      <w:pPr>
        <w:pStyle w:val="ListParagraph"/>
        <w:numPr>
          <w:ilvl w:val="1"/>
          <w:numId w:val="7"/>
        </w:numPr>
      </w:pPr>
      <w:r w:rsidRPr="00D50150">
        <w:t xml:space="preserve">Appoint such outside fund managers as are deemed necessary. </w:t>
      </w:r>
    </w:p>
    <w:p w14:paraId="71B5D2F6" w14:textId="77777777" w:rsidR="00755316" w:rsidRPr="00D50150" w:rsidRDefault="00755316" w:rsidP="00755316">
      <w:pPr>
        <w:pStyle w:val="ListParagraph"/>
        <w:numPr>
          <w:ilvl w:val="1"/>
          <w:numId w:val="7"/>
        </w:numPr>
      </w:pPr>
      <w:r w:rsidRPr="00D50150">
        <w:t>Review the progress of investments on a quarterly basis.</w:t>
      </w:r>
    </w:p>
    <w:p w14:paraId="676B2E9C" w14:textId="5EE9176E" w:rsidR="00755316" w:rsidRPr="00D50150" w:rsidRDefault="00755316" w:rsidP="00755316">
      <w:pPr>
        <w:pStyle w:val="ListParagraph"/>
        <w:numPr>
          <w:ilvl w:val="1"/>
          <w:numId w:val="7"/>
        </w:numPr>
      </w:pPr>
      <w:r w:rsidRPr="00D50150">
        <w:t xml:space="preserve">Periodically review the investment and spending policy and recommend changes for CCE </w:t>
      </w:r>
      <w:r w:rsidR="00AB6309" w:rsidRPr="00D50150">
        <w:t>Monroe</w:t>
      </w:r>
      <w:r w:rsidRPr="00D50150">
        <w:t xml:space="preserve"> Board approval.</w:t>
      </w:r>
    </w:p>
    <w:p w14:paraId="15E811A2" w14:textId="77777777" w:rsidR="00755316" w:rsidRPr="00D50150" w:rsidRDefault="00755316" w:rsidP="00755316">
      <w:pPr>
        <w:pStyle w:val="ListParagraph"/>
        <w:numPr>
          <w:ilvl w:val="1"/>
          <w:numId w:val="7"/>
        </w:numPr>
      </w:pPr>
      <w:r w:rsidRPr="00D50150">
        <w:t>Review the Investment Advisor and Investment Manager relationship at least annually.</w:t>
      </w:r>
    </w:p>
    <w:p w14:paraId="02F92A1B" w14:textId="462000B7" w:rsidR="00755316" w:rsidRPr="00D50150" w:rsidRDefault="00755316" w:rsidP="00755316">
      <w:pPr>
        <w:pStyle w:val="ListParagraph"/>
        <w:numPr>
          <w:ilvl w:val="1"/>
          <w:numId w:val="7"/>
        </w:numPr>
      </w:pPr>
      <w:r w:rsidRPr="00D50150">
        <w:t xml:space="preserve">Assure that all decisions </w:t>
      </w:r>
      <w:proofErr w:type="gramStart"/>
      <w:r w:rsidRPr="00D50150">
        <w:t>relative</w:t>
      </w:r>
      <w:proofErr w:type="gramEnd"/>
      <w:r w:rsidRPr="00D50150">
        <w:t xml:space="preserve"> to the investment of the funds, use of the funds and guidelines for investment are consistent with the CCE </w:t>
      </w:r>
      <w:r w:rsidR="00AB6309" w:rsidRPr="00D50150">
        <w:t>Monroe</w:t>
      </w:r>
      <w:r w:rsidRPr="00D50150">
        <w:t xml:space="preserve"> constitution and mission statement.</w:t>
      </w:r>
    </w:p>
    <w:p w14:paraId="2BD0EE67" w14:textId="77777777" w:rsidR="00755316" w:rsidRPr="00D50150" w:rsidRDefault="00755316" w:rsidP="00755316"/>
    <w:p w14:paraId="0956BFCA" w14:textId="1FE477C9" w:rsidR="00755316" w:rsidRPr="00D50150" w:rsidRDefault="00755316" w:rsidP="00755316">
      <w:pPr>
        <w:rPr>
          <w:b/>
        </w:rPr>
      </w:pPr>
      <w:r w:rsidRPr="00D50150">
        <w:rPr>
          <w:b/>
        </w:rPr>
        <w:t xml:space="preserve">Section </w:t>
      </w:r>
      <w:r w:rsidR="00D50150" w:rsidRPr="00D50150">
        <w:rPr>
          <w:b/>
        </w:rPr>
        <w:t>9</w:t>
      </w:r>
      <w:r w:rsidRPr="00D50150">
        <w:rPr>
          <w:b/>
        </w:rPr>
        <w:t>: Ethics and Conflicts of Interest</w:t>
      </w:r>
    </w:p>
    <w:p w14:paraId="60084EBF" w14:textId="7F1BB3D4" w:rsidR="00755316" w:rsidRPr="00D50150" w:rsidRDefault="00755316" w:rsidP="00755316">
      <w:pPr>
        <w:rPr>
          <w:color w:val="4F81BD" w:themeColor="accent1"/>
        </w:rPr>
      </w:pPr>
      <w:r w:rsidRPr="00D50150">
        <w:t xml:space="preserve">The Investment Advisor, Investment Manager and CCE </w:t>
      </w:r>
      <w:r w:rsidR="008F13BD" w:rsidRPr="00D50150">
        <w:t>Monroe</w:t>
      </w:r>
      <w:r w:rsidRPr="00D50150">
        <w:t xml:space="preserve"> Board members involved in the investment process and oversight shall refrain from personal business activity that could conflict with the proper execution of the investment program or impair their ability to make impartial investment decisions. </w:t>
      </w:r>
    </w:p>
    <w:p w14:paraId="39C1CF3A" w14:textId="77777777" w:rsidR="00755316" w:rsidRPr="00D50150" w:rsidRDefault="00755316" w:rsidP="00755316">
      <w:pPr>
        <w:rPr>
          <w:b/>
        </w:rPr>
      </w:pPr>
    </w:p>
    <w:p w14:paraId="5B37B5BE" w14:textId="3A249027" w:rsidR="00755316" w:rsidRPr="00D50150" w:rsidRDefault="00755316" w:rsidP="00755316">
      <w:pPr>
        <w:rPr>
          <w:b/>
        </w:rPr>
      </w:pPr>
      <w:r w:rsidRPr="00D50150">
        <w:rPr>
          <w:b/>
        </w:rPr>
        <w:t xml:space="preserve">Section </w:t>
      </w:r>
      <w:r w:rsidR="00D50150" w:rsidRPr="00D50150">
        <w:rPr>
          <w:b/>
        </w:rPr>
        <w:t>10</w:t>
      </w:r>
      <w:r w:rsidRPr="00D50150">
        <w:rPr>
          <w:b/>
        </w:rPr>
        <w:t>: Restrictions</w:t>
      </w:r>
    </w:p>
    <w:p w14:paraId="0344136B" w14:textId="63262DBC" w:rsidR="00755316" w:rsidRPr="00D50150" w:rsidRDefault="00755316" w:rsidP="00755316">
      <w:r w:rsidRPr="00D50150">
        <w:t xml:space="preserve">The CCE </w:t>
      </w:r>
      <w:r w:rsidR="008F13BD" w:rsidRPr="00D50150">
        <w:t>Monroe</w:t>
      </w:r>
      <w:r w:rsidRPr="00D50150">
        <w:t xml:space="preserve"> Board may waive or modify any of the restrictions in these guidelines in appropriate circumstances. Any such waiver or modification shall be made only after a thorough review of the investment strategy involved or the need to amend the spending policy. Any change to these policies set forth in this IPS must be approved by a majority vote of the </w:t>
      </w:r>
      <w:r w:rsidR="001A7348" w:rsidRPr="00D50150">
        <w:t xml:space="preserve">entire </w:t>
      </w:r>
      <w:r w:rsidRPr="00D50150">
        <w:t xml:space="preserve">CCE </w:t>
      </w:r>
      <w:r w:rsidR="008F13BD" w:rsidRPr="00D50150">
        <w:t xml:space="preserve">Monroe </w:t>
      </w:r>
      <w:r w:rsidRPr="00D50150">
        <w:t xml:space="preserve">Board. An addendum supporting such waiver of modification shall be maintained in the permanent record of the CCE </w:t>
      </w:r>
      <w:r w:rsidR="008F13BD" w:rsidRPr="00D50150">
        <w:t xml:space="preserve">Monroe </w:t>
      </w:r>
      <w:r w:rsidRPr="00D50150">
        <w:t xml:space="preserve">Board. </w:t>
      </w:r>
    </w:p>
    <w:p w14:paraId="65A997BB" w14:textId="77777777" w:rsidR="00755316" w:rsidRPr="00D50150" w:rsidRDefault="00755316" w:rsidP="00755316"/>
    <w:p w14:paraId="362ED30D" w14:textId="4AC4C9DB" w:rsidR="00755316" w:rsidRPr="00D50150" w:rsidRDefault="00755316" w:rsidP="00755316">
      <w:pPr>
        <w:rPr>
          <w:b/>
        </w:rPr>
      </w:pPr>
      <w:r w:rsidRPr="00D50150">
        <w:rPr>
          <w:b/>
        </w:rPr>
        <w:t>Section 1</w:t>
      </w:r>
      <w:r w:rsidR="00D50150" w:rsidRPr="00D50150">
        <w:rPr>
          <w:b/>
        </w:rPr>
        <w:t>1</w:t>
      </w:r>
      <w:r w:rsidRPr="00D50150">
        <w:rPr>
          <w:b/>
        </w:rPr>
        <w:t>: Investment Policy Statement Evaluation</w:t>
      </w:r>
    </w:p>
    <w:p w14:paraId="3D637CB4" w14:textId="3F30BED8" w:rsidR="00755316" w:rsidRPr="00D50150" w:rsidRDefault="00755316" w:rsidP="00755316">
      <w:r w:rsidRPr="00D50150">
        <w:t xml:space="preserve">The CCE </w:t>
      </w:r>
      <w:r w:rsidR="008F13BD" w:rsidRPr="00D50150">
        <w:t xml:space="preserve">Monroe </w:t>
      </w:r>
      <w:r w:rsidRPr="00D50150">
        <w:t xml:space="preserve">Board will review this IPS periodically to determine the continued feasibility of achieving its investment objectives. It is not expected that the IPS will change frequently. </w:t>
      </w:r>
      <w:proofErr w:type="gramStart"/>
      <w:r w:rsidRPr="00D50150">
        <w:t>In particular, short</w:t>
      </w:r>
      <w:r w:rsidR="008F13BD" w:rsidRPr="00D50150">
        <w:t>-</w:t>
      </w:r>
      <w:r w:rsidRPr="00D50150">
        <w:t>term</w:t>
      </w:r>
      <w:proofErr w:type="gramEnd"/>
      <w:r w:rsidRPr="00D50150">
        <w:t xml:space="preserve"> changes in the financial markets should not require adjustments to the IPS.</w:t>
      </w:r>
    </w:p>
    <w:p w14:paraId="2CB3DD35" w14:textId="640C8961" w:rsidR="00755316" w:rsidRDefault="00755316" w:rsidP="00755316">
      <w:r w:rsidRPr="00D50150">
        <w:lastRenderedPageBreak/>
        <w:t xml:space="preserve">The CCE </w:t>
      </w:r>
      <w:r w:rsidR="008F13BD" w:rsidRPr="00D50150">
        <w:t xml:space="preserve">Monroe </w:t>
      </w:r>
      <w:r w:rsidRPr="00D50150">
        <w:t xml:space="preserve">Board acknowledges that fluctuating rates of return characterize the securities markets particularly during </w:t>
      </w:r>
      <w:r w:rsidR="008F13BD" w:rsidRPr="00D50150">
        <w:t>short-term</w:t>
      </w:r>
      <w:r w:rsidRPr="00D50150">
        <w:t xml:space="preserve"> time periods. Recognizing that </w:t>
      </w:r>
      <w:r w:rsidR="008F13BD" w:rsidRPr="00D50150">
        <w:t>short-term</w:t>
      </w:r>
      <w:r w:rsidRPr="00D50150">
        <w:t xml:space="preserve"> fluctuations may cause variations in performance, the CCE </w:t>
      </w:r>
      <w:r w:rsidR="008F13BD" w:rsidRPr="00D50150">
        <w:t>Monroe</w:t>
      </w:r>
      <w:r w:rsidRPr="00D50150">
        <w:t xml:space="preserve"> Board intends to evaluate fund performance from a </w:t>
      </w:r>
      <w:r w:rsidR="008F13BD" w:rsidRPr="00D50150">
        <w:t>long-term</w:t>
      </w:r>
      <w:r w:rsidRPr="00D50150">
        <w:t xml:space="preserve"> perspective.</w:t>
      </w:r>
    </w:p>
    <w:p w14:paraId="0B3A0F9A" w14:textId="77777777" w:rsidR="00755316" w:rsidRDefault="00755316" w:rsidP="00755316"/>
    <w:p w14:paraId="4D753626" w14:textId="77777777" w:rsidR="00755316" w:rsidRDefault="00755316" w:rsidP="00755316"/>
    <w:p w14:paraId="24AB3A48" w14:textId="4C4045D9" w:rsidR="00755316" w:rsidRDefault="008D12CF" w:rsidP="00755316">
      <w:r>
        <w:t>This investment Policy Statement has been reviewed and approved by the CCE</w:t>
      </w:r>
      <w:r w:rsidR="0041728C">
        <w:t xml:space="preserve"> </w:t>
      </w:r>
      <w:r w:rsidR="008F13BD">
        <w:t xml:space="preserve">Monroe </w:t>
      </w:r>
      <w:r w:rsidR="0034409B">
        <w:t xml:space="preserve">Board on </w:t>
      </w:r>
      <w:proofErr w:type="gramStart"/>
      <w:r w:rsidR="008F13BD" w:rsidRPr="008F13BD">
        <w:rPr>
          <w:highlight w:val="yellow"/>
        </w:rPr>
        <w:t>March XX</w:t>
      </w:r>
      <w:r w:rsidR="0034409B" w:rsidRPr="008F13BD">
        <w:rPr>
          <w:highlight w:val="yellow"/>
        </w:rPr>
        <w:t>,</w:t>
      </w:r>
      <w:proofErr w:type="gramEnd"/>
      <w:r w:rsidR="0034409B" w:rsidRPr="008F13BD">
        <w:rPr>
          <w:highlight w:val="yellow"/>
        </w:rPr>
        <w:t xml:space="preserve"> 20</w:t>
      </w:r>
      <w:r w:rsidR="008F13BD" w:rsidRPr="008F13BD">
        <w:rPr>
          <w:highlight w:val="yellow"/>
        </w:rPr>
        <w:t>26</w:t>
      </w:r>
      <w:r w:rsidRPr="008F13BD">
        <w:rPr>
          <w:highlight w:val="yellow"/>
        </w:rPr>
        <w:t>.</w:t>
      </w:r>
    </w:p>
    <w:p w14:paraId="57E793E7" w14:textId="77777777" w:rsidR="008D12CF" w:rsidRDefault="008D12CF" w:rsidP="00755316"/>
    <w:p w14:paraId="6A21E426" w14:textId="77777777" w:rsidR="00755316" w:rsidRDefault="00755316" w:rsidP="00755316">
      <w:pPr>
        <w:rPr>
          <w:color w:val="FF0000"/>
        </w:rPr>
      </w:pPr>
    </w:p>
    <w:p w14:paraId="313A80D7" w14:textId="77777777" w:rsidR="00755316" w:rsidRDefault="00755316" w:rsidP="00755316">
      <w:r>
        <w:t xml:space="preserve"> </w:t>
      </w:r>
    </w:p>
    <w:p w14:paraId="2C6D7553" w14:textId="77777777" w:rsidR="00755316" w:rsidRDefault="00755316" w:rsidP="00755316"/>
    <w:p w14:paraId="7E3AB3FC" w14:textId="77777777" w:rsidR="00755316" w:rsidRDefault="00755316" w:rsidP="00755316"/>
    <w:p w14:paraId="2D17CBA6" w14:textId="77777777" w:rsidR="00AF6A66" w:rsidRDefault="00AF6A66"/>
    <w:sectPr w:rsidR="00AF6A66" w:rsidSect="00B13FB5">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y Huang (Proxy)" w:date="2026-02-25T16:35:00Z" w:initials="HH">
    <w:p w14:paraId="3E6B0C67" w14:textId="77777777" w:rsidR="00ED6BE6" w:rsidRDefault="00ED6BE6" w:rsidP="00ED6BE6">
      <w:pPr>
        <w:pStyle w:val="CommentText"/>
      </w:pPr>
      <w:r>
        <w:rPr>
          <w:rStyle w:val="CommentReference"/>
        </w:rPr>
        <w:annotationRef/>
      </w:r>
      <w:r>
        <w:t>Need verification of this for Monroe County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6B0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2338F" w16cex:dateUtc="2026-02-25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6B0C67" w16cid:durableId="32823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9B11" w14:textId="77777777" w:rsidR="00895198" w:rsidRDefault="00895198" w:rsidP="00755316">
      <w:pPr>
        <w:spacing w:line="240" w:lineRule="auto"/>
      </w:pPr>
      <w:r>
        <w:separator/>
      </w:r>
    </w:p>
  </w:endnote>
  <w:endnote w:type="continuationSeparator" w:id="0">
    <w:p w14:paraId="4EC76939" w14:textId="77777777" w:rsidR="00895198" w:rsidRDefault="00895198" w:rsidP="00755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173762"/>
      <w:docPartObj>
        <w:docPartGallery w:val="Page Numbers (Bottom of Page)"/>
        <w:docPartUnique/>
      </w:docPartObj>
    </w:sdtPr>
    <w:sdtEndPr>
      <w:rPr>
        <w:color w:val="808080" w:themeColor="background1" w:themeShade="80"/>
        <w:spacing w:val="60"/>
      </w:rPr>
    </w:sdtEndPr>
    <w:sdtContent>
      <w:p w14:paraId="7C673E5B" w14:textId="77777777" w:rsidR="00C156A2" w:rsidRDefault="00C156A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7934" w:rsidRPr="002D7934">
          <w:rPr>
            <w:b/>
            <w:bCs/>
            <w:noProof/>
          </w:rPr>
          <w:t>4</w:t>
        </w:r>
        <w:r>
          <w:rPr>
            <w:b/>
            <w:bCs/>
            <w:noProof/>
          </w:rPr>
          <w:fldChar w:fldCharType="end"/>
        </w:r>
        <w:r>
          <w:rPr>
            <w:b/>
            <w:bCs/>
          </w:rPr>
          <w:t xml:space="preserve"> | </w:t>
        </w:r>
        <w:r>
          <w:rPr>
            <w:color w:val="808080" w:themeColor="background1" w:themeShade="80"/>
            <w:spacing w:val="60"/>
          </w:rPr>
          <w:t>Page</w:t>
        </w:r>
      </w:p>
    </w:sdtContent>
  </w:sdt>
  <w:p w14:paraId="1FD026F1" w14:textId="77777777" w:rsidR="00C156A2" w:rsidRDefault="00C1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19A7" w14:textId="77777777" w:rsidR="00895198" w:rsidRDefault="00895198" w:rsidP="00755316">
      <w:pPr>
        <w:spacing w:line="240" w:lineRule="auto"/>
      </w:pPr>
      <w:r>
        <w:separator/>
      </w:r>
    </w:p>
  </w:footnote>
  <w:footnote w:type="continuationSeparator" w:id="0">
    <w:p w14:paraId="628532D4" w14:textId="77777777" w:rsidR="00895198" w:rsidRDefault="00895198" w:rsidP="00755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57C4" w14:textId="77777777" w:rsidR="00755316" w:rsidRDefault="00755316">
    <w:pPr>
      <w:pStyle w:val="Header"/>
    </w:pPr>
    <w:r>
      <w:t>Investment Policy Statement</w:t>
    </w:r>
  </w:p>
  <w:p w14:paraId="2CDCE833" w14:textId="77777777" w:rsidR="00755316" w:rsidRDefault="0068068F">
    <w:pPr>
      <w:pStyle w:val="Header"/>
    </w:pPr>
    <w:r>
      <w:t>Final</w:t>
    </w:r>
  </w:p>
  <w:p w14:paraId="31C4B8E1" w14:textId="5E6AF874" w:rsidR="001A7348" w:rsidRDefault="00ED6BE6">
    <w:pPr>
      <w:pStyle w:val="Header"/>
    </w:pPr>
    <w:proofErr w:type="gramStart"/>
    <w:r>
      <w:rPr>
        <w:highlight w:val="yellow"/>
      </w:rPr>
      <w:t>March</w:t>
    </w:r>
    <w:r w:rsidR="00755316" w:rsidRPr="00DC3952">
      <w:rPr>
        <w:highlight w:val="yellow"/>
      </w:rPr>
      <w:t xml:space="preserve"> </w:t>
    </w:r>
    <w:r>
      <w:rPr>
        <w:highlight w:val="yellow"/>
      </w:rPr>
      <w:t>XX</w:t>
    </w:r>
    <w:r w:rsidR="00755316" w:rsidRPr="00DC3952">
      <w:rPr>
        <w:highlight w:val="yellow"/>
      </w:rPr>
      <w:t>,</w:t>
    </w:r>
    <w:proofErr w:type="gramEnd"/>
    <w:r w:rsidR="00755316" w:rsidRPr="00DC3952">
      <w:rPr>
        <w:highlight w:val="yellow"/>
      </w:rPr>
      <w:t xml:space="preserve"> </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6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615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FD76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2429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CA26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35330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B364E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738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481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493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897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619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556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908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Huang (Proxy)">
    <w15:presenceInfo w15:providerId="AD" w15:userId="S::henry.huang@safranfs.com::bfcc6d9e-a88b-451b-8b7e-0ba9a3dab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16"/>
    <w:rsid w:val="00005229"/>
    <w:rsid w:val="00006AFB"/>
    <w:rsid w:val="000157C2"/>
    <w:rsid w:val="000160C7"/>
    <w:rsid w:val="0001759A"/>
    <w:rsid w:val="00017820"/>
    <w:rsid w:val="0002726F"/>
    <w:rsid w:val="000305B9"/>
    <w:rsid w:val="00031E9B"/>
    <w:rsid w:val="000358C9"/>
    <w:rsid w:val="00036579"/>
    <w:rsid w:val="0004257D"/>
    <w:rsid w:val="000448D3"/>
    <w:rsid w:val="00047A78"/>
    <w:rsid w:val="000514C3"/>
    <w:rsid w:val="0005455E"/>
    <w:rsid w:val="00065E59"/>
    <w:rsid w:val="00067B88"/>
    <w:rsid w:val="00070044"/>
    <w:rsid w:val="000702A3"/>
    <w:rsid w:val="00076061"/>
    <w:rsid w:val="00086995"/>
    <w:rsid w:val="00086F1C"/>
    <w:rsid w:val="00093870"/>
    <w:rsid w:val="000B24C4"/>
    <w:rsid w:val="000B260F"/>
    <w:rsid w:val="000B3B67"/>
    <w:rsid w:val="000B7783"/>
    <w:rsid w:val="000C44AA"/>
    <w:rsid w:val="000C7AFB"/>
    <w:rsid w:val="000D1BFE"/>
    <w:rsid w:val="000D2F22"/>
    <w:rsid w:val="000D457A"/>
    <w:rsid w:val="000D4D67"/>
    <w:rsid w:val="000D5967"/>
    <w:rsid w:val="000E09F2"/>
    <w:rsid w:val="000E1E6D"/>
    <w:rsid w:val="000E3F4B"/>
    <w:rsid w:val="000E44B9"/>
    <w:rsid w:val="000F2050"/>
    <w:rsid w:val="00105240"/>
    <w:rsid w:val="00126E73"/>
    <w:rsid w:val="00134BE5"/>
    <w:rsid w:val="0014217E"/>
    <w:rsid w:val="00143B85"/>
    <w:rsid w:val="0014510F"/>
    <w:rsid w:val="0014513C"/>
    <w:rsid w:val="0015518E"/>
    <w:rsid w:val="00161936"/>
    <w:rsid w:val="0016278C"/>
    <w:rsid w:val="00167639"/>
    <w:rsid w:val="00171E20"/>
    <w:rsid w:val="001735F8"/>
    <w:rsid w:val="00174E72"/>
    <w:rsid w:val="00175E94"/>
    <w:rsid w:val="00177DBE"/>
    <w:rsid w:val="001806D4"/>
    <w:rsid w:val="0018460E"/>
    <w:rsid w:val="00190300"/>
    <w:rsid w:val="00190A14"/>
    <w:rsid w:val="0019186C"/>
    <w:rsid w:val="00192322"/>
    <w:rsid w:val="00193D58"/>
    <w:rsid w:val="00193D8F"/>
    <w:rsid w:val="00194B1E"/>
    <w:rsid w:val="001A3F83"/>
    <w:rsid w:val="001A517D"/>
    <w:rsid w:val="001A7348"/>
    <w:rsid w:val="001A7F1C"/>
    <w:rsid w:val="001A7FAB"/>
    <w:rsid w:val="001B248D"/>
    <w:rsid w:val="001C3E8D"/>
    <w:rsid w:val="001C63D4"/>
    <w:rsid w:val="001D6C31"/>
    <w:rsid w:val="001E32F6"/>
    <w:rsid w:val="001E38E0"/>
    <w:rsid w:val="001E48C0"/>
    <w:rsid w:val="001F0C8E"/>
    <w:rsid w:val="001F161E"/>
    <w:rsid w:val="001F5152"/>
    <w:rsid w:val="001F78A8"/>
    <w:rsid w:val="00205477"/>
    <w:rsid w:val="00205531"/>
    <w:rsid w:val="00212D52"/>
    <w:rsid w:val="002141BC"/>
    <w:rsid w:val="00217E8D"/>
    <w:rsid w:val="0022014D"/>
    <w:rsid w:val="0022449F"/>
    <w:rsid w:val="002269A3"/>
    <w:rsid w:val="0023274D"/>
    <w:rsid w:val="00233446"/>
    <w:rsid w:val="00233897"/>
    <w:rsid w:val="0023598B"/>
    <w:rsid w:val="0023763E"/>
    <w:rsid w:val="00241392"/>
    <w:rsid w:val="00242474"/>
    <w:rsid w:val="00244A2D"/>
    <w:rsid w:val="002475A3"/>
    <w:rsid w:val="002532B4"/>
    <w:rsid w:val="00260EFA"/>
    <w:rsid w:val="00261424"/>
    <w:rsid w:val="0026723C"/>
    <w:rsid w:val="00270741"/>
    <w:rsid w:val="0027366B"/>
    <w:rsid w:val="00275DC0"/>
    <w:rsid w:val="0027618F"/>
    <w:rsid w:val="00284374"/>
    <w:rsid w:val="00290037"/>
    <w:rsid w:val="002B29F9"/>
    <w:rsid w:val="002B33ED"/>
    <w:rsid w:val="002C10BF"/>
    <w:rsid w:val="002C1B35"/>
    <w:rsid w:val="002C55FE"/>
    <w:rsid w:val="002D1EC0"/>
    <w:rsid w:val="002D4B0F"/>
    <w:rsid w:val="002D7934"/>
    <w:rsid w:val="002E35D9"/>
    <w:rsid w:val="002F4043"/>
    <w:rsid w:val="0030763A"/>
    <w:rsid w:val="003126B8"/>
    <w:rsid w:val="00320DE1"/>
    <w:rsid w:val="00320F33"/>
    <w:rsid w:val="003227AE"/>
    <w:rsid w:val="003251B1"/>
    <w:rsid w:val="00331DA1"/>
    <w:rsid w:val="00332D00"/>
    <w:rsid w:val="00335DD6"/>
    <w:rsid w:val="00340C56"/>
    <w:rsid w:val="00342BB4"/>
    <w:rsid w:val="0034409B"/>
    <w:rsid w:val="003465E9"/>
    <w:rsid w:val="00366F24"/>
    <w:rsid w:val="0036737B"/>
    <w:rsid w:val="003731B0"/>
    <w:rsid w:val="003758CD"/>
    <w:rsid w:val="00375D05"/>
    <w:rsid w:val="00377778"/>
    <w:rsid w:val="00383EA0"/>
    <w:rsid w:val="00390AE7"/>
    <w:rsid w:val="003942BB"/>
    <w:rsid w:val="00396A2D"/>
    <w:rsid w:val="00397ECB"/>
    <w:rsid w:val="003C0EC3"/>
    <w:rsid w:val="003D5389"/>
    <w:rsid w:val="003E4601"/>
    <w:rsid w:val="003E60DE"/>
    <w:rsid w:val="003F20D5"/>
    <w:rsid w:val="003F4769"/>
    <w:rsid w:val="00403AE4"/>
    <w:rsid w:val="00413608"/>
    <w:rsid w:val="004160CD"/>
    <w:rsid w:val="004165E6"/>
    <w:rsid w:val="0041728C"/>
    <w:rsid w:val="00426E82"/>
    <w:rsid w:val="00433FAB"/>
    <w:rsid w:val="004411CE"/>
    <w:rsid w:val="00450374"/>
    <w:rsid w:val="00450536"/>
    <w:rsid w:val="00450A56"/>
    <w:rsid w:val="004520E7"/>
    <w:rsid w:val="00455EEC"/>
    <w:rsid w:val="004654E0"/>
    <w:rsid w:val="004666CD"/>
    <w:rsid w:val="0047196F"/>
    <w:rsid w:val="00473EF4"/>
    <w:rsid w:val="0048496A"/>
    <w:rsid w:val="004855E8"/>
    <w:rsid w:val="00485B0B"/>
    <w:rsid w:val="00485E2E"/>
    <w:rsid w:val="004A1C22"/>
    <w:rsid w:val="004B5784"/>
    <w:rsid w:val="004C788C"/>
    <w:rsid w:val="004D0281"/>
    <w:rsid w:val="004D1357"/>
    <w:rsid w:val="004E0367"/>
    <w:rsid w:val="004E52B8"/>
    <w:rsid w:val="004F5054"/>
    <w:rsid w:val="005024B3"/>
    <w:rsid w:val="00504980"/>
    <w:rsid w:val="005138D2"/>
    <w:rsid w:val="00520C86"/>
    <w:rsid w:val="00520F6B"/>
    <w:rsid w:val="00533C00"/>
    <w:rsid w:val="00544579"/>
    <w:rsid w:val="00565263"/>
    <w:rsid w:val="00586504"/>
    <w:rsid w:val="00591A2C"/>
    <w:rsid w:val="005937A2"/>
    <w:rsid w:val="00594191"/>
    <w:rsid w:val="00595D75"/>
    <w:rsid w:val="00596795"/>
    <w:rsid w:val="005978C1"/>
    <w:rsid w:val="005A4F91"/>
    <w:rsid w:val="005A5F85"/>
    <w:rsid w:val="005B183F"/>
    <w:rsid w:val="005C54CD"/>
    <w:rsid w:val="005C690F"/>
    <w:rsid w:val="005D15E3"/>
    <w:rsid w:val="005D4543"/>
    <w:rsid w:val="005D6E0A"/>
    <w:rsid w:val="005E669B"/>
    <w:rsid w:val="005F0F81"/>
    <w:rsid w:val="005F35B5"/>
    <w:rsid w:val="00612CC2"/>
    <w:rsid w:val="00621D01"/>
    <w:rsid w:val="00623D15"/>
    <w:rsid w:val="00624090"/>
    <w:rsid w:val="006246A8"/>
    <w:rsid w:val="00626573"/>
    <w:rsid w:val="0062714B"/>
    <w:rsid w:val="00630142"/>
    <w:rsid w:val="0063327D"/>
    <w:rsid w:val="00636920"/>
    <w:rsid w:val="00644365"/>
    <w:rsid w:val="00651096"/>
    <w:rsid w:val="00653A7F"/>
    <w:rsid w:val="0065420B"/>
    <w:rsid w:val="0065589B"/>
    <w:rsid w:val="006736E3"/>
    <w:rsid w:val="00676BCD"/>
    <w:rsid w:val="0068068F"/>
    <w:rsid w:val="006816CA"/>
    <w:rsid w:val="00683C22"/>
    <w:rsid w:val="006847B3"/>
    <w:rsid w:val="0069379D"/>
    <w:rsid w:val="0069452C"/>
    <w:rsid w:val="00697DF1"/>
    <w:rsid w:val="006B6334"/>
    <w:rsid w:val="006B6933"/>
    <w:rsid w:val="006C26F4"/>
    <w:rsid w:val="006C6FA4"/>
    <w:rsid w:val="006D45B2"/>
    <w:rsid w:val="006E284B"/>
    <w:rsid w:val="006E2DFE"/>
    <w:rsid w:val="006E5D6B"/>
    <w:rsid w:val="006F5E65"/>
    <w:rsid w:val="00701EF2"/>
    <w:rsid w:val="0070348B"/>
    <w:rsid w:val="00705247"/>
    <w:rsid w:val="007120B3"/>
    <w:rsid w:val="0072323F"/>
    <w:rsid w:val="007242D1"/>
    <w:rsid w:val="00730A16"/>
    <w:rsid w:val="0074043D"/>
    <w:rsid w:val="00743C03"/>
    <w:rsid w:val="00746BCC"/>
    <w:rsid w:val="00755316"/>
    <w:rsid w:val="00773F59"/>
    <w:rsid w:val="0078268F"/>
    <w:rsid w:val="00784200"/>
    <w:rsid w:val="0078647B"/>
    <w:rsid w:val="00793BF3"/>
    <w:rsid w:val="00797461"/>
    <w:rsid w:val="007A1486"/>
    <w:rsid w:val="007A2E75"/>
    <w:rsid w:val="007B15BE"/>
    <w:rsid w:val="007B1FE1"/>
    <w:rsid w:val="007B5AB8"/>
    <w:rsid w:val="007B6154"/>
    <w:rsid w:val="007C41D2"/>
    <w:rsid w:val="007D1DF4"/>
    <w:rsid w:val="007D3E68"/>
    <w:rsid w:val="007E179B"/>
    <w:rsid w:val="007F3415"/>
    <w:rsid w:val="007F4F6C"/>
    <w:rsid w:val="007F6D59"/>
    <w:rsid w:val="0080005E"/>
    <w:rsid w:val="00801CD4"/>
    <w:rsid w:val="008037C3"/>
    <w:rsid w:val="00806AA0"/>
    <w:rsid w:val="0081371B"/>
    <w:rsid w:val="008205B5"/>
    <w:rsid w:val="00822144"/>
    <w:rsid w:val="008230A8"/>
    <w:rsid w:val="00824520"/>
    <w:rsid w:val="008347D0"/>
    <w:rsid w:val="0084431B"/>
    <w:rsid w:val="00845314"/>
    <w:rsid w:val="008515A5"/>
    <w:rsid w:val="00857EBA"/>
    <w:rsid w:val="00864CAB"/>
    <w:rsid w:val="0086595E"/>
    <w:rsid w:val="008672D6"/>
    <w:rsid w:val="008800D0"/>
    <w:rsid w:val="00880317"/>
    <w:rsid w:val="0089102A"/>
    <w:rsid w:val="00891B05"/>
    <w:rsid w:val="00893818"/>
    <w:rsid w:val="00894A5E"/>
    <w:rsid w:val="00895198"/>
    <w:rsid w:val="00897527"/>
    <w:rsid w:val="008B15D7"/>
    <w:rsid w:val="008B4402"/>
    <w:rsid w:val="008B5F3E"/>
    <w:rsid w:val="008B6741"/>
    <w:rsid w:val="008C303E"/>
    <w:rsid w:val="008C6AB7"/>
    <w:rsid w:val="008D12CF"/>
    <w:rsid w:val="008E3FC7"/>
    <w:rsid w:val="008F0888"/>
    <w:rsid w:val="008F13BD"/>
    <w:rsid w:val="009051E3"/>
    <w:rsid w:val="00906B69"/>
    <w:rsid w:val="00907E2F"/>
    <w:rsid w:val="00914983"/>
    <w:rsid w:val="00917209"/>
    <w:rsid w:val="00922E97"/>
    <w:rsid w:val="0092396F"/>
    <w:rsid w:val="00927DD7"/>
    <w:rsid w:val="00933340"/>
    <w:rsid w:val="00933888"/>
    <w:rsid w:val="00946142"/>
    <w:rsid w:val="00946F4B"/>
    <w:rsid w:val="009564B9"/>
    <w:rsid w:val="00963AFA"/>
    <w:rsid w:val="009670AB"/>
    <w:rsid w:val="0097079E"/>
    <w:rsid w:val="00973F6E"/>
    <w:rsid w:val="009772F8"/>
    <w:rsid w:val="00994F29"/>
    <w:rsid w:val="0099543D"/>
    <w:rsid w:val="009A1414"/>
    <w:rsid w:val="009A6EED"/>
    <w:rsid w:val="009B4D6C"/>
    <w:rsid w:val="009B6AD4"/>
    <w:rsid w:val="009B74B7"/>
    <w:rsid w:val="009C00F8"/>
    <w:rsid w:val="009C33E1"/>
    <w:rsid w:val="009C483D"/>
    <w:rsid w:val="009C65A7"/>
    <w:rsid w:val="009C6840"/>
    <w:rsid w:val="009D295C"/>
    <w:rsid w:val="009D792C"/>
    <w:rsid w:val="009E08D2"/>
    <w:rsid w:val="009E1DE2"/>
    <w:rsid w:val="009E2845"/>
    <w:rsid w:val="009E39FC"/>
    <w:rsid w:val="009E4536"/>
    <w:rsid w:val="009F4662"/>
    <w:rsid w:val="00A05515"/>
    <w:rsid w:val="00A05713"/>
    <w:rsid w:val="00A0572B"/>
    <w:rsid w:val="00A10EE0"/>
    <w:rsid w:val="00A11F32"/>
    <w:rsid w:val="00A23700"/>
    <w:rsid w:val="00A34296"/>
    <w:rsid w:val="00A36DDE"/>
    <w:rsid w:val="00A42C44"/>
    <w:rsid w:val="00A42E81"/>
    <w:rsid w:val="00A43118"/>
    <w:rsid w:val="00A471B5"/>
    <w:rsid w:val="00A56E81"/>
    <w:rsid w:val="00A649FF"/>
    <w:rsid w:val="00A653BE"/>
    <w:rsid w:val="00A66CDA"/>
    <w:rsid w:val="00A70CF1"/>
    <w:rsid w:val="00A8089C"/>
    <w:rsid w:val="00A90A7F"/>
    <w:rsid w:val="00A9556F"/>
    <w:rsid w:val="00AA04B5"/>
    <w:rsid w:val="00AA2D5E"/>
    <w:rsid w:val="00AA47D9"/>
    <w:rsid w:val="00AB1969"/>
    <w:rsid w:val="00AB57B3"/>
    <w:rsid w:val="00AB6309"/>
    <w:rsid w:val="00AC40E7"/>
    <w:rsid w:val="00AC5C99"/>
    <w:rsid w:val="00AD05ED"/>
    <w:rsid w:val="00AD0C34"/>
    <w:rsid w:val="00AE3B6F"/>
    <w:rsid w:val="00AF6A66"/>
    <w:rsid w:val="00B04442"/>
    <w:rsid w:val="00B04618"/>
    <w:rsid w:val="00B102FE"/>
    <w:rsid w:val="00B11391"/>
    <w:rsid w:val="00B13FB5"/>
    <w:rsid w:val="00B1766A"/>
    <w:rsid w:val="00B20FAD"/>
    <w:rsid w:val="00B23831"/>
    <w:rsid w:val="00B33F46"/>
    <w:rsid w:val="00B441FA"/>
    <w:rsid w:val="00B45AE9"/>
    <w:rsid w:val="00B508F6"/>
    <w:rsid w:val="00B6437C"/>
    <w:rsid w:val="00B65EA3"/>
    <w:rsid w:val="00B6689A"/>
    <w:rsid w:val="00B73AB3"/>
    <w:rsid w:val="00B76D42"/>
    <w:rsid w:val="00B8034D"/>
    <w:rsid w:val="00B8084D"/>
    <w:rsid w:val="00B81B54"/>
    <w:rsid w:val="00B86C01"/>
    <w:rsid w:val="00BA654C"/>
    <w:rsid w:val="00BB6EF3"/>
    <w:rsid w:val="00BC3447"/>
    <w:rsid w:val="00BD3ABE"/>
    <w:rsid w:val="00BE551D"/>
    <w:rsid w:val="00BF0CCB"/>
    <w:rsid w:val="00BF0E21"/>
    <w:rsid w:val="00BF2410"/>
    <w:rsid w:val="00C12101"/>
    <w:rsid w:val="00C1554D"/>
    <w:rsid w:val="00C156A2"/>
    <w:rsid w:val="00C17485"/>
    <w:rsid w:val="00C23A6D"/>
    <w:rsid w:val="00C23AA9"/>
    <w:rsid w:val="00C24437"/>
    <w:rsid w:val="00C4000B"/>
    <w:rsid w:val="00C469BA"/>
    <w:rsid w:val="00C54347"/>
    <w:rsid w:val="00C6022B"/>
    <w:rsid w:val="00C65E86"/>
    <w:rsid w:val="00C70FDF"/>
    <w:rsid w:val="00C71A27"/>
    <w:rsid w:val="00C74FE9"/>
    <w:rsid w:val="00C9369D"/>
    <w:rsid w:val="00C95020"/>
    <w:rsid w:val="00CA1B0F"/>
    <w:rsid w:val="00CA606C"/>
    <w:rsid w:val="00CC7E3F"/>
    <w:rsid w:val="00CD131B"/>
    <w:rsid w:val="00CD1915"/>
    <w:rsid w:val="00CD2707"/>
    <w:rsid w:val="00CE4F1E"/>
    <w:rsid w:val="00CE78F0"/>
    <w:rsid w:val="00CF4AC7"/>
    <w:rsid w:val="00CF4CCC"/>
    <w:rsid w:val="00CF6F90"/>
    <w:rsid w:val="00D0421E"/>
    <w:rsid w:val="00D14B3C"/>
    <w:rsid w:val="00D205BF"/>
    <w:rsid w:val="00D21DD7"/>
    <w:rsid w:val="00D259CF"/>
    <w:rsid w:val="00D33085"/>
    <w:rsid w:val="00D4071D"/>
    <w:rsid w:val="00D4754F"/>
    <w:rsid w:val="00D50150"/>
    <w:rsid w:val="00D52321"/>
    <w:rsid w:val="00D56079"/>
    <w:rsid w:val="00D563AD"/>
    <w:rsid w:val="00D60BF8"/>
    <w:rsid w:val="00D63050"/>
    <w:rsid w:val="00D706FF"/>
    <w:rsid w:val="00D71508"/>
    <w:rsid w:val="00D72884"/>
    <w:rsid w:val="00D85D03"/>
    <w:rsid w:val="00D90D24"/>
    <w:rsid w:val="00D921A6"/>
    <w:rsid w:val="00D937D5"/>
    <w:rsid w:val="00D93FB7"/>
    <w:rsid w:val="00DA0517"/>
    <w:rsid w:val="00DA2609"/>
    <w:rsid w:val="00DA3FCD"/>
    <w:rsid w:val="00DA538D"/>
    <w:rsid w:val="00DA65BF"/>
    <w:rsid w:val="00DA7B04"/>
    <w:rsid w:val="00DB4B19"/>
    <w:rsid w:val="00DC3952"/>
    <w:rsid w:val="00DD1637"/>
    <w:rsid w:val="00DD165B"/>
    <w:rsid w:val="00DE2E9B"/>
    <w:rsid w:val="00DF3D04"/>
    <w:rsid w:val="00DF5AEA"/>
    <w:rsid w:val="00DF5CC7"/>
    <w:rsid w:val="00DF664A"/>
    <w:rsid w:val="00E017A7"/>
    <w:rsid w:val="00E04280"/>
    <w:rsid w:val="00E0773F"/>
    <w:rsid w:val="00E12997"/>
    <w:rsid w:val="00E16C79"/>
    <w:rsid w:val="00E238C6"/>
    <w:rsid w:val="00E23D2C"/>
    <w:rsid w:val="00E25D54"/>
    <w:rsid w:val="00E26BC9"/>
    <w:rsid w:val="00E27BC6"/>
    <w:rsid w:val="00E32836"/>
    <w:rsid w:val="00E36B27"/>
    <w:rsid w:val="00E428CC"/>
    <w:rsid w:val="00E529B6"/>
    <w:rsid w:val="00E60ECC"/>
    <w:rsid w:val="00E75924"/>
    <w:rsid w:val="00E77748"/>
    <w:rsid w:val="00E8646D"/>
    <w:rsid w:val="00E90814"/>
    <w:rsid w:val="00E91312"/>
    <w:rsid w:val="00EA08CA"/>
    <w:rsid w:val="00EA1E81"/>
    <w:rsid w:val="00EB0744"/>
    <w:rsid w:val="00EB3122"/>
    <w:rsid w:val="00EB78B8"/>
    <w:rsid w:val="00ED19DA"/>
    <w:rsid w:val="00ED1D51"/>
    <w:rsid w:val="00ED673F"/>
    <w:rsid w:val="00ED6BE6"/>
    <w:rsid w:val="00F043AC"/>
    <w:rsid w:val="00F06414"/>
    <w:rsid w:val="00F106BE"/>
    <w:rsid w:val="00F10F3E"/>
    <w:rsid w:val="00F12CDB"/>
    <w:rsid w:val="00F16AFE"/>
    <w:rsid w:val="00F2070B"/>
    <w:rsid w:val="00F21629"/>
    <w:rsid w:val="00F23B81"/>
    <w:rsid w:val="00F250EC"/>
    <w:rsid w:val="00F254AA"/>
    <w:rsid w:val="00F270BB"/>
    <w:rsid w:val="00F273D1"/>
    <w:rsid w:val="00F34ED8"/>
    <w:rsid w:val="00F374E2"/>
    <w:rsid w:val="00F42E80"/>
    <w:rsid w:val="00F514DB"/>
    <w:rsid w:val="00F52182"/>
    <w:rsid w:val="00F61C28"/>
    <w:rsid w:val="00F63BC3"/>
    <w:rsid w:val="00F7396D"/>
    <w:rsid w:val="00F7507B"/>
    <w:rsid w:val="00F81A3D"/>
    <w:rsid w:val="00F94664"/>
    <w:rsid w:val="00FB168A"/>
    <w:rsid w:val="00FB1ED4"/>
    <w:rsid w:val="00FB2A55"/>
    <w:rsid w:val="00FB4954"/>
    <w:rsid w:val="00FC45C7"/>
    <w:rsid w:val="00FC4C93"/>
    <w:rsid w:val="00FC573F"/>
    <w:rsid w:val="00FD0201"/>
    <w:rsid w:val="00FD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DEF6"/>
  <w15:docId w15:val="{A9D948BA-56A7-4ECF-AE58-5EE2253B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16"/>
    <w:pPr>
      <w:ind w:left="720"/>
      <w:contextualSpacing/>
    </w:pPr>
  </w:style>
  <w:style w:type="table" w:styleId="TableGrid">
    <w:name w:val="Table Grid"/>
    <w:basedOn w:val="TableNormal"/>
    <w:uiPriority w:val="59"/>
    <w:rsid w:val="0075531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316"/>
    <w:pPr>
      <w:tabs>
        <w:tab w:val="center" w:pos="4680"/>
        <w:tab w:val="right" w:pos="9360"/>
      </w:tabs>
      <w:spacing w:line="240" w:lineRule="auto"/>
    </w:pPr>
  </w:style>
  <w:style w:type="character" w:customStyle="1" w:styleId="HeaderChar">
    <w:name w:val="Header Char"/>
    <w:basedOn w:val="DefaultParagraphFont"/>
    <w:link w:val="Header"/>
    <w:uiPriority w:val="99"/>
    <w:rsid w:val="00755316"/>
  </w:style>
  <w:style w:type="paragraph" w:styleId="Footer">
    <w:name w:val="footer"/>
    <w:basedOn w:val="Normal"/>
    <w:link w:val="FooterChar"/>
    <w:uiPriority w:val="99"/>
    <w:unhideWhenUsed/>
    <w:rsid w:val="00755316"/>
    <w:pPr>
      <w:tabs>
        <w:tab w:val="center" w:pos="4680"/>
        <w:tab w:val="right" w:pos="9360"/>
      </w:tabs>
      <w:spacing w:line="240" w:lineRule="auto"/>
    </w:pPr>
  </w:style>
  <w:style w:type="character" w:customStyle="1" w:styleId="FooterChar">
    <w:name w:val="Footer Char"/>
    <w:basedOn w:val="DefaultParagraphFont"/>
    <w:link w:val="Footer"/>
    <w:uiPriority w:val="99"/>
    <w:rsid w:val="00755316"/>
  </w:style>
  <w:style w:type="character" w:styleId="CommentReference">
    <w:name w:val="annotation reference"/>
    <w:basedOn w:val="DefaultParagraphFont"/>
    <w:uiPriority w:val="99"/>
    <w:semiHidden/>
    <w:unhideWhenUsed/>
    <w:rsid w:val="00ED6BE6"/>
    <w:rPr>
      <w:sz w:val="16"/>
      <w:szCs w:val="16"/>
    </w:rPr>
  </w:style>
  <w:style w:type="paragraph" w:styleId="CommentText">
    <w:name w:val="annotation text"/>
    <w:basedOn w:val="Normal"/>
    <w:link w:val="CommentTextChar"/>
    <w:uiPriority w:val="99"/>
    <w:unhideWhenUsed/>
    <w:rsid w:val="00ED6BE6"/>
    <w:pPr>
      <w:spacing w:line="240" w:lineRule="auto"/>
    </w:pPr>
    <w:rPr>
      <w:sz w:val="20"/>
      <w:szCs w:val="20"/>
    </w:rPr>
  </w:style>
  <w:style w:type="character" w:customStyle="1" w:styleId="CommentTextChar">
    <w:name w:val="Comment Text Char"/>
    <w:basedOn w:val="DefaultParagraphFont"/>
    <w:link w:val="CommentText"/>
    <w:uiPriority w:val="99"/>
    <w:rsid w:val="00ED6BE6"/>
    <w:rPr>
      <w:sz w:val="20"/>
      <w:szCs w:val="20"/>
    </w:rPr>
  </w:style>
  <w:style w:type="paragraph" w:styleId="CommentSubject">
    <w:name w:val="annotation subject"/>
    <w:basedOn w:val="CommentText"/>
    <w:next w:val="CommentText"/>
    <w:link w:val="CommentSubjectChar"/>
    <w:uiPriority w:val="99"/>
    <w:semiHidden/>
    <w:unhideWhenUsed/>
    <w:rsid w:val="00ED6BE6"/>
    <w:rPr>
      <w:b/>
      <w:bCs/>
    </w:rPr>
  </w:style>
  <w:style w:type="character" w:customStyle="1" w:styleId="CommentSubjectChar">
    <w:name w:val="Comment Subject Char"/>
    <w:basedOn w:val="CommentTextChar"/>
    <w:link w:val="CommentSubject"/>
    <w:uiPriority w:val="99"/>
    <w:semiHidden/>
    <w:rsid w:val="00ED6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71228c8-6b43-4d4c-b322-a473269f33a6}" enabled="1" method="Privileged" siteId="{2b24436f-9785-4281-92f6-d7ee04c9cf8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5</Pages>
  <Words>1764</Words>
  <Characters>9830</Characters>
  <Application>Microsoft Office Word</Application>
  <DocSecurity>0</DocSecurity>
  <Lines>204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Henry Huang (Proxy)</cp:lastModifiedBy>
  <cp:revision>6</cp:revision>
  <dcterms:created xsi:type="dcterms:W3CDTF">2020-12-15T02:10:00Z</dcterms:created>
  <dcterms:modified xsi:type="dcterms:W3CDTF">2026-02-26T21:55:00Z</dcterms:modified>
</cp:coreProperties>
</file>