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7FB9D4" w14:textId="72D719AE" w:rsidR="00DE33C7" w:rsidRPr="00F2279B" w:rsidRDefault="00DE33C7" w:rsidP="00F2279B">
      <w:pPr>
        <w:pStyle w:val="Heading1"/>
        <w:rPr>
          <w:rFonts w:ascii="Book Antiqua" w:hAnsi="Book Antiqua"/>
          <w:sz w:val="24"/>
        </w:rPr>
      </w:pPr>
      <w:r w:rsidRPr="00C13E3A">
        <w:rPr>
          <w:rFonts w:ascii="Book Antiqua" w:hAnsi="Book Antiqua"/>
          <w:noProof/>
          <w:sz w:val="24"/>
        </w:rPr>
        <w:drawing>
          <wp:anchor distT="0" distB="0" distL="114300" distR="114300" simplePos="0" relativeHeight="251659264" behindDoc="0" locked="0" layoutInCell="1" allowOverlap="1" wp14:anchorId="17C52847" wp14:editId="14F0DD6D">
            <wp:simplePos x="0" y="0"/>
            <wp:positionH relativeFrom="margin">
              <wp:align>center</wp:align>
            </wp:positionH>
            <wp:positionV relativeFrom="paragraph">
              <wp:posOffset>-588397</wp:posOffset>
            </wp:positionV>
            <wp:extent cx="2623930" cy="384058"/>
            <wp:effectExtent l="0" t="0" r="5080" b="0"/>
            <wp:wrapNone/>
            <wp:docPr id="1" name="Picture 1" descr="Bryant &amp; Stratton Colleg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SC_Lockup_Black.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623930" cy="384058"/>
                    </a:xfrm>
                    <a:prstGeom prst="rect">
                      <a:avLst/>
                    </a:prstGeom>
                  </pic:spPr>
                </pic:pic>
              </a:graphicData>
            </a:graphic>
            <wp14:sizeRelH relativeFrom="page">
              <wp14:pctWidth>0</wp14:pctWidth>
            </wp14:sizeRelH>
            <wp14:sizeRelV relativeFrom="page">
              <wp14:pctHeight>0</wp14:pctHeight>
            </wp14:sizeRelV>
          </wp:anchor>
        </w:drawing>
      </w:r>
      <w:r w:rsidR="00DF013F">
        <w:rPr>
          <w:rFonts w:ascii="Book Antiqua" w:hAnsi="Book Antiqua"/>
          <w:sz w:val="24"/>
        </w:rPr>
        <w:t xml:space="preserve"> </w:t>
      </w:r>
    </w:p>
    <w:p w14:paraId="3B970250" w14:textId="62ED0062" w:rsidR="00CC31F2" w:rsidRPr="00FD70B9" w:rsidRDefault="00CC31F2">
      <w:pPr>
        <w:rPr>
          <w:rFonts w:ascii="Book Antiqua" w:hAnsi="Book Antiqua"/>
        </w:rPr>
      </w:pPr>
    </w:p>
    <w:p w14:paraId="0B40535A" w14:textId="7FB863E2" w:rsidR="00FC3D12" w:rsidRPr="00951FEF" w:rsidRDefault="00B24F6F" w:rsidP="00FC3D12">
      <w:pPr>
        <w:spacing w:line="480" w:lineRule="auto"/>
        <w:jc w:val="center"/>
        <w:rPr>
          <w:rFonts w:ascii="Times New Roman" w:hAnsi="Times New Roman" w:cs="Times New Roman"/>
          <w:sz w:val="24"/>
        </w:rPr>
      </w:pPr>
      <w:r w:rsidRPr="00DF013F">
        <w:rPr>
          <w:rFonts w:ascii="Times New Roman" w:hAnsi="Times New Roman" w:cs="Times New Roman"/>
          <w:sz w:val="24"/>
        </w:rPr>
        <w:t>Charnissa R. Scott</w:t>
      </w:r>
    </w:p>
    <w:p w14:paraId="3DCA6076" w14:textId="77777777" w:rsidR="00FC3D12" w:rsidRPr="00951FEF" w:rsidRDefault="00FC3D12" w:rsidP="00FC3D12">
      <w:pPr>
        <w:spacing w:line="480" w:lineRule="auto"/>
        <w:jc w:val="center"/>
        <w:rPr>
          <w:rFonts w:ascii="Times New Roman" w:hAnsi="Times New Roman" w:cs="Times New Roman"/>
          <w:sz w:val="24"/>
        </w:rPr>
      </w:pPr>
      <w:r w:rsidRPr="00951FEF">
        <w:rPr>
          <w:rFonts w:ascii="Times New Roman" w:hAnsi="Times New Roman" w:cs="Times New Roman"/>
          <w:sz w:val="24"/>
        </w:rPr>
        <w:t>Bryant &amp; Stratton College</w:t>
      </w:r>
    </w:p>
    <w:p w14:paraId="17E3749F" w14:textId="77777777" w:rsidR="00FC3D12" w:rsidRDefault="00FC3D12" w:rsidP="00FC3D12">
      <w:pPr>
        <w:spacing w:line="480" w:lineRule="auto"/>
        <w:jc w:val="center"/>
        <w:rPr>
          <w:rFonts w:ascii="Book Antiqua" w:hAnsi="Book Antiqua"/>
          <w:sz w:val="24"/>
        </w:rPr>
      </w:pPr>
      <w:r w:rsidRPr="006C7507">
        <w:rPr>
          <w:rFonts w:ascii="Book Antiqua" w:hAnsi="Book Antiqua"/>
          <w:sz w:val="24"/>
        </w:rPr>
        <w:t>ECON1</w:t>
      </w:r>
      <w:r>
        <w:rPr>
          <w:rFonts w:ascii="Book Antiqua" w:hAnsi="Book Antiqua"/>
          <w:sz w:val="24"/>
        </w:rPr>
        <w:t>95 – Macroeconomics</w:t>
      </w:r>
    </w:p>
    <w:p w14:paraId="0BFDC4DE" w14:textId="1B1D624D" w:rsidR="00FC3D12" w:rsidRPr="00951FEF" w:rsidRDefault="00FC3D12" w:rsidP="00FC3D12">
      <w:pPr>
        <w:spacing w:line="480" w:lineRule="auto"/>
        <w:jc w:val="center"/>
        <w:rPr>
          <w:rFonts w:ascii="Times New Roman" w:hAnsi="Times New Roman" w:cs="Times New Roman"/>
          <w:sz w:val="24"/>
        </w:rPr>
      </w:pPr>
      <w:r w:rsidRPr="00DF013F">
        <w:rPr>
          <w:rFonts w:ascii="Times New Roman" w:hAnsi="Times New Roman" w:cs="Times New Roman"/>
          <w:sz w:val="24"/>
        </w:rPr>
        <w:t>Instructor</w:t>
      </w:r>
      <w:r w:rsidR="00DF013F" w:rsidRPr="00DF013F">
        <w:rPr>
          <w:rFonts w:ascii="Times New Roman" w:hAnsi="Times New Roman" w:cs="Times New Roman"/>
          <w:sz w:val="24"/>
        </w:rPr>
        <w:t xml:space="preserve">: Anne </w:t>
      </w:r>
      <w:proofErr w:type="spellStart"/>
      <w:r w:rsidR="00DF013F" w:rsidRPr="00DF013F">
        <w:rPr>
          <w:rFonts w:ascii="Times New Roman" w:hAnsi="Times New Roman" w:cs="Times New Roman"/>
          <w:sz w:val="24"/>
        </w:rPr>
        <w:t>Dyet</w:t>
      </w:r>
      <w:proofErr w:type="spellEnd"/>
    </w:p>
    <w:p w14:paraId="2176289B" w14:textId="73840F8D" w:rsidR="00FC3D12" w:rsidRPr="00951FEF" w:rsidRDefault="00B24F6F" w:rsidP="00FC3D12">
      <w:pPr>
        <w:spacing w:line="480" w:lineRule="auto"/>
        <w:jc w:val="center"/>
        <w:rPr>
          <w:rFonts w:ascii="Times New Roman" w:hAnsi="Times New Roman" w:cs="Times New Roman"/>
          <w:sz w:val="24"/>
        </w:rPr>
      </w:pPr>
      <w:r w:rsidRPr="00DF013F">
        <w:rPr>
          <w:rFonts w:ascii="Times New Roman" w:hAnsi="Times New Roman" w:cs="Times New Roman"/>
          <w:sz w:val="24"/>
        </w:rPr>
        <w:t>April 13, 2022</w:t>
      </w:r>
    </w:p>
    <w:p w14:paraId="20AF2DA0" w14:textId="021FF218" w:rsidR="00BA0D11" w:rsidRPr="00FD70B9" w:rsidRDefault="00BA0D11">
      <w:pPr>
        <w:rPr>
          <w:rFonts w:ascii="Book Antiqua" w:hAnsi="Book Antiqua"/>
          <w:sz w:val="24"/>
        </w:rPr>
      </w:pPr>
    </w:p>
    <w:p w14:paraId="1E9724F7" w14:textId="4B78B5C9" w:rsidR="00BA0D11" w:rsidRPr="00C60799" w:rsidRDefault="00BA0D11">
      <w:pPr>
        <w:rPr>
          <w:rFonts w:ascii="Times New Roman" w:hAnsi="Times New Roman" w:cs="Times New Roman"/>
          <w:b/>
          <w:bCs/>
          <w:sz w:val="24"/>
        </w:rPr>
      </w:pPr>
      <w:r w:rsidRPr="00C60799">
        <w:rPr>
          <w:rFonts w:ascii="Times New Roman" w:hAnsi="Times New Roman" w:cs="Times New Roman"/>
          <w:b/>
          <w:bCs/>
          <w:sz w:val="24"/>
        </w:rPr>
        <w:t>Scenario 1 Findings and Analysis</w:t>
      </w:r>
    </w:p>
    <w:p w14:paraId="70E2AC25" w14:textId="5459BA29" w:rsidR="00BA0D11" w:rsidRPr="00C60799" w:rsidRDefault="00BA0D11">
      <w:pPr>
        <w:rPr>
          <w:rFonts w:ascii="Times New Roman" w:hAnsi="Times New Roman" w:cs="Times New Roman"/>
          <w:sz w:val="24"/>
        </w:rPr>
      </w:pPr>
    </w:p>
    <w:p w14:paraId="5430E2CD" w14:textId="77777777" w:rsidR="00FC3D12" w:rsidRPr="00C60799" w:rsidRDefault="00FC3D12" w:rsidP="00FC3D12">
      <w:pPr>
        <w:rPr>
          <w:rFonts w:ascii="Times New Roman" w:hAnsi="Times New Roman" w:cs="Times New Roman"/>
          <w:sz w:val="24"/>
        </w:rPr>
      </w:pPr>
      <w:r w:rsidRPr="00C60799">
        <w:rPr>
          <w:rFonts w:ascii="Times New Roman" w:hAnsi="Times New Roman" w:cs="Times New Roman"/>
          <w:sz w:val="24"/>
        </w:rPr>
        <w:t>To: Audit Department</w:t>
      </w:r>
    </w:p>
    <w:p w14:paraId="7279AB69" w14:textId="77777777" w:rsidR="00FC3D12" w:rsidRPr="00C60799" w:rsidRDefault="00FC3D12" w:rsidP="00FC3D12">
      <w:pPr>
        <w:rPr>
          <w:rFonts w:ascii="Times New Roman" w:hAnsi="Times New Roman" w:cs="Times New Roman"/>
          <w:sz w:val="24"/>
        </w:rPr>
      </w:pPr>
    </w:p>
    <w:p w14:paraId="40B1CC49" w14:textId="5C794AC9" w:rsidR="00FC3D12" w:rsidRPr="00C60799" w:rsidRDefault="00FC3D12" w:rsidP="00FC3D12">
      <w:pPr>
        <w:rPr>
          <w:rFonts w:ascii="Times New Roman" w:hAnsi="Times New Roman" w:cs="Times New Roman"/>
          <w:sz w:val="24"/>
        </w:rPr>
      </w:pPr>
      <w:r w:rsidRPr="00C60799">
        <w:rPr>
          <w:rFonts w:ascii="Times New Roman" w:hAnsi="Times New Roman" w:cs="Times New Roman"/>
          <w:sz w:val="24"/>
        </w:rPr>
        <w:t xml:space="preserve">From: </w:t>
      </w:r>
      <w:r w:rsidR="00B24F6F" w:rsidRPr="00C60799">
        <w:rPr>
          <w:rFonts w:ascii="Times New Roman" w:hAnsi="Times New Roman" w:cs="Times New Roman"/>
          <w:sz w:val="24"/>
        </w:rPr>
        <w:t>Charnissa R. Scott</w:t>
      </w:r>
    </w:p>
    <w:p w14:paraId="7FF6F125" w14:textId="77777777" w:rsidR="00FC3D12" w:rsidRPr="00C60799" w:rsidRDefault="00FC3D12" w:rsidP="00FC3D12">
      <w:pPr>
        <w:rPr>
          <w:rFonts w:ascii="Times New Roman" w:hAnsi="Times New Roman" w:cs="Times New Roman"/>
          <w:sz w:val="24"/>
        </w:rPr>
      </w:pPr>
    </w:p>
    <w:p w14:paraId="3F8E1679" w14:textId="427E049D" w:rsidR="00FC3D12" w:rsidRPr="00C60799" w:rsidRDefault="00FC3D12" w:rsidP="00FC3D12">
      <w:pPr>
        <w:rPr>
          <w:rFonts w:ascii="Times New Roman" w:hAnsi="Times New Roman" w:cs="Times New Roman"/>
          <w:sz w:val="24"/>
        </w:rPr>
      </w:pPr>
      <w:r w:rsidRPr="00C60799">
        <w:rPr>
          <w:rFonts w:ascii="Times New Roman" w:hAnsi="Times New Roman" w:cs="Times New Roman"/>
          <w:sz w:val="24"/>
        </w:rPr>
        <w:t xml:space="preserve">Date: </w:t>
      </w:r>
      <w:r w:rsidR="00DF013F" w:rsidRPr="00C60799">
        <w:rPr>
          <w:rFonts w:ascii="Times New Roman" w:hAnsi="Times New Roman" w:cs="Times New Roman"/>
          <w:sz w:val="24"/>
        </w:rPr>
        <w:t>April 13, 2022</w:t>
      </w:r>
    </w:p>
    <w:p w14:paraId="4900E783" w14:textId="77777777" w:rsidR="00FC3D12" w:rsidRPr="00C60799" w:rsidRDefault="00FC3D12" w:rsidP="00FC3D12">
      <w:pPr>
        <w:rPr>
          <w:rFonts w:ascii="Times New Roman" w:hAnsi="Times New Roman" w:cs="Times New Roman"/>
          <w:sz w:val="24"/>
        </w:rPr>
      </w:pPr>
    </w:p>
    <w:p w14:paraId="42BE7856" w14:textId="77777777" w:rsidR="00FC3D12" w:rsidRDefault="00FC3D12" w:rsidP="00FC3D12">
      <w:pPr>
        <w:rPr>
          <w:rFonts w:ascii="Book Antiqua" w:hAnsi="Book Antiqua"/>
          <w:sz w:val="24"/>
        </w:rPr>
      </w:pPr>
      <w:r w:rsidRPr="00C60799">
        <w:rPr>
          <w:rFonts w:ascii="Times New Roman" w:hAnsi="Times New Roman" w:cs="Times New Roman"/>
          <w:sz w:val="24"/>
        </w:rPr>
        <w:t>RE: Maintenance Cost Explanation</w:t>
      </w:r>
    </w:p>
    <w:p w14:paraId="201B5CBA" w14:textId="77777777" w:rsidR="00FC3D12" w:rsidRPr="00FD70B9" w:rsidRDefault="00FC3D12" w:rsidP="00FC3D12">
      <w:pPr>
        <w:rPr>
          <w:rFonts w:ascii="Book Antiqua" w:hAnsi="Book Antiqua"/>
          <w:sz w:val="24"/>
        </w:rPr>
      </w:pPr>
    </w:p>
    <w:p w14:paraId="54C10B1C" w14:textId="6F599BDB" w:rsidR="00FC3D12" w:rsidRPr="00FD70B9" w:rsidRDefault="00B24F6F" w:rsidP="00FC3D12">
      <w:pPr>
        <w:rPr>
          <w:rFonts w:ascii="Book Antiqua" w:hAnsi="Book Antiqua"/>
          <w:sz w:val="24"/>
        </w:rPr>
      </w:pPr>
      <w:r>
        <w:rPr>
          <w:noProof/>
        </w:rPr>
        <w:drawing>
          <wp:inline distT="0" distB="0" distL="0" distR="0" wp14:anchorId="5BBD1C44" wp14:editId="229AEACD">
            <wp:extent cx="4692650" cy="1917700"/>
            <wp:effectExtent l="0" t="0" r="12700" b="6350"/>
            <wp:docPr id="2" name="Chart 2">
              <a:extLst xmlns:a="http://schemas.openxmlformats.org/drawingml/2006/main">
                <a:ext uri="{FF2B5EF4-FFF2-40B4-BE49-F238E27FC236}">
                  <a16:creationId xmlns:a16="http://schemas.microsoft.com/office/drawing/2014/main" id="{DD6CA062-C0B8-471C-8C36-5B70AB2C182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0CD40C37" w14:textId="77777777" w:rsidR="00FC3D12" w:rsidRPr="00FD70B9" w:rsidRDefault="00FC3D12" w:rsidP="00FC3D12">
      <w:pPr>
        <w:rPr>
          <w:rFonts w:ascii="Book Antiqua" w:hAnsi="Book Antiqua"/>
          <w:sz w:val="24"/>
        </w:rPr>
      </w:pPr>
    </w:p>
    <w:p w14:paraId="6D1089F6" w14:textId="77777777" w:rsidR="00B24F6F" w:rsidRPr="00B24F6F" w:rsidRDefault="00B24F6F" w:rsidP="00B24F6F">
      <w:pPr>
        <w:shd w:val="clear" w:color="auto" w:fill="FFFFFF"/>
        <w:spacing w:line="360" w:lineRule="auto"/>
        <w:textAlignment w:val="baseline"/>
        <w:rPr>
          <w:rFonts w:ascii="Times New Roman" w:hAnsi="Times New Roman" w:cs="Times New Roman"/>
          <w:color w:val="202124"/>
          <w:sz w:val="24"/>
          <w:szCs w:val="24"/>
          <w:shd w:val="clear" w:color="auto" w:fill="FFFFFF"/>
        </w:rPr>
      </w:pPr>
      <w:r w:rsidRPr="001B6A8B">
        <w:rPr>
          <w:rFonts w:ascii="Times New Roman" w:eastAsia="Times New Roman" w:hAnsi="Times New Roman" w:cs="Times New Roman"/>
          <w:bCs/>
          <w:color w:val="000000"/>
          <w:sz w:val="24"/>
          <w:szCs w:val="24"/>
        </w:rPr>
        <w:t>If demand increases and supply remains unchanged, a shortage occurs, leading to a higher equilibrium price.</w:t>
      </w:r>
      <w:r w:rsidRPr="00B24F6F">
        <w:rPr>
          <w:rFonts w:ascii="Times New Roman" w:eastAsia="Times New Roman" w:hAnsi="Times New Roman" w:cs="Times New Roman"/>
          <w:bCs/>
          <w:color w:val="000000"/>
          <w:sz w:val="24"/>
          <w:szCs w:val="24"/>
        </w:rPr>
        <w:t xml:space="preserve"> </w:t>
      </w:r>
      <w:r w:rsidRPr="00B24F6F">
        <w:rPr>
          <w:rFonts w:ascii="Times New Roman" w:hAnsi="Times New Roman" w:cs="Times New Roman"/>
          <w:color w:val="202124"/>
          <w:sz w:val="24"/>
          <w:szCs w:val="24"/>
          <w:shd w:val="clear" w:color="auto" w:fill="FFFFFF"/>
        </w:rPr>
        <w:t>The same inverse relationship holds for the demand for goods and services. However, when demand increases and supply remains the same, </w:t>
      </w:r>
      <w:r w:rsidRPr="00B24F6F">
        <w:rPr>
          <w:rFonts w:ascii="Times New Roman" w:hAnsi="Times New Roman" w:cs="Times New Roman"/>
          <w:bCs/>
          <w:color w:val="202124"/>
          <w:sz w:val="24"/>
          <w:szCs w:val="24"/>
          <w:shd w:val="clear" w:color="auto" w:fill="FFFFFF"/>
        </w:rPr>
        <w:t>the higher demand leads to a higher equilibrium price</w:t>
      </w:r>
      <w:r w:rsidRPr="00B24F6F">
        <w:rPr>
          <w:rFonts w:ascii="Times New Roman" w:hAnsi="Times New Roman" w:cs="Times New Roman"/>
          <w:color w:val="202124"/>
          <w:sz w:val="24"/>
          <w:szCs w:val="24"/>
          <w:shd w:val="clear" w:color="auto" w:fill="FFFFFF"/>
        </w:rPr>
        <w:t> and vice versa. Supply and demand rise and fall until an equilibrium price is reached.</w:t>
      </w:r>
    </w:p>
    <w:p w14:paraId="2E89A5B8" w14:textId="77777777" w:rsidR="00B24F6F" w:rsidRPr="00B24F6F" w:rsidRDefault="00B24F6F" w:rsidP="00B24F6F">
      <w:pPr>
        <w:shd w:val="clear" w:color="auto" w:fill="FFFFFF"/>
        <w:spacing w:line="360" w:lineRule="auto"/>
        <w:textAlignment w:val="baseline"/>
        <w:rPr>
          <w:rFonts w:ascii="Times New Roman" w:eastAsia="Times New Roman" w:hAnsi="Times New Roman" w:cs="Times New Roman"/>
          <w:bCs/>
          <w:color w:val="000000"/>
          <w:sz w:val="24"/>
          <w:szCs w:val="24"/>
        </w:rPr>
      </w:pPr>
    </w:p>
    <w:p w14:paraId="39693AC9" w14:textId="0EE18B2E" w:rsidR="00B24F6F" w:rsidRPr="00B24F6F" w:rsidRDefault="00B24F6F" w:rsidP="00B24F6F">
      <w:pPr>
        <w:shd w:val="clear" w:color="auto" w:fill="FFFFFF"/>
        <w:spacing w:line="360" w:lineRule="auto"/>
        <w:textAlignment w:val="baseline"/>
        <w:rPr>
          <w:rFonts w:ascii="Times New Roman" w:hAnsi="Times New Roman" w:cs="Times New Roman"/>
          <w:color w:val="202124"/>
          <w:sz w:val="24"/>
          <w:szCs w:val="24"/>
          <w:shd w:val="clear" w:color="auto" w:fill="FFFFFF"/>
        </w:rPr>
      </w:pPr>
      <w:r w:rsidRPr="00B24F6F">
        <w:rPr>
          <w:rFonts w:ascii="Times New Roman" w:eastAsia="Times New Roman" w:hAnsi="Times New Roman" w:cs="Times New Roman"/>
          <w:bCs/>
          <w:color w:val="000000"/>
          <w:sz w:val="24"/>
          <w:szCs w:val="24"/>
        </w:rPr>
        <w:lastRenderedPageBreak/>
        <w:t>In Part B of the market for construction screws it was an increase from the beginning of the project to the end of the project. Many factors could had played in the increase and decrease of the screws.</w:t>
      </w:r>
      <w:r w:rsidRPr="00B24F6F">
        <w:rPr>
          <w:rFonts w:ascii="Times New Roman" w:hAnsi="Times New Roman" w:cs="Times New Roman"/>
          <w:color w:val="202124"/>
          <w:sz w:val="24"/>
          <w:szCs w:val="24"/>
          <w:shd w:val="clear" w:color="auto" w:fill="FFFFFF"/>
        </w:rPr>
        <w:t xml:space="preserve"> Non-price determinants of demand refer to </w:t>
      </w:r>
      <w:r w:rsidRPr="00B24F6F">
        <w:rPr>
          <w:rFonts w:ascii="Times New Roman" w:hAnsi="Times New Roman" w:cs="Times New Roman"/>
          <w:bCs/>
          <w:color w:val="202124"/>
          <w:sz w:val="24"/>
          <w:szCs w:val="24"/>
          <w:shd w:val="clear" w:color="auto" w:fill="FFFFFF"/>
        </w:rPr>
        <w:t>factors other than the current price that can potentially influence the need for a service or product, resulting in a shift in its demand curve</w:t>
      </w:r>
      <w:r w:rsidRPr="00B24F6F">
        <w:rPr>
          <w:rFonts w:ascii="Times New Roman" w:hAnsi="Times New Roman" w:cs="Times New Roman"/>
          <w:color w:val="202124"/>
          <w:sz w:val="24"/>
          <w:szCs w:val="24"/>
          <w:shd w:val="clear" w:color="auto" w:fill="FFFFFF"/>
        </w:rPr>
        <w:t xml:space="preserve">. </w:t>
      </w:r>
      <w:r w:rsidRPr="00B24F6F">
        <w:rPr>
          <w:rFonts w:ascii="Times New Roman" w:hAnsi="Times New Roman" w:cs="Times New Roman"/>
          <w:bCs/>
          <w:color w:val="202124"/>
          <w:sz w:val="24"/>
          <w:szCs w:val="24"/>
          <w:shd w:val="clear" w:color="auto" w:fill="FFFFFF"/>
        </w:rPr>
        <w:t>A decrease in demand will cause the equilibrium price to fall; quantity supplied will decrease</w:t>
      </w:r>
      <w:r w:rsidRPr="00B24F6F">
        <w:rPr>
          <w:rFonts w:ascii="Times New Roman" w:hAnsi="Times New Roman" w:cs="Times New Roman"/>
          <w:color w:val="202124"/>
          <w:sz w:val="24"/>
          <w:szCs w:val="24"/>
          <w:shd w:val="clear" w:color="auto" w:fill="FFFFFF"/>
        </w:rPr>
        <w:t xml:space="preserve">. </w:t>
      </w:r>
    </w:p>
    <w:p w14:paraId="5E126B9F" w14:textId="4101142F" w:rsidR="00B24F6F" w:rsidRPr="00DF013F" w:rsidRDefault="00B24F6F" w:rsidP="00DF013F">
      <w:pPr>
        <w:spacing w:line="360" w:lineRule="auto"/>
        <w:rPr>
          <w:rFonts w:ascii="Times New Roman" w:hAnsi="Times New Roman" w:cs="Times New Roman"/>
          <w:sz w:val="24"/>
          <w:szCs w:val="24"/>
        </w:rPr>
      </w:pPr>
      <w:r w:rsidRPr="00B24F6F">
        <w:rPr>
          <w:rFonts w:ascii="Times New Roman" w:hAnsi="Times New Roman" w:cs="Times New Roman"/>
          <w:color w:val="202124"/>
          <w:sz w:val="24"/>
          <w:szCs w:val="24"/>
          <w:shd w:val="clear" w:color="auto" w:fill="FFFFFF"/>
        </w:rPr>
        <w:t xml:space="preserve">An increase in supply, all other things unchanged, will cause the equilibrium price to fall; quantity demanded will increase. A decrease in supply will cause the equilibrium price to rise; quantity demanded will decrease. </w:t>
      </w:r>
      <w:r w:rsidRPr="00B24F6F">
        <w:rPr>
          <w:rFonts w:ascii="Times New Roman" w:eastAsia="Times New Roman" w:hAnsi="Times New Roman" w:cs="Times New Roman"/>
          <w:bCs/>
          <w:color w:val="000000"/>
          <w:sz w:val="24"/>
          <w:szCs w:val="24"/>
        </w:rPr>
        <w:t>For example, income as income rises, demand for normal goods rises causing the demand curve to shift right. Or consumer taste and preference, if consumer change their tastes in favor, then the demand curve changes.</w:t>
      </w:r>
      <w:r w:rsidR="00FC3D12" w:rsidRPr="00B24F6F">
        <w:rPr>
          <w:rFonts w:ascii="Times New Roman" w:hAnsi="Times New Roman" w:cs="Times New Roman"/>
          <w:sz w:val="24"/>
          <w:szCs w:val="24"/>
        </w:rPr>
        <w:t xml:space="preserve"> </w:t>
      </w:r>
    </w:p>
    <w:p w14:paraId="35B6294E" w14:textId="77777777" w:rsidR="00B24F6F" w:rsidRPr="00B24F6F" w:rsidRDefault="00B24F6F" w:rsidP="00B24F6F">
      <w:pPr>
        <w:rPr>
          <w:rFonts w:ascii="Book Antiqua" w:hAnsi="Book Antiqua"/>
          <w:sz w:val="24"/>
        </w:rPr>
      </w:pPr>
    </w:p>
    <w:p w14:paraId="2F9E3DC4" w14:textId="36F88070" w:rsidR="00BA0D11" w:rsidRPr="00C60799" w:rsidRDefault="00BA0D11" w:rsidP="00FC3D12">
      <w:pPr>
        <w:jc w:val="both"/>
        <w:rPr>
          <w:rFonts w:ascii="Times New Roman" w:hAnsi="Times New Roman" w:cs="Times New Roman"/>
          <w:sz w:val="24"/>
        </w:rPr>
      </w:pPr>
      <w:r w:rsidRPr="00C60799">
        <w:rPr>
          <w:rFonts w:ascii="Times New Roman" w:hAnsi="Times New Roman" w:cs="Times New Roman"/>
          <w:b/>
          <w:bCs/>
          <w:sz w:val="24"/>
        </w:rPr>
        <w:t>Scenario 2 Findings and Analysis</w:t>
      </w:r>
    </w:p>
    <w:p w14:paraId="403AFBC6" w14:textId="31D9A615" w:rsidR="00BA0D11" w:rsidRPr="00C60799" w:rsidRDefault="00BA0D11">
      <w:pPr>
        <w:rPr>
          <w:rFonts w:ascii="Times New Roman" w:hAnsi="Times New Roman" w:cs="Times New Roman"/>
          <w:sz w:val="24"/>
        </w:rPr>
      </w:pPr>
    </w:p>
    <w:p w14:paraId="5D7477CC" w14:textId="77777777" w:rsidR="00FC3D12" w:rsidRPr="00C60799" w:rsidRDefault="00FC3D12" w:rsidP="00FC3D12">
      <w:pPr>
        <w:rPr>
          <w:rFonts w:ascii="Times New Roman" w:hAnsi="Times New Roman" w:cs="Times New Roman"/>
          <w:sz w:val="24"/>
        </w:rPr>
      </w:pPr>
      <w:r w:rsidRPr="00C60799">
        <w:rPr>
          <w:rFonts w:ascii="Times New Roman" w:hAnsi="Times New Roman" w:cs="Times New Roman"/>
          <w:sz w:val="24"/>
        </w:rPr>
        <w:t>To: Office of the Mayor</w:t>
      </w:r>
    </w:p>
    <w:p w14:paraId="5824ABE4" w14:textId="77777777" w:rsidR="00FC3D12" w:rsidRPr="00C60799" w:rsidRDefault="00FC3D12" w:rsidP="00FC3D12">
      <w:pPr>
        <w:rPr>
          <w:rFonts w:ascii="Times New Roman" w:hAnsi="Times New Roman" w:cs="Times New Roman"/>
          <w:sz w:val="24"/>
        </w:rPr>
      </w:pPr>
    </w:p>
    <w:p w14:paraId="11E3416B" w14:textId="18CD03D0" w:rsidR="00FC3D12" w:rsidRPr="00C60799" w:rsidRDefault="00FC3D12" w:rsidP="00FC3D12">
      <w:pPr>
        <w:rPr>
          <w:rFonts w:ascii="Times New Roman" w:hAnsi="Times New Roman" w:cs="Times New Roman"/>
          <w:sz w:val="24"/>
        </w:rPr>
      </w:pPr>
      <w:r w:rsidRPr="00C60799">
        <w:rPr>
          <w:rFonts w:ascii="Times New Roman" w:hAnsi="Times New Roman" w:cs="Times New Roman"/>
          <w:sz w:val="24"/>
        </w:rPr>
        <w:t xml:space="preserve">From: </w:t>
      </w:r>
      <w:r w:rsidR="00DF013F" w:rsidRPr="00FE690A">
        <w:rPr>
          <w:rFonts w:ascii="Times New Roman" w:hAnsi="Times New Roman" w:cs="Times New Roman"/>
          <w:sz w:val="24"/>
        </w:rPr>
        <w:t>Charnissa R. Scott</w:t>
      </w:r>
    </w:p>
    <w:p w14:paraId="56515573" w14:textId="77777777" w:rsidR="00FC3D12" w:rsidRPr="00C60799" w:rsidRDefault="00FC3D12" w:rsidP="00FC3D12">
      <w:pPr>
        <w:rPr>
          <w:rFonts w:ascii="Times New Roman" w:hAnsi="Times New Roman" w:cs="Times New Roman"/>
          <w:sz w:val="24"/>
        </w:rPr>
      </w:pPr>
    </w:p>
    <w:p w14:paraId="094803BC" w14:textId="11FB2D42" w:rsidR="00FC3D12" w:rsidRPr="00C60799" w:rsidRDefault="00FC3D12" w:rsidP="00FC3D12">
      <w:pPr>
        <w:rPr>
          <w:rFonts w:ascii="Times New Roman" w:hAnsi="Times New Roman" w:cs="Times New Roman"/>
          <w:sz w:val="24"/>
        </w:rPr>
      </w:pPr>
      <w:r w:rsidRPr="00C60799">
        <w:rPr>
          <w:rFonts w:ascii="Times New Roman" w:hAnsi="Times New Roman" w:cs="Times New Roman"/>
          <w:sz w:val="24"/>
        </w:rPr>
        <w:t xml:space="preserve">Date: </w:t>
      </w:r>
      <w:r w:rsidR="00DF013F" w:rsidRPr="00FE690A">
        <w:rPr>
          <w:rFonts w:ascii="Times New Roman" w:hAnsi="Times New Roman" w:cs="Times New Roman"/>
          <w:sz w:val="24"/>
        </w:rPr>
        <w:t>April 13, 2022</w:t>
      </w:r>
      <w:bookmarkStart w:id="0" w:name="_GoBack"/>
      <w:bookmarkEnd w:id="0"/>
    </w:p>
    <w:p w14:paraId="2AC3E671" w14:textId="77777777" w:rsidR="00FC3D12" w:rsidRPr="00C60799" w:rsidRDefault="00FC3D12" w:rsidP="00FC3D12">
      <w:pPr>
        <w:rPr>
          <w:rFonts w:ascii="Times New Roman" w:hAnsi="Times New Roman" w:cs="Times New Roman"/>
          <w:sz w:val="24"/>
        </w:rPr>
      </w:pPr>
    </w:p>
    <w:p w14:paraId="386C37CC" w14:textId="77777777" w:rsidR="00FC3D12" w:rsidRPr="00C60799" w:rsidRDefault="00FC3D12" w:rsidP="00FC3D12">
      <w:pPr>
        <w:rPr>
          <w:rFonts w:ascii="Times New Roman" w:hAnsi="Times New Roman" w:cs="Times New Roman"/>
          <w:sz w:val="24"/>
        </w:rPr>
      </w:pPr>
      <w:r w:rsidRPr="00C60799">
        <w:rPr>
          <w:rFonts w:ascii="Times New Roman" w:hAnsi="Times New Roman" w:cs="Times New Roman"/>
          <w:sz w:val="24"/>
        </w:rPr>
        <w:t>RE: Impact of Rental Control</w:t>
      </w:r>
    </w:p>
    <w:p w14:paraId="2AA5502C" w14:textId="77777777" w:rsidR="00FC3D12" w:rsidRDefault="00FC3D12" w:rsidP="00FC3D12">
      <w:pPr>
        <w:rPr>
          <w:rFonts w:ascii="Book Antiqua" w:hAnsi="Book Antiqua"/>
          <w:sz w:val="24"/>
          <w:highlight w:val="yellow"/>
        </w:rPr>
      </w:pPr>
    </w:p>
    <w:p w14:paraId="23017144" w14:textId="77777777" w:rsidR="00FC3D12" w:rsidRDefault="00FC3D12" w:rsidP="00FC3D12">
      <w:pPr>
        <w:rPr>
          <w:rFonts w:ascii="Book Antiqua" w:hAnsi="Book Antiqua"/>
          <w:sz w:val="24"/>
          <w:highlight w:val="yellow"/>
        </w:rPr>
      </w:pPr>
    </w:p>
    <w:p w14:paraId="377FD8B5" w14:textId="3624AA0D" w:rsidR="00FC3D12" w:rsidRDefault="00DF013F" w:rsidP="00FC3D12">
      <w:pPr>
        <w:rPr>
          <w:rFonts w:ascii="Book Antiqua" w:hAnsi="Book Antiqua"/>
          <w:sz w:val="24"/>
        </w:rPr>
      </w:pPr>
      <w:r>
        <w:rPr>
          <w:noProof/>
        </w:rPr>
        <w:drawing>
          <wp:inline distT="0" distB="0" distL="0" distR="0" wp14:anchorId="52680882" wp14:editId="0E9382D8">
            <wp:extent cx="5232400" cy="2794000"/>
            <wp:effectExtent l="0" t="0" r="6350" b="6350"/>
            <wp:docPr id="4" name="Chart 4">
              <a:extLst xmlns:a="http://schemas.openxmlformats.org/drawingml/2006/main">
                <a:ext uri="{FF2B5EF4-FFF2-40B4-BE49-F238E27FC236}">
                  <a16:creationId xmlns:a16="http://schemas.microsoft.com/office/drawing/2014/main" id="{66D9AE25-E0FB-4002-8B86-6A887991801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1DE225C4" w14:textId="07CF94FE" w:rsidR="00C15B44" w:rsidRDefault="00C15B44">
      <w:pPr>
        <w:rPr>
          <w:rFonts w:ascii="Book Antiqua" w:hAnsi="Book Antiqua"/>
        </w:rPr>
      </w:pPr>
    </w:p>
    <w:p w14:paraId="68013823" w14:textId="73465AA6" w:rsidR="00CC1FBA" w:rsidRPr="00B24F6F" w:rsidRDefault="00CC1FBA" w:rsidP="00CC1FBA">
      <w:pPr>
        <w:shd w:val="clear" w:color="auto" w:fill="FFFFFF"/>
        <w:textAlignment w:val="baseline"/>
        <w:rPr>
          <w:rFonts w:ascii="Arial" w:hAnsi="Arial" w:cs="Arial"/>
          <w:color w:val="202124"/>
          <w:shd w:val="clear" w:color="auto" w:fill="FFFFFF"/>
        </w:rPr>
      </w:pPr>
    </w:p>
    <w:p w14:paraId="7027CA38" w14:textId="26CF1EF1" w:rsidR="00AA22B2" w:rsidRDefault="00AA22B2" w:rsidP="00C60799">
      <w:pPr>
        <w:shd w:val="clear" w:color="auto" w:fill="FFFFFF"/>
        <w:spacing w:line="360" w:lineRule="auto"/>
        <w:textAlignment w:val="baseline"/>
        <w:rPr>
          <w:rFonts w:ascii="Times New Roman" w:hAnsi="Times New Roman" w:cs="Times New Roman"/>
          <w:color w:val="000000"/>
          <w:sz w:val="24"/>
          <w:szCs w:val="24"/>
          <w:shd w:val="clear" w:color="auto" w:fill="FFFFFF"/>
        </w:rPr>
      </w:pPr>
      <w:r w:rsidRPr="00C60799">
        <w:rPr>
          <w:rFonts w:ascii="Times New Roman" w:hAnsi="Times New Roman" w:cs="Times New Roman"/>
          <w:color w:val="000000"/>
          <w:sz w:val="24"/>
          <w:szCs w:val="24"/>
          <w:shd w:val="clear" w:color="auto" w:fill="FFFFFF"/>
        </w:rPr>
        <w:t>Laws that government enact to regulate prices are called </w:t>
      </w:r>
      <w:r w:rsidRPr="00C60799">
        <w:rPr>
          <w:rStyle w:val="Strong"/>
          <w:rFonts w:ascii="Times New Roman" w:hAnsi="Times New Roman" w:cs="Times New Roman"/>
          <w:b w:val="0"/>
          <w:color w:val="000000"/>
          <w:sz w:val="24"/>
          <w:szCs w:val="24"/>
          <w:shd w:val="clear" w:color="auto" w:fill="FFFFFF"/>
        </w:rPr>
        <w:t>price controls</w:t>
      </w:r>
      <w:r w:rsidRPr="00C60799">
        <w:rPr>
          <w:rFonts w:ascii="Times New Roman" w:hAnsi="Times New Roman" w:cs="Times New Roman"/>
          <w:b/>
          <w:color w:val="000000"/>
          <w:sz w:val="24"/>
          <w:szCs w:val="24"/>
          <w:shd w:val="clear" w:color="auto" w:fill="FFFFFF"/>
        </w:rPr>
        <w:t>.</w:t>
      </w:r>
      <w:r w:rsidRPr="00C60799">
        <w:rPr>
          <w:rFonts w:ascii="Times New Roman" w:hAnsi="Times New Roman" w:cs="Times New Roman"/>
          <w:color w:val="000000"/>
          <w:sz w:val="24"/>
          <w:szCs w:val="24"/>
          <w:shd w:val="clear" w:color="auto" w:fill="FFFFFF"/>
        </w:rPr>
        <w:t xml:space="preserve"> Price controls come in two flavors. A </w:t>
      </w:r>
      <w:r w:rsidRPr="00C60799">
        <w:rPr>
          <w:rStyle w:val="Strong"/>
          <w:rFonts w:ascii="Times New Roman" w:hAnsi="Times New Roman" w:cs="Times New Roman"/>
          <w:b w:val="0"/>
          <w:color w:val="000000"/>
          <w:sz w:val="24"/>
          <w:szCs w:val="24"/>
          <w:shd w:val="clear" w:color="auto" w:fill="FFFFFF"/>
        </w:rPr>
        <w:t>price ceiling</w:t>
      </w:r>
      <w:r w:rsidRPr="00C60799">
        <w:rPr>
          <w:rFonts w:ascii="Times New Roman" w:hAnsi="Times New Roman" w:cs="Times New Roman"/>
          <w:color w:val="000000"/>
          <w:sz w:val="24"/>
          <w:szCs w:val="24"/>
          <w:shd w:val="clear" w:color="auto" w:fill="FFFFFF"/>
        </w:rPr>
        <w:t> keeps a price from rising above a certain level (the “ceiling”), while a</w:t>
      </w:r>
      <w:r w:rsidRPr="00C60799">
        <w:rPr>
          <w:rFonts w:ascii="Times New Roman" w:hAnsi="Times New Roman" w:cs="Times New Roman"/>
          <w:b/>
          <w:color w:val="000000"/>
          <w:sz w:val="24"/>
          <w:szCs w:val="24"/>
          <w:shd w:val="clear" w:color="auto" w:fill="FFFFFF"/>
        </w:rPr>
        <w:t> </w:t>
      </w:r>
      <w:r w:rsidRPr="00C60799">
        <w:rPr>
          <w:rStyle w:val="Strong"/>
          <w:rFonts w:ascii="Times New Roman" w:hAnsi="Times New Roman" w:cs="Times New Roman"/>
          <w:b w:val="0"/>
          <w:color w:val="000000"/>
          <w:sz w:val="24"/>
          <w:szCs w:val="24"/>
          <w:shd w:val="clear" w:color="auto" w:fill="FFFFFF"/>
        </w:rPr>
        <w:t>price floor</w:t>
      </w:r>
      <w:r w:rsidRPr="00C60799">
        <w:rPr>
          <w:rFonts w:ascii="Times New Roman" w:hAnsi="Times New Roman" w:cs="Times New Roman"/>
          <w:color w:val="000000"/>
          <w:sz w:val="24"/>
          <w:szCs w:val="24"/>
          <w:shd w:val="clear" w:color="auto" w:fill="FFFFFF"/>
        </w:rPr>
        <w:t> keeps a price from falling below a given level (the “floor”).</w:t>
      </w:r>
      <w:r w:rsidRPr="00C60799">
        <w:rPr>
          <w:rFonts w:ascii="Times New Roman" w:hAnsi="Times New Roman" w:cs="Times New Roman"/>
          <w:color w:val="000000"/>
          <w:sz w:val="24"/>
          <w:szCs w:val="24"/>
          <w:shd w:val="clear" w:color="auto" w:fill="FFFFFF"/>
        </w:rPr>
        <w:t xml:space="preserve"> </w:t>
      </w:r>
      <w:r w:rsidRPr="00C60799">
        <w:rPr>
          <w:rFonts w:ascii="Times New Roman" w:hAnsi="Times New Roman" w:cs="Times New Roman"/>
          <w:color w:val="000000"/>
          <w:sz w:val="24"/>
          <w:szCs w:val="24"/>
          <w:shd w:val="clear" w:color="auto" w:fill="FFFFFF"/>
        </w:rPr>
        <w:t>In some cities, such as Albany, renters have pressed political leaders to pass rent control laws, a price ceiling that usually works by stating that landlords can raise rents by only a certain maximum percentage each year. Some of the best examples of rent control occur in urban areas such as New York, Washington D.C., or San Francisco.</w:t>
      </w:r>
    </w:p>
    <w:p w14:paraId="72E2BA19" w14:textId="77777777" w:rsidR="00C60799" w:rsidRPr="00C60799" w:rsidRDefault="00C60799" w:rsidP="00C60799">
      <w:pPr>
        <w:shd w:val="clear" w:color="auto" w:fill="FFFFFF"/>
        <w:spacing w:line="360" w:lineRule="auto"/>
        <w:textAlignment w:val="baseline"/>
        <w:rPr>
          <w:rFonts w:ascii="Times New Roman" w:hAnsi="Times New Roman" w:cs="Times New Roman"/>
          <w:color w:val="000000"/>
          <w:sz w:val="24"/>
          <w:szCs w:val="24"/>
          <w:shd w:val="clear" w:color="auto" w:fill="FFFFFF"/>
        </w:rPr>
      </w:pPr>
    </w:p>
    <w:p w14:paraId="10B170EE" w14:textId="1078335B" w:rsidR="00C60799" w:rsidRPr="00C60799" w:rsidRDefault="00FE690A" w:rsidP="00C60799">
      <w:pPr>
        <w:shd w:val="clear" w:color="auto" w:fill="FFFFFF"/>
        <w:spacing w:line="360" w:lineRule="auto"/>
        <w:textAlignment w:val="baseline"/>
        <w:rPr>
          <w:rFonts w:ascii="Times New Roman" w:hAnsi="Times New Roman" w:cs="Times New Roman"/>
          <w:color w:val="111111"/>
          <w:spacing w:val="1"/>
          <w:sz w:val="24"/>
          <w:szCs w:val="24"/>
          <w:shd w:val="clear" w:color="auto" w:fill="FFFFFF"/>
        </w:rPr>
      </w:pPr>
      <w:r>
        <w:rPr>
          <w:rFonts w:ascii="Times New Roman" w:hAnsi="Times New Roman" w:cs="Times New Roman"/>
          <w:sz w:val="24"/>
          <w:szCs w:val="24"/>
        </w:rPr>
        <w:t>U</w:t>
      </w:r>
      <w:r w:rsidR="00C60799" w:rsidRPr="00C60799">
        <w:rPr>
          <w:rFonts w:ascii="Times New Roman" w:hAnsi="Times New Roman" w:cs="Times New Roman"/>
          <w:sz w:val="24"/>
          <w:szCs w:val="24"/>
        </w:rPr>
        <w:t>nintended consequences that could result from the government’s market intervention</w:t>
      </w:r>
      <w:r w:rsidR="00C60799" w:rsidRPr="00C60799">
        <w:rPr>
          <w:rFonts w:ascii="Times New Roman" w:hAnsi="Times New Roman" w:cs="Times New Roman"/>
          <w:color w:val="111111"/>
          <w:spacing w:val="1"/>
          <w:sz w:val="24"/>
          <w:szCs w:val="24"/>
          <w:shd w:val="clear" w:color="auto" w:fill="FFFFFF"/>
        </w:rPr>
        <w:t xml:space="preserve"> </w:t>
      </w:r>
      <w:r>
        <w:rPr>
          <w:rFonts w:ascii="Times New Roman" w:hAnsi="Times New Roman" w:cs="Times New Roman"/>
          <w:color w:val="111111"/>
          <w:spacing w:val="1"/>
          <w:sz w:val="24"/>
          <w:szCs w:val="24"/>
          <w:shd w:val="clear" w:color="auto" w:fill="FFFFFF"/>
        </w:rPr>
        <w:t>c</w:t>
      </w:r>
      <w:r w:rsidR="00C60799" w:rsidRPr="00C60799">
        <w:rPr>
          <w:rFonts w:ascii="Times New Roman" w:hAnsi="Times New Roman" w:cs="Times New Roman"/>
          <w:color w:val="111111"/>
          <w:spacing w:val="1"/>
          <w:sz w:val="24"/>
          <w:szCs w:val="24"/>
          <w:shd w:val="clear" w:color="auto" w:fill="FFFFFF"/>
        </w:rPr>
        <w:t>an in turn, lead to shortages and underground markets. When prices are too low enough for things like housing, there may not be enough supply, thereby increasing demand. For instance, landlords may let the condition of their </w:t>
      </w:r>
      <w:hyperlink r:id="rId10" w:history="1">
        <w:r w:rsidR="00C60799" w:rsidRPr="00C60799">
          <w:rPr>
            <w:rStyle w:val="Hyperlink"/>
            <w:rFonts w:ascii="Times New Roman" w:hAnsi="Times New Roman" w:cs="Times New Roman"/>
            <w:color w:val="auto"/>
            <w:spacing w:val="1"/>
            <w:sz w:val="24"/>
            <w:szCs w:val="24"/>
            <w:u w:val="none"/>
            <w:shd w:val="clear" w:color="auto" w:fill="FFFFFF"/>
          </w:rPr>
          <w:t>properties</w:t>
        </w:r>
      </w:hyperlink>
      <w:r w:rsidR="00C60799" w:rsidRPr="00C60799">
        <w:rPr>
          <w:rFonts w:ascii="Times New Roman" w:hAnsi="Times New Roman" w:cs="Times New Roman"/>
          <w:color w:val="111111"/>
          <w:spacing w:val="1"/>
          <w:sz w:val="24"/>
          <w:szCs w:val="24"/>
          <w:shd w:val="clear" w:color="auto" w:fill="FFFFFF"/>
        </w:rPr>
        <w:t> deteriorate because they aren't making enough to maintain them.</w:t>
      </w:r>
    </w:p>
    <w:p w14:paraId="28F87903" w14:textId="2D7B544E" w:rsidR="00C60799" w:rsidRPr="00C60799" w:rsidRDefault="00C60799" w:rsidP="00C60799">
      <w:pPr>
        <w:pStyle w:val="NormalWeb"/>
        <w:shd w:val="clear" w:color="auto" w:fill="FCFCFC"/>
        <w:spacing w:line="360" w:lineRule="auto"/>
        <w:rPr>
          <w:color w:val="333333"/>
        </w:rPr>
      </w:pPr>
      <w:r w:rsidRPr="00C60799">
        <w:rPr>
          <w:color w:val="333333"/>
        </w:rPr>
        <w:t>It benefits everyone in a community to create an ecosystem in which all parts work together. Current conditions call for a multifaceted approach to housing demand, including strategies that directly support affordable and workforce housing.</w:t>
      </w:r>
      <w:r>
        <w:rPr>
          <w:color w:val="333333"/>
        </w:rPr>
        <w:t xml:space="preserve"> </w:t>
      </w:r>
      <w:r>
        <w:t>O</w:t>
      </w:r>
      <w:r w:rsidRPr="00C60799">
        <w:t xml:space="preserve">ther alternative actions that the government might undertake, other than rent control, to make rental units affordable. </w:t>
      </w:r>
      <w:r w:rsidRPr="00C60799">
        <w:rPr>
          <w:color w:val="333333"/>
        </w:rPr>
        <w:t>Effective strategies include:</w:t>
      </w:r>
    </w:p>
    <w:p w14:paraId="5F4726CE" w14:textId="77777777" w:rsidR="00C60799" w:rsidRPr="00C60799" w:rsidRDefault="00C60799" w:rsidP="00C60799">
      <w:pPr>
        <w:pStyle w:val="NormalWeb"/>
        <w:shd w:val="clear" w:color="auto" w:fill="FCFCFC"/>
        <w:spacing w:line="360" w:lineRule="auto"/>
        <w:rPr>
          <w:color w:val="333333"/>
        </w:rPr>
      </w:pPr>
      <w:r w:rsidRPr="00C60799">
        <w:rPr>
          <w:color w:val="333333"/>
        </w:rPr>
        <w:t>• Addressing restrictive zoning and building laws that limit rehabilitation of existing properties or prevent new multi-unit housing.</w:t>
      </w:r>
    </w:p>
    <w:p w14:paraId="47A887F3" w14:textId="77777777" w:rsidR="00C60799" w:rsidRPr="00C60799" w:rsidRDefault="00C60799" w:rsidP="00C60799">
      <w:pPr>
        <w:pStyle w:val="NormalWeb"/>
        <w:shd w:val="clear" w:color="auto" w:fill="FCFCFC"/>
        <w:spacing w:line="360" w:lineRule="auto"/>
        <w:rPr>
          <w:color w:val="333333"/>
        </w:rPr>
      </w:pPr>
      <w:r w:rsidRPr="00C60799">
        <w:rPr>
          <w:color w:val="333333"/>
        </w:rPr>
        <w:t>• Building housing in opportunity zones, which encourage development in disadvantaged or distressed areas in need of an economic boost.</w:t>
      </w:r>
    </w:p>
    <w:p w14:paraId="27744A53" w14:textId="77777777" w:rsidR="00C60799" w:rsidRDefault="00C60799" w:rsidP="00C60799">
      <w:pPr>
        <w:pStyle w:val="NormalWeb"/>
        <w:shd w:val="clear" w:color="auto" w:fill="FCFCFC"/>
        <w:spacing w:line="360" w:lineRule="auto"/>
        <w:rPr>
          <w:rFonts w:ascii="Georgia" w:hAnsi="Georgia"/>
          <w:color w:val="333333"/>
          <w:sz w:val="27"/>
          <w:szCs w:val="27"/>
        </w:rPr>
      </w:pPr>
      <w:r w:rsidRPr="00C60799">
        <w:rPr>
          <w:color w:val="333333"/>
        </w:rPr>
        <w:t>• Offering incentives to property owners who designate a percentage of units to affordable housing.</w:t>
      </w:r>
    </w:p>
    <w:p w14:paraId="550FFC2B" w14:textId="77777777" w:rsidR="00C60799" w:rsidRPr="00AA22B2" w:rsidRDefault="00C60799" w:rsidP="00CC1FBA">
      <w:pPr>
        <w:shd w:val="clear" w:color="auto" w:fill="FFFFFF"/>
        <w:textAlignment w:val="baseline"/>
        <w:rPr>
          <w:rFonts w:ascii="Arial" w:eastAsia="Times New Roman" w:hAnsi="Arial" w:cs="Arial"/>
          <w:bCs/>
          <w:color w:val="000000"/>
          <w:sz w:val="24"/>
          <w:szCs w:val="24"/>
        </w:rPr>
      </w:pPr>
    </w:p>
    <w:sectPr w:rsidR="00C60799" w:rsidRPr="00AA22B2" w:rsidSect="00FC3D12">
      <w:headerReference w:type="default" r:id="rId11"/>
      <w:pgSz w:w="12240" w:h="15840"/>
      <w:pgMar w:top="1440" w:right="1440" w:bottom="1440" w:left="1440" w:header="720" w:footer="720" w:gutter="0"/>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296F22" w16cex:dateUtc="2021-04-20T19:17:00Z"/>
  <w16cex:commentExtensible w16cex:durableId="24296F79" w16cex:dateUtc="2021-04-20T19:19: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737CEE" w14:textId="77777777" w:rsidR="001052C6" w:rsidRDefault="001052C6" w:rsidP="00FC3D12">
      <w:r>
        <w:separator/>
      </w:r>
    </w:p>
  </w:endnote>
  <w:endnote w:type="continuationSeparator" w:id="0">
    <w:p w14:paraId="6A026B45" w14:textId="77777777" w:rsidR="001052C6" w:rsidRDefault="001052C6" w:rsidP="00FC3D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1289ED" w14:textId="77777777" w:rsidR="001052C6" w:rsidRDefault="001052C6" w:rsidP="00FC3D12">
      <w:r>
        <w:separator/>
      </w:r>
    </w:p>
  </w:footnote>
  <w:footnote w:type="continuationSeparator" w:id="0">
    <w:p w14:paraId="0268812F" w14:textId="77777777" w:rsidR="001052C6" w:rsidRDefault="001052C6" w:rsidP="00FC3D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C4E91C" w14:textId="55187698" w:rsidR="00FC3D12" w:rsidRPr="00FC3D12" w:rsidRDefault="00FC3D12">
    <w:pPr>
      <w:pStyle w:val="Header"/>
      <w:jc w:val="right"/>
      <w:rPr>
        <w:rFonts w:ascii="Book Antiqua" w:hAnsi="Book Antiqua"/>
      </w:rPr>
    </w:pPr>
    <w:r w:rsidRPr="00FC3D12">
      <w:rPr>
        <w:rFonts w:ascii="Book Antiqua" w:hAnsi="Book Antiqua"/>
      </w:rPr>
      <w:t>ECON195 – Fin</w:t>
    </w:r>
    <w:r>
      <w:rPr>
        <w:rFonts w:ascii="Book Antiqua" w:hAnsi="Book Antiqua"/>
      </w:rPr>
      <w:t>al</w:t>
    </w:r>
    <w:r w:rsidRPr="00FC3D12">
      <w:rPr>
        <w:rFonts w:ascii="Book Antiqua" w:hAnsi="Book Antiqua"/>
      </w:rPr>
      <w:t xml:space="preserve"> </w:t>
    </w:r>
    <w:proofErr w:type="spellStart"/>
    <w:r w:rsidRPr="00FC3D12">
      <w:rPr>
        <w:rFonts w:ascii="Book Antiqua" w:hAnsi="Book Antiqua"/>
      </w:rPr>
      <w:t>ePortfolio</w:t>
    </w:r>
    <w:proofErr w:type="spellEnd"/>
    <w:r w:rsidRPr="00FC3D12">
      <w:rPr>
        <w:rFonts w:ascii="Book Antiqua" w:hAnsi="Book Antiqua"/>
      </w:rPr>
      <w:t xml:space="preserve"> Submission Template</w:t>
    </w:r>
    <w:r w:rsidRPr="00FC3D12">
      <w:rPr>
        <w:rFonts w:ascii="Book Antiqua" w:hAnsi="Book Antiqua"/>
      </w:rPr>
      <w:tab/>
    </w:r>
    <w:sdt>
      <w:sdtPr>
        <w:rPr>
          <w:rFonts w:ascii="Book Antiqua" w:hAnsi="Book Antiqua"/>
        </w:rPr>
        <w:id w:val="1512340553"/>
        <w:docPartObj>
          <w:docPartGallery w:val="Page Numbers (Top of Page)"/>
          <w:docPartUnique/>
        </w:docPartObj>
      </w:sdtPr>
      <w:sdtEndPr>
        <w:rPr>
          <w:noProof/>
        </w:rPr>
      </w:sdtEndPr>
      <w:sdtContent>
        <w:r w:rsidRPr="00FC3D12">
          <w:rPr>
            <w:rFonts w:ascii="Book Antiqua" w:hAnsi="Book Antiqua"/>
          </w:rPr>
          <w:fldChar w:fldCharType="begin"/>
        </w:r>
        <w:r w:rsidRPr="00FC3D12">
          <w:rPr>
            <w:rFonts w:ascii="Book Antiqua" w:hAnsi="Book Antiqua"/>
          </w:rPr>
          <w:instrText xml:space="preserve"> PAGE   \* MERGEFORMAT </w:instrText>
        </w:r>
        <w:r w:rsidRPr="00FC3D12">
          <w:rPr>
            <w:rFonts w:ascii="Book Antiqua" w:hAnsi="Book Antiqua"/>
          </w:rPr>
          <w:fldChar w:fldCharType="separate"/>
        </w:r>
        <w:r w:rsidRPr="00FC3D12">
          <w:rPr>
            <w:rFonts w:ascii="Book Antiqua" w:hAnsi="Book Antiqua"/>
            <w:noProof/>
          </w:rPr>
          <w:t>2</w:t>
        </w:r>
        <w:r w:rsidRPr="00FC3D12">
          <w:rPr>
            <w:rFonts w:ascii="Book Antiqua" w:hAnsi="Book Antiqua"/>
            <w:noProof/>
          </w:rPr>
          <w:fldChar w:fldCharType="end"/>
        </w:r>
      </w:sdtContent>
    </w:sdt>
  </w:p>
  <w:p w14:paraId="49A06063" w14:textId="77777777" w:rsidR="00FC3D12" w:rsidRDefault="00FC3D1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B1AD5"/>
    <w:multiLevelType w:val="multilevel"/>
    <w:tmpl w:val="1FE60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6BB4186"/>
    <w:multiLevelType w:val="hybridMultilevel"/>
    <w:tmpl w:val="EF50666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C75DD3"/>
    <w:multiLevelType w:val="hybridMultilevel"/>
    <w:tmpl w:val="592A26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8313D8D"/>
    <w:multiLevelType w:val="multilevel"/>
    <w:tmpl w:val="1DA6DCD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IyNzYwMTMwN7CwMDFW0lEKTi0uzszPAykwqwUAyRYQSSwAAAA="/>
  </w:docVars>
  <w:rsids>
    <w:rsidRoot w:val="00CC31F2"/>
    <w:rsid w:val="001052C6"/>
    <w:rsid w:val="00152F29"/>
    <w:rsid w:val="001B6A8B"/>
    <w:rsid w:val="003554FD"/>
    <w:rsid w:val="00384502"/>
    <w:rsid w:val="003C40B9"/>
    <w:rsid w:val="00591C7E"/>
    <w:rsid w:val="006029CF"/>
    <w:rsid w:val="00652023"/>
    <w:rsid w:val="007F7029"/>
    <w:rsid w:val="00891C28"/>
    <w:rsid w:val="00984ECC"/>
    <w:rsid w:val="00A3204C"/>
    <w:rsid w:val="00AA22B2"/>
    <w:rsid w:val="00AD5DFA"/>
    <w:rsid w:val="00B046D5"/>
    <w:rsid w:val="00B24F6F"/>
    <w:rsid w:val="00B53817"/>
    <w:rsid w:val="00BA0D11"/>
    <w:rsid w:val="00BC55C6"/>
    <w:rsid w:val="00C15B44"/>
    <w:rsid w:val="00C60799"/>
    <w:rsid w:val="00CC1FBA"/>
    <w:rsid w:val="00CC31F2"/>
    <w:rsid w:val="00D532E9"/>
    <w:rsid w:val="00DE33C7"/>
    <w:rsid w:val="00DF013F"/>
    <w:rsid w:val="00E374AF"/>
    <w:rsid w:val="00F2279B"/>
    <w:rsid w:val="00F815DF"/>
    <w:rsid w:val="00FC3D12"/>
    <w:rsid w:val="00FD70B9"/>
    <w:rsid w:val="00FE69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47F62B"/>
  <w15:chartTrackingRefBased/>
  <w15:docId w15:val="{04ABD652-C017-49FA-9D35-546629C30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D70B9"/>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53817"/>
    <w:pPr>
      <w:ind w:left="720"/>
      <w:contextualSpacing/>
    </w:pPr>
  </w:style>
  <w:style w:type="paragraph" w:styleId="BalloonText">
    <w:name w:val="Balloon Text"/>
    <w:basedOn w:val="Normal"/>
    <w:link w:val="BalloonTextChar"/>
    <w:uiPriority w:val="99"/>
    <w:semiHidden/>
    <w:unhideWhenUsed/>
    <w:rsid w:val="00B046D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046D5"/>
    <w:rPr>
      <w:rFonts w:ascii="Segoe UI" w:hAnsi="Segoe UI" w:cs="Segoe UI"/>
      <w:sz w:val="18"/>
      <w:szCs w:val="18"/>
    </w:rPr>
  </w:style>
  <w:style w:type="character" w:customStyle="1" w:styleId="Heading1Char">
    <w:name w:val="Heading 1 Char"/>
    <w:basedOn w:val="DefaultParagraphFont"/>
    <w:link w:val="Heading1"/>
    <w:uiPriority w:val="9"/>
    <w:rsid w:val="00FD70B9"/>
    <w:rPr>
      <w:rFonts w:asciiTheme="majorHAnsi" w:eastAsiaTheme="majorEastAsia" w:hAnsiTheme="majorHAnsi" w:cstheme="majorBidi"/>
      <w:color w:val="2F5496" w:themeColor="accent1" w:themeShade="BF"/>
      <w:sz w:val="32"/>
      <w:szCs w:val="32"/>
    </w:rPr>
  </w:style>
  <w:style w:type="character" w:styleId="CommentReference">
    <w:name w:val="annotation reference"/>
    <w:basedOn w:val="DefaultParagraphFont"/>
    <w:uiPriority w:val="99"/>
    <w:semiHidden/>
    <w:unhideWhenUsed/>
    <w:rsid w:val="00891C28"/>
    <w:rPr>
      <w:sz w:val="16"/>
      <w:szCs w:val="16"/>
    </w:rPr>
  </w:style>
  <w:style w:type="paragraph" w:styleId="CommentText">
    <w:name w:val="annotation text"/>
    <w:basedOn w:val="Normal"/>
    <w:link w:val="CommentTextChar"/>
    <w:uiPriority w:val="99"/>
    <w:semiHidden/>
    <w:unhideWhenUsed/>
    <w:rsid w:val="00891C28"/>
    <w:rPr>
      <w:sz w:val="20"/>
      <w:szCs w:val="20"/>
    </w:rPr>
  </w:style>
  <w:style w:type="character" w:customStyle="1" w:styleId="CommentTextChar">
    <w:name w:val="Comment Text Char"/>
    <w:basedOn w:val="DefaultParagraphFont"/>
    <w:link w:val="CommentText"/>
    <w:uiPriority w:val="99"/>
    <w:semiHidden/>
    <w:rsid w:val="00891C28"/>
    <w:rPr>
      <w:sz w:val="20"/>
      <w:szCs w:val="20"/>
    </w:rPr>
  </w:style>
  <w:style w:type="paragraph" w:styleId="CommentSubject">
    <w:name w:val="annotation subject"/>
    <w:basedOn w:val="CommentText"/>
    <w:next w:val="CommentText"/>
    <w:link w:val="CommentSubjectChar"/>
    <w:uiPriority w:val="99"/>
    <w:semiHidden/>
    <w:unhideWhenUsed/>
    <w:rsid w:val="00891C28"/>
    <w:rPr>
      <w:b/>
      <w:bCs/>
    </w:rPr>
  </w:style>
  <w:style w:type="character" w:customStyle="1" w:styleId="CommentSubjectChar">
    <w:name w:val="Comment Subject Char"/>
    <w:basedOn w:val="CommentTextChar"/>
    <w:link w:val="CommentSubject"/>
    <w:uiPriority w:val="99"/>
    <w:semiHidden/>
    <w:rsid w:val="00891C28"/>
    <w:rPr>
      <w:b/>
      <w:bCs/>
      <w:sz w:val="20"/>
      <w:szCs w:val="20"/>
    </w:rPr>
  </w:style>
  <w:style w:type="paragraph" w:styleId="Header">
    <w:name w:val="header"/>
    <w:basedOn w:val="Normal"/>
    <w:link w:val="HeaderChar"/>
    <w:uiPriority w:val="99"/>
    <w:unhideWhenUsed/>
    <w:rsid w:val="00FC3D12"/>
    <w:pPr>
      <w:tabs>
        <w:tab w:val="center" w:pos="4680"/>
        <w:tab w:val="right" w:pos="9360"/>
      </w:tabs>
    </w:pPr>
  </w:style>
  <w:style w:type="character" w:customStyle="1" w:styleId="HeaderChar">
    <w:name w:val="Header Char"/>
    <w:basedOn w:val="DefaultParagraphFont"/>
    <w:link w:val="Header"/>
    <w:uiPriority w:val="99"/>
    <w:rsid w:val="00FC3D12"/>
  </w:style>
  <w:style w:type="paragraph" w:styleId="Footer">
    <w:name w:val="footer"/>
    <w:basedOn w:val="Normal"/>
    <w:link w:val="FooterChar"/>
    <w:uiPriority w:val="99"/>
    <w:unhideWhenUsed/>
    <w:rsid w:val="00FC3D12"/>
    <w:pPr>
      <w:tabs>
        <w:tab w:val="center" w:pos="4680"/>
        <w:tab w:val="right" w:pos="9360"/>
      </w:tabs>
    </w:pPr>
  </w:style>
  <w:style w:type="character" w:customStyle="1" w:styleId="FooterChar">
    <w:name w:val="Footer Char"/>
    <w:basedOn w:val="DefaultParagraphFont"/>
    <w:link w:val="Footer"/>
    <w:uiPriority w:val="99"/>
    <w:rsid w:val="00FC3D12"/>
  </w:style>
  <w:style w:type="character" w:styleId="Strong">
    <w:name w:val="Strong"/>
    <w:basedOn w:val="DefaultParagraphFont"/>
    <w:uiPriority w:val="22"/>
    <w:qFormat/>
    <w:rsid w:val="00AA22B2"/>
    <w:rPr>
      <w:b/>
      <w:bCs/>
    </w:rPr>
  </w:style>
  <w:style w:type="character" w:styleId="Hyperlink">
    <w:name w:val="Hyperlink"/>
    <w:basedOn w:val="DefaultParagraphFont"/>
    <w:uiPriority w:val="99"/>
    <w:semiHidden/>
    <w:unhideWhenUsed/>
    <w:rsid w:val="00C60799"/>
    <w:rPr>
      <w:color w:val="0000FF"/>
      <w:u w:val="single"/>
    </w:rPr>
  </w:style>
  <w:style w:type="paragraph" w:styleId="NormalWeb">
    <w:name w:val="Normal (Web)"/>
    <w:basedOn w:val="Normal"/>
    <w:uiPriority w:val="99"/>
    <w:semiHidden/>
    <w:unhideWhenUsed/>
    <w:rsid w:val="00C60799"/>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888664">
      <w:bodyDiv w:val="1"/>
      <w:marLeft w:val="0"/>
      <w:marRight w:val="0"/>
      <w:marTop w:val="0"/>
      <w:marBottom w:val="0"/>
      <w:divBdr>
        <w:top w:val="none" w:sz="0" w:space="0" w:color="auto"/>
        <w:left w:val="none" w:sz="0" w:space="0" w:color="auto"/>
        <w:bottom w:val="none" w:sz="0" w:space="0" w:color="auto"/>
        <w:right w:val="none" w:sz="0" w:space="0" w:color="auto"/>
      </w:divBdr>
    </w:div>
    <w:div w:id="1339580194">
      <w:bodyDiv w:val="1"/>
      <w:marLeft w:val="0"/>
      <w:marRight w:val="0"/>
      <w:marTop w:val="0"/>
      <w:marBottom w:val="0"/>
      <w:divBdr>
        <w:top w:val="none" w:sz="0" w:space="0" w:color="auto"/>
        <w:left w:val="none" w:sz="0" w:space="0" w:color="auto"/>
        <w:bottom w:val="none" w:sz="0" w:space="0" w:color="auto"/>
        <w:right w:val="none" w:sz="0" w:space="0" w:color="auto"/>
      </w:divBdr>
    </w:div>
    <w:div w:id="2002389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investopedia.com/terms/p/property.asp" TargetMode="External"/><Relationship Id="rId4" Type="http://schemas.openxmlformats.org/officeDocument/2006/relationships/webSettings" Target="webSettings.xml"/><Relationship Id="rId9" Type="http://schemas.openxmlformats.org/officeDocument/2006/relationships/chart" Target="charts/chart2.xml"/><Relationship Id="rId14" Type="http://schemas.microsoft.com/office/2018/08/relationships/commentsExtensible" Target="commentsExtensible.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2018247\Desktop\Bryant%20Stratton\ECON195%20-%20Charnissa%20Scott%20Scenrio%202.xlsx" TargetMode="External"/></Relationships>
</file>

<file path=word/charts/_rels/chart2.xml.rels><?xml version="1.0" encoding="UTF-8" standalone="yes"?>
<Relationships xmlns="http://schemas.openxmlformats.org/package/2006/relationships"><Relationship Id="rId3" Type="http://schemas.openxmlformats.org/officeDocument/2006/relationships/oleObject" Target="file:///C:\Users\2018247\Desktop\Bryant%20Stratton\ECON195%20-%20Charnissa%20Scott%20Scenrio%202.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Part D: Market for Construction Screws</a:t>
            </a:r>
          </a:p>
        </c:rich>
      </c:tx>
      <c:overlay val="0"/>
      <c:spPr>
        <a:noFill/>
        <a:ln>
          <a:noFill/>
        </a:ln>
        <a:effectLst/>
      </c:spPr>
    </c:title>
    <c:autoTitleDeleted val="0"/>
    <c:plotArea>
      <c:layout/>
      <c:scatterChart>
        <c:scatterStyle val="lineMarker"/>
        <c:varyColors val="0"/>
        <c:ser>
          <c:idx val="0"/>
          <c:order val="0"/>
          <c:tx>
            <c:strRef>
              <c:f>'Scenario 1'!$C$5</c:f>
              <c:strCache>
                <c:ptCount val="1"/>
                <c:pt idx="0">
                  <c:v>Qd</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'Scenario 1'!$C$6:$C$11</c:f>
              <c:numCache>
                <c:formatCode>General</c:formatCode>
                <c:ptCount val="6"/>
                <c:pt idx="0">
                  <c:v>0</c:v>
                </c:pt>
                <c:pt idx="1">
                  <c:v>400</c:v>
                </c:pt>
                <c:pt idx="2">
                  <c:v>800</c:v>
                </c:pt>
                <c:pt idx="3">
                  <c:v>1200</c:v>
                </c:pt>
                <c:pt idx="4">
                  <c:v>1600</c:v>
                </c:pt>
                <c:pt idx="5">
                  <c:v>2000</c:v>
                </c:pt>
              </c:numCache>
            </c:numRef>
          </c:xVal>
          <c:yVal>
            <c:numRef>
              <c:f>'Scenario 1'!$B$6:$B$11</c:f>
              <c:numCache>
                <c:formatCode>"$"#,##0.00_);[Red]\("$"#,##0.00\)</c:formatCode>
                <c:ptCount val="6"/>
                <c:pt idx="0">
                  <c:v>6</c:v>
                </c:pt>
                <c:pt idx="1">
                  <c:v>5</c:v>
                </c:pt>
                <c:pt idx="2">
                  <c:v>4</c:v>
                </c:pt>
                <c:pt idx="3">
                  <c:v>3</c:v>
                </c:pt>
                <c:pt idx="4">
                  <c:v>2</c:v>
                </c:pt>
                <c:pt idx="5">
                  <c:v>1</c:v>
                </c:pt>
              </c:numCache>
            </c:numRef>
          </c:yVal>
          <c:smooth val="0"/>
          <c:extLst>
            <c:ext xmlns:c16="http://schemas.microsoft.com/office/drawing/2014/chart" uri="{C3380CC4-5D6E-409C-BE32-E72D297353CC}">
              <c16:uniqueId val="{00000000-1F26-4C2C-84A5-A87476A1266B}"/>
            </c:ext>
          </c:extLst>
        </c:ser>
        <c:ser>
          <c:idx val="1"/>
          <c:order val="1"/>
          <c:tx>
            <c:strRef>
              <c:f>'Scenario 1'!$D$5</c:f>
              <c:strCache>
                <c:ptCount val="1"/>
                <c:pt idx="0">
                  <c:v>Qs</c:v>
                </c:pt>
              </c:strCache>
            </c:strRef>
          </c:tx>
          <c:spPr>
            <a:ln w="19050" cap="rnd">
              <a:solidFill>
                <a:schemeClr val="accent2"/>
              </a:solidFill>
              <a:round/>
            </a:ln>
            <a:effectLst/>
          </c:spPr>
          <c:marker>
            <c:symbol val="circle"/>
            <c:size val="5"/>
            <c:spPr>
              <a:solidFill>
                <a:schemeClr val="accent2"/>
              </a:solidFill>
              <a:ln w="9525">
                <a:solidFill>
                  <a:schemeClr val="accent2"/>
                </a:solidFill>
              </a:ln>
              <a:effectLst/>
            </c:spPr>
          </c:marker>
          <c:dLbls>
            <c:dLbl>
              <c:idx val="3"/>
              <c:tx>
                <c:rich>
                  <a:bodyPr/>
                  <a:lstStyle/>
                  <a:p>
                    <a:r>
                      <a:rPr lang="en-US"/>
                      <a:t>A</a:t>
                    </a:r>
                  </a:p>
                </c:rich>
              </c:tx>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1-1F26-4C2C-84A5-A87476A1266B}"/>
                </c:ext>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pPr xmlns:c15="http://schemas.microsoft.com/office/drawing/2012/chart">
                  <a:prstGeom prst="wedgeRectCallout">
                    <a:avLst/>
                  </a:prstGeom>
                </c15:spPr>
                <c15:showLeaderLines val="0"/>
              </c:ext>
            </c:extLst>
          </c:dLbls>
          <c:xVal>
            <c:numRef>
              <c:f>'Scenario 1'!$D$6:$D$11</c:f>
              <c:numCache>
                <c:formatCode>General</c:formatCode>
                <c:ptCount val="6"/>
                <c:pt idx="0">
                  <c:v>2400</c:v>
                </c:pt>
                <c:pt idx="1">
                  <c:v>2000</c:v>
                </c:pt>
                <c:pt idx="2">
                  <c:v>1600</c:v>
                </c:pt>
                <c:pt idx="3">
                  <c:v>1200</c:v>
                </c:pt>
                <c:pt idx="4">
                  <c:v>800</c:v>
                </c:pt>
                <c:pt idx="5">
                  <c:v>400</c:v>
                </c:pt>
              </c:numCache>
            </c:numRef>
          </c:xVal>
          <c:yVal>
            <c:numRef>
              <c:f>'Scenario 1'!$B$6:$B$11</c:f>
              <c:numCache>
                <c:formatCode>"$"#,##0.00_);[Red]\("$"#,##0.00\)</c:formatCode>
                <c:ptCount val="6"/>
                <c:pt idx="0">
                  <c:v>6</c:v>
                </c:pt>
                <c:pt idx="1">
                  <c:v>5</c:v>
                </c:pt>
                <c:pt idx="2">
                  <c:v>4</c:v>
                </c:pt>
                <c:pt idx="3">
                  <c:v>3</c:v>
                </c:pt>
                <c:pt idx="4">
                  <c:v>2</c:v>
                </c:pt>
                <c:pt idx="5">
                  <c:v>1</c:v>
                </c:pt>
              </c:numCache>
            </c:numRef>
          </c:yVal>
          <c:smooth val="0"/>
          <c:extLst>
            <c:ext xmlns:c16="http://schemas.microsoft.com/office/drawing/2014/chart" uri="{C3380CC4-5D6E-409C-BE32-E72D297353CC}">
              <c16:uniqueId val="{00000002-1F26-4C2C-84A5-A87476A1266B}"/>
            </c:ext>
          </c:extLst>
        </c:ser>
        <c:ser>
          <c:idx val="2"/>
          <c:order val="2"/>
          <c:tx>
            <c:strRef>
              <c:f>'Scenario 1'!$F$5</c:f>
              <c:strCache>
                <c:ptCount val="1"/>
                <c:pt idx="0">
                  <c:v>New Qs</c:v>
                </c:pt>
              </c:strCache>
            </c:strRef>
          </c:tx>
          <c:dLbls>
            <c:dLbl>
              <c:idx val="2"/>
              <c:tx>
                <c:rich>
                  <a:bodyPr/>
                  <a:lstStyle/>
                  <a:p>
                    <a:r>
                      <a:rPr lang="en-US"/>
                      <a:t>C</a:t>
                    </a:r>
                  </a:p>
                </c:rich>
              </c:tx>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3-1F26-4C2C-84A5-A87476A1266B}"/>
                </c:ext>
              </c:extLst>
            </c:dLbl>
            <c:spPr>
              <a:solidFill>
                <a:sysClr val="window" lastClr="FFFFFF"/>
              </a:solidFill>
              <a:ln>
                <a:solidFill>
                  <a:sysClr val="windowText" lastClr="000000">
                    <a:lumMod val="65000"/>
                    <a:lumOff val="35000"/>
                  </a:sysClr>
                </a:solidFill>
              </a:ln>
              <a:effectLst/>
            </c:spPr>
            <c:showLegendKey val="0"/>
            <c:showVal val="0"/>
            <c:showCatName val="0"/>
            <c:showSerName val="0"/>
            <c:showPercent val="0"/>
            <c:showBubbleSize val="0"/>
            <c:extLst>
              <c:ext xmlns:c15="http://schemas.microsoft.com/office/drawing/2012/chart" uri="{CE6537A1-D6FC-4f65-9D91-7224C49458BB}">
                <c15:spPr xmlns:c15="http://schemas.microsoft.com/office/drawing/2012/chart">
                  <a:prstGeom prst="wedgeRectCallout">
                    <a:avLst/>
                  </a:prstGeom>
                </c15:spPr>
                <c15:showLeaderLines val="0"/>
              </c:ext>
            </c:extLst>
          </c:dLbls>
          <c:xVal>
            <c:numRef>
              <c:f>'Scenario 1'!$F$6:$F$11</c:f>
              <c:numCache>
                <c:formatCode>General</c:formatCode>
                <c:ptCount val="6"/>
                <c:pt idx="0">
                  <c:v>1600</c:v>
                </c:pt>
                <c:pt idx="1">
                  <c:v>1200</c:v>
                </c:pt>
                <c:pt idx="2">
                  <c:v>800</c:v>
                </c:pt>
                <c:pt idx="3">
                  <c:v>400</c:v>
                </c:pt>
                <c:pt idx="4">
                  <c:v>0</c:v>
                </c:pt>
                <c:pt idx="5">
                  <c:v>0</c:v>
                </c:pt>
              </c:numCache>
            </c:numRef>
          </c:xVal>
          <c:yVal>
            <c:numRef>
              <c:f>'Scenario 1'!$B$6:$B$11</c:f>
              <c:numCache>
                <c:formatCode>"$"#,##0.00_);[Red]\("$"#,##0.00\)</c:formatCode>
                <c:ptCount val="6"/>
                <c:pt idx="0">
                  <c:v>6</c:v>
                </c:pt>
                <c:pt idx="1">
                  <c:v>5</c:v>
                </c:pt>
                <c:pt idx="2">
                  <c:v>4</c:v>
                </c:pt>
                <c:pt idx="3">
                  <c:v>3</c:v>
                </c:pt>
                <c:pt idx="4">
                  <c:v>2</c:v>
                </c:pt>
                <c:pt idx="5">
                  <c:v>1</c:v>
                </c:pt>
              </c:numCache>
            </c:numRef>
          </c:yVal>
          <c:smooth val="0"/>
          <c:extLst>
            <c:ext xmlns:c16="http://schemas.microsoft.com/office/drawing/2014/chart" uri="{C3380CC4-5D6E-409C-BE32-E72D297353CC}">
              <c16:uniqueId val="{00000004-1F26-4C2C-84A5-A87476A1266B}"/>
            </c:ext>
          </c:extLst>
        </c:ser>
        <c:dLbls>
          <c:showLegendKey val="0"/>
          <c:showVal val="0"/>
          <c:showCatName val="0"/>
          <c:showSerName val="0"/>
          <c:showPercent val="0"/>
          <c:showBubbleSize val="0"/>
        </c:dLbls>
        <c:axId val="211490399"/>
        <c:axId val="211478335"/>
      </c:scatterChart>
      <c:valAx>
        <c:axId val="211490399"/>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Quanity (Boxes)</a:t>
                </a:r>
              </a:p>
            </c:rich>
          </c:tx>
          <c:layout>
            <c:manualLayout>
              <c:xMode val="edge"/>
              <c:yMode val="edge"/>
              <c:x val="0.38197768519778436"/>
              <c:y val="0.88075067408382823"/>
            </c:manualLayout>
          </c:layout>
          <c:overlay val="0"/>
          <c:spPr>
            <a:noFill/>
            <a:ln>
              <a:noFill/>
            </a:ln>
            <a:effectLst/>
          </c:sp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1478335"/>
        <c:crosses val="autoZero"/>
        <c:crossBetween val="midCat"/>
      </c:valAx>
      <c:valAx>
        <c:axId val="211478335"/>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Price</a:t>
                </a:r>
                <a:r>
                  <a:rPr lang="en-US" baseline="0"/>
                  <a:t>  Per Box</a:t>
                </a:r>
                <a:endParaRPr lang="en-US"/>
              </a:p>
            </c:rich>
          </c:tx>
          <c:overlay val="0"/>
          <c:spPr>
            <a:noFill/>
            <a:ln>
              <a:noFill/>
            </a:ln>
            <a:effectLst/>
          </c:spPr>
        </c:title>
        <c:numFmt formatCode="&quot;$&quot;#,##0.00_);[Red]\(&quot;$&quot;#,##0.0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1490399"/>
        <c:crosses val="autoZero"/>
        <c:crossBetween val="midCat"/>
      </c:valAx>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chart>
  <c:txPr>
    <a:bodyPr/>
    <a:lstStyle/>
    <a:p>
      <a:pPr>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1400" b="0" i="0" u="none" strike="noStrike" kern="1200" spc="0" baseline="0">
                <a:solidFill>
                  <a:schemeClr val="tx1">
                    <a:lumMod val="65000"/>
                    <a:lumOff val="35000"/>
                  </a:schemeClr>
                </a:solidFill>
                <a:latin typeface="+mn-lt"/>
                <a:ea typeface="+mn-ea"/>
                <a:cs typeface="+mn-cs"/>
              </a:defRPr>
            </a:pPr>
            <a:r>
              <a:rPr lang="en-US"/>
              <a:t>Market</a:t>
            </a:r>
            <a:r>
              <a:rPr lang="en-US" baseline="0"/>
              <a:t> for Rental Units</a:t>
            </a:r>
            <a:endParaRPr lang="en-US"/>
          </a:p>
        </c:rich>
      </c:tx>
      <c:layout>
        <c:manualLayout>
          <c:xMode val="edge"/>
          <c:yMode val="edge"/>
          <c:x val="0.26572433053827804"/>
          <c:y val="3.1818181818181815E-2"/>
        </c:manualLayout>
      </c:layout>
      <c:overlay val="0"/>
      <c:spPr>
        <a:noFill/>
        <a:ln>
          <a:noFill/>
        </a:ln>
        <a:effectLst/>
      </c:spPr>
      <c:txPr>
        <a:bodyPr rot="0" spcFirstLastPara="1" vertOverflow="ellipsis" vert="horz" wrap="square" anchor="ctr" anchorCtr="1"/>
        <a:lstStyle/>
        <a:p>
          <a:pPr algn="ct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'Scenario 2'!$C$5</c:f>
              <c:strCache>
                <c:ptCount val="1"/>
                <c:pt idx="0">
                  <c:v>Qd</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'Scenario 2'!$C$6:$C$11</c:f>
              <c:numCache>
                <c:formatCode>General</c:formatCode>
                <c:ptCount val="6"/>
                <c:pt idx="0">
                  <c:v>500</c:v>
                </c:pt>
                <c:pt idx="1">
                  <c:v>750</c:v>
                </c:pt>
                <c:pt idx="2">
                  <c:v>1000</c:v>
                </c:pt>
                <c:pt idx="3">
                  <c:v>1250</c:v>
                </c:pt>
                <c:pt idx="4">
                  <c:v>1500</c:v>
                </c:pt>
                <c:pt idx="5">
                  <c:v>1750</c:v>
                </c:pt>
              </c:numCache>
            </c:numRef>
          </c:xVal>
          <c:yVal>
            <c:numRef>
              <c:f>'Scenario 2'!$B$6:$B$11</c:f>
              <c:numCache>
                <c:formatCode>"$"#,##0_);[Red]\("$"#,##0\)</c:formatCode>
                <c:ptCount val="6"/>
                <c:pt idx="0">
                  <c:v>3500</c:v>
                </c:pt>
                <c:pt idx="1">
                  <c:v>3000</c:v>
                </c:pt>
                <c:pt idx="2">
                  <c:v>2500</c:v>
                </c:pt>
                <c:pt idx="3">
                  <c:v>2000</c:v>
                </c:pt>
                <c:pt idx="4">
                  <c:v>1500</c:v>
                </c:pt>
                <c:pt idx="5">
                  <c:v>1000</c:v>
                </c:pt>
              </c:numCache>
            </c:numRef>
          </c:yVal>
          <c:smooth val="0"/>
          <c:extLst>
            <c:ext xmlns:c16="http://schemas.microsoft.com/office/drawing/2014/chart" uri="{C3380CC4-5D6E-409C-BE32-E72D297353CC}">
              <c16:uniqueId val="{00000000-EAB6-4AAA-80D4-BD5EFEE71CF4}"/>
            </c:ext>
          </c:extLst>
        </c:ser>
        <c:ser>
          <c:idx val="1"/>
          <c:order val="1"/>
          <c:tx>
            <c:strRef>
              <c:f>'Scenario 2'!$D$5</c:f>
              <c:strCache>
                <c:ptCount val="1"/>
                <c:pt idx="0">
                  <c:v>Qs</c:v>
                </c:pt>
              </c:strCache>
            </c:strRef>
          </c:tx>
          <c:spPr>
            <a:ln w="19050" cap="rnd">
              <a:solidFill>
                <a:schemeClr val="accent2"/>
              </a:solidFill>
              <a:round/>
            </a:ln>
            <a:effectLst/>
          </c:spPr>
          <c:marker>
            <c:symbol val="circle"/>
            <c:size val="5"/>
            <c:spPr>
              <a:solidFill>
                <a:schemeClr val="accent2"/>
              </a:solidFill>
              <a:ln w="9525">
                <a:solidFill>
                  <a:schemeClr val="accent2"/>
                </a:solidFill>
              </a:ln>
              <a:effectLst/>
            </c:spPr>
          </c:marker>
          <c:dLbls>
            <c:dLbl>
              <c:idx val="2"/>
              <c:layout>
                <c:manualLayout>
                  <c:x val="4.8067524619522857E-2"/>
                  <c:y val="-2.0730851825340055E-2"/>
                </c:manualLayout>
              </c:layout>
              <c:tx>
                <c:rich>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r>
                      <a:rPr lang="en-US"/>
                      <a:t>E</a:t>
                    </a:r>
                  </a:p>
                </c:rich>
              </c:tx>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dLblPos val="r"/>
              <c:showLegendKey val="0"/>
              <c:showVal val="1"/>
              <c:showCatName val="1"/>
              <c:showSerName val="0"/>
              <c:showPercent val="0"/>
              <c:showBubbleSize val="0"/>
              <c:extLst>
                <c:ext xmlns:c15="http://schemas.microsoft.com/office/drawing/2012/chart" uri="{CE6537A1-D6FC-4f65-9D91-7224C49458BB}">
                  <c15:spPr xmlns:c15="http://schemas.microsoft.com/office/drawing/2012/chart">
                    <a:prstGeom prst="wedgeRectCallout">
                      <a:avLst/>
                    </a:prstGeom>
                    <a:noFill/>
                    <a:ln>
                      <a:noFill/>
                    </a:ln>
                  </c15:spPr>
                </c:ext>
                <c:ext xmlns:c16="http://schemas.microsoft.com/office/drawing/2014/chart" uri="{C3380CC4-5D6E-409C-BE32-E72D297353CC}">
                  <c16:uniqueId val="{00000001-EAB6-4AAA-80D4-BD5EFEE71CF4}"/>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t"/>
            <c:showLegendKey val="0"/>
            <c:showVal val="0"/>
            <c:showCatName val="0"/>
            <c:showSerName val="0"/>
            <c:showPercent val="0"/>
            <c:showBubbleSize val="0"/>
            <c:extLst>
              <c:ext xmlns:c15="http://schemas.microsoft.com/office/drawing/2012/chart" uri="{CE6537A1-D6FC-4f65-9D91-7224C49458BB}">
                <c15:showLeaderLines val="0"/>
              </c:ext>
            </c:extLst>
          </c:dLbls>
          <c:xVal>
            <c:numRef>
              <c:f>'Scenario 2'!$D$6:$D$11</c:f>
              <c:numCache>
                <c:formatCode>General</c:formatCode>
                <c:ptCount val="6"/>
                <c:pt idx="0">
                  <c:v>1500</c:v>
                </c:pt>
                <c:pt idx="1">
                  <c:v>1250</c:v>
                </c:pt>
                <c:pt idx="2">
                  <c:v>1000</c:v>
                </c:pt>
                <c:pt idx="3">
                  <c:v>750</c:v>
                </c:pt>
                <c:pt idx="4">
                  <c:v>500</c:v>
                </c:pt>
                <c:pt idx="5">
                  <c:v>250</c:v>
                </c:pt>
              </c:numCache>
            </c:numRef>
          </c:xVal>
          <c:yVal>
            <c:numRef>
              <c:f>'Scenario 2'!$B$6:$B$11</c:f>
              <c:numCache>
                <c:formatCode>"$"#,##0_);[Red]\("$"#,##0\)</c:formatCode>
                <c:ptCount val="6"/>
                <c:pt idx="0">
                  <c:v>3500</c:v>
                </c:pt>
                <c:pt idx="1">
                  <c:v>3000</c:v>
                </c:pt>
                <c:pt idx="2">
                  <c:v>2500</c:v>
                </c:pt>
                <c:pt idx="3">
                  <c:v>2000</c:v>
                </c:pt>
                <c:pt idx="4">
                  <c:v>1500</c:v>
                </c:pt>
                <c:pt idx="5">
                  <c:v>1000</c:v>
                </c:pt>
              </c:numCache>
            </c:numRef>
          </c:yVal>
          <c:smooth val="0"/>
          <c:extLst>
            <c:ext xmlns:c16="http://schemas.microsoft.com/office/drawing/2014/chart" uri="{C3380CC4-5D6E-409C-BE32-E72D297353CC}">
              <c16:uniqueId val="{00000002-EAB6-4AAA-80D4-BD5EFEE71CF4}"/>
            </c:ext>
          </c:extLst>
        </c:ser>
        <c:ser>
          <c:idx val="2"/>
          <c:order val="2"/>
          <c:tx>
            <c:v>Price Ceiling</c:v>
          </c:tx>
          <c:spPr>
            <a:ln w="19050" cap="rnd">
              <a:solidFill>
                <a:schemeClr val="accent3"/>
              </a:solidFill>
              <a:round/>
            </a:ln>
            <a:effectLst/>
          </c:spPr>
          <c:marker>
            <c:symbol val="circle"/>
            <c:size val="5"/>
            <c:spPr>
              <a:solidFill>
                <a:schemeClr val="accent3"/>
              </a:solidFill>
              <a:ln w="9525">
                <a:solidFill>
                  <a:schemeClr val="accent3"/>
                </a:solidFill>
              </a:ln>
              <a:effectLst/>
            </c:spPr>
          </c:marker>
          <c:xVal>
            <c:numRef>
              <c:f>'Scenario 2'!$I$13:$I$14</c:f>
              <c:numCache>
                <c:formatCode>General</c:formatCode>
                <c:ptCount val="2"/>
                <c:pt idx="0">
                  <c:v>1250</c:v>
                </c:pt>
                <c:pt idx="1">
                  <c:v>750</c:v>
                </c:pt>
              </c:numCache>
            </c:numRef>
          </c:xVal>
          <c:yVal>
            <c:numRef>
              <c:f>'Scenario 2'!$J$13:$J$14</c:f>
              <c:numCache>
                <c:formatCode>"$"#,##0_);[Red]\("$"#,##0\)</c:formatCode>
                <c:ptCount val="2"/>
                <c:pt idx="0">
                  <c:v>2000</c:v>
                </c:pt>
                <c:pt idx="1">
                  <c:v>2000</c:v>
                </c:pt>
              </c:numCache>
            </c:numRef>
          </c:yVal>
          <c:smooth val="0"/>
          <c:extLst>
            <c:ext xmlns:c16="http://schemas.microsoft.com/office/drawing/2014/chart" uri="{C3380CC4-5D6E-409C-BE32-E72D297353CC}">
              <c16:uniqueId val="{00000003-EAB6-4AAA-80D4-BD5EFEE71CF4}"/>
            </c:ext>
          </c:extLst>
        </c:ser>
        <c:dLbls>
          <c:showLegendKey val="0"/>
          <c:showVal val="0"/>
          <c:showCatName val="0"/>
          <c:showSerName val="0"/>
          <c:showPercent val="0"/>
          <c:showBubbleSize val="0"/>
        </c:dLbls>
        <c:axId val="211497887"/>
        <c:axId val="211499551"/>
      </c:scatterChart>
      <c:valAx>
        <c:axId val="211497887"/>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lgn="ctr">
                  <a:defRPr sz="1000" b="0" i="0" u="none" strike="noStrike" kern="1200" baseline="0">
                    <a:solidFill>
                      <a:schemeClr val="tx1">
                        <a:lumMod val="65000"/>
                        <a:lumOff val="35000"/>
                      </a:schemeClr>
                    </a:solidFill>
                    <a:latin typeface="+mn-lt"/>
                    <a:ea typeface="+mn-ea"/>
                    <a:cs typeface="+mn-cs"/>
                  </a:defRPr>
                </a:pPr>
                <a:r>
                  <a:rPr lang="en-US"/>
                  <a:t>Quanity (Number</a:t>
                </a:r>
                <a:r>
                  <a:rPr lang="en-US" baseline="0"/>
                  <a:t> of Rental Units)</a:t>
                </a:r>
                <a:endParaRPr lang="en-US"/>
              </a:p>
            </c:rich>
          </c:tx>
          <c:layout>
            <c:manualLayout>
              <c:xMode val="edge"/>
              <c:yMode val="edge"/>
              <c:x val="0.26283560985337845"/>
              <c:y val="0.88088618468146029"/>
            </c:manualLayout>
          </c:layout>
          <c:overlay val="0"/>
          <c:spPr>
            <a:noFill/>
            <a:ln>
              <a:noFill/>
            </a:ln>
            <a:effectLst/>
          </c:spPr>
          <c:txPr>
            <a:bodyPr rot="0" spcFirstLastPara="1" vertOverflow="ellipsis" vert="horz" wrap="square" anchor="ctr" anchorCtr="1"/>
            <a:lstStyle/>
            <a:p>
              <a:pPr algn="ct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1499551"/>
        <c:crosses val="autoZero"/>
        <c:crossBetween val="midCat"/>
      </c:valAx>
      <c:valAx>
        <c:axId val="211499551"/>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Price</a:t>
                </a:r>
                <a:r>
                  <a:rPr lang="en-US" baseline="0"/>
                  <a:t> (Monthly Rent)</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quot;$&quot;#,##0_);[Red]\(&quot;$&quot;#,##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1497887"/>
        <c:crosses val="autoZero"/>
        <c:crossBetween val="midCat"/>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527</Words>
  <Characters>3004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Wesolowski, James A</dc:creator>
  <cp:keywords/>
  <dc:description/>
  <cp:lastModifiedBy>Scott, Charnissa R</cp:lastModifiedBy>
  <cp:revision>2</cp:revision>
  <dcterms:created xsi:type="dcterms:W3CDTF">2022-04-14T02:00:00Z</dcterms:created>
  <dcterms:modified xsi:type="dcterms:W3CDTF">2022-04-14T02:00:00Z</dcterms:modified>
</cp:coreProperties>
</file>