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B2724" w:rsidRDefault="004B2724" w:rsidP="00EB37B2">
      <w:pPr>
        <w:jc w:val="center"/>
      </w:pPr>
    </w:p>
    <w:p w:rsidR="00EB37B2" w:rsidRDefault="00EB37B2" w:rsidP="00EB37B2">
      <w:pPr>
        <w:jc w:val="center"/>
      </w:pPr>
    </w:p>
    <w:p w:rsidR="00EB37B2" w:rsidRDefault="00EB37B2" w:rsidP="00EB37B2">
      <w:pPr>
        <w:jc w:val="center"/>
        <w:rPr>
          <w:rFonts w:ascii="Arial" w:hAnsi="Arial" w:cs="Arial"/>
        </w:rPr>
      </w:pPr>
    </w:p>
    <w:p w:rsidR="00EB37B2" w:rsidRDefault="00EB37B2" w:rsidP="00EB37B2">
      <w:pPr>
        <w:jc w:val="center"/>
        <w:rPr>
          <w:rFonts w:ascii="Arial" w:hAnsi="Arial" w:cs="Arial"/>
        </w:rPr>
      </w:pPr>
    </w:p>
    <w:p w:rsidR="00EB37B2" w:rsidRDefault="00EB37B2" w:rsidP="00EB37B2">
      <w:pPr>
        <w:jc w:val="center"/>
        <w:rPr>
          <w:rFonts w:ascii="Arial" w:hAnsi="Arial" w:cs="Arial"/>
        </w:rPr>
      </w:pPr>
    </w:p>
    <w:p w:rsidR="00EB37B2" w:rsidRDefault="00EB37B2" w:rsidP="00EB37B2">
      <w:pPr>
        <w:jc w:val="center"/>
        <w:rPr>
          <w:rFonts w:ascii="Arial" w:hAnsi="Arial" w:cs="Arial"/>
        </w:rPr>
      </w:pPr>
    </w:p>
    <w:p w:rsidR="00EB37B2" w:rsidRDefault="00EB37B2" w:rsidP="00EB37B2">
      <w:pPr>
        <w:jc w:val="center"/>
        <w:rPr>
          <w:rFonts w:ascii="Arial" w:hAnsi="Arial" w:cs="Arial"/>
        </w:rPr>
      </w:pPr>
    </w:p>
    <w:p w:rsidR="00EB37B2" w:rsidRDefault="00EB37B2" w:rsidP="00EB37B2">
      <w:pPr>
        <w:jc w:val="center"/>
        <w:rPr>
          <w:rFonts w:ascii="Arial" w:hAnsi="Arial" w:cs="Arial"/>
        </w:rPr>
      </w:pPr>
    </w:p>
    <w:p w:rsidR="00EB37B2" w:rsidRDefault="00EB37B2" w:rsidP="00EB37B2">
      <w:pPr>
        <w:jc w:val="center"/>
        <w:rPr>
          <w:rFonts w:ascii="Arial" w:hAnsi="Arial" w:cs="Arial"/>
        </w:rPr>
      </w:pPr>
    </w:p>
    <w:p w:rsidR="00EB37B2" w:rsidRDefault="00EB37B2" w:rsidP="00EB37B2">
      <w:pPr>
        <w:jc w:val="center"/>
        <w:rPr>
          <w:rFonts w:ascii="Arial" w:hAnsi="Arial" w:cs="Arial"/>
        </w:rPr>
      </w:pPr>
    </w:p>
    <w:p w:rsidR="00EB37B2" w:rsidRPr="00EB37B2" w:rsidRDefault="00EB37B2" w:rsidP="00EB37B2">
      <w:pPr>
        <w:jc w:val="center"/>
        <w:rPr>
          <w:rFonts w:ascii="Arial" w:hAnsi="Arial" w:cs="Arial"/>
          <w:sz w:val="36"/>
          <w:szCs w:val="36"/>
        </w:rPr>
      </w:pPr>
    </w:p>
    <w:p w:rsidR="00EB37B2" w:rsidRPr="00EB37B2" w:rsidRDefault="00EB37B2" w:rsidP="00A16C80">
      <w:pPr>
        <w:jc w:val="center"/>
        <w:rPr>
          <w:rFonts w:ascii="Arial" w:hAnsi="Arial" w:cs="Arial"/>
          <w:sz w:val="36"/>
          <w:szCs w:val="36"/>
        </w:rPr>
      </w:pPr>
      <w:r w:rsidRPr="00EB37B2">
        <w:rPr>
          <w:rFonts w:ascii="Arial" w:hAnsi="Arial" w:cs="Arial"/>
          <w:sz w:val="36"/>
          <w:szCs w:val="36"/>
        </w:rPr>
        <w:t>Deontology</w:t>
      </w:r>
    </w:p>
    <w:p w:rsidR="00EB37B2" w:rsidRPr="00EB37B2" w:rsidRDefault="00EB37B2" w:rsidP="00EB37B2">
      <w:pPr>
        <w:jc w:val="center"/>
        <w:rPr>
          <w:rFonts w:ascii="Arial" w:hAnsi="Arial" w:cs="Arial"/>
          <w:sz w:val="36"/>
          <w:szCs w:val="36"/>
        </w:rPr>
      </w:pPr>
      <w:r w:rsidRPr="00EB37B2">
        <w:rPr>
          <w:rFonts w:ascii="Arial" w:hAnsi="Arial" w:cs="Arial"/>
          <w:sz w:val="36"/>
          <w:szCs w:val="36"/>
        </w:rPr>
        <w:t>PHIL 222- Ethics in Health and Human Services</w:t>
      </w:r>
    </w:p>
    <w:p w:rsidR="00EB37B2" w:rsidRDefault="000812CA" w:rsidP="00EB37B2">
      <w:pPr>
        <w:jc w:val="center"/>
        <w:rPr>
          <w:rFonts w:ascii="Arial" w:hAnsi="Arial" w:cs="Arial"/>
          <w:sz w:val="36"/>
          <w:szCs w:val="36"/>
        </w:rPr>
      </w:pPr>
      <w:r>
        <w:rPr>
          <w:rFonts w:ascii="Arial" w:hAnsi="Arial" w:cs="Arial"/>
          <w:sz w:val="36"/>
          <w:szCs w:val="36"/>
        </w:rPr>
        <w:t>Professor D. Schweigert</w:t>
      </w:r>
    </w:p>
    <w:p w:rsidR="000812CA" w:rsidRDefault="000812CA" w:rsidP="00EB37B2">
      <w:pPr>
        <w:jc w:val="center"/>
        <w:rPr>
          <w:rFonts w:ascii="Arial" w:hAnsi="Arial" w:cs="Arial"/>
          <w:sz w:val="36"/>
          <w:szCs w:val="36"/>
        </w:rPr>
      </w:pPr>
      <w:r>
        <w:rPr>
          <w:rFonts w:ascii="Arial" w:hAnsi="Arial" w:cs="Arial"/>
          <w:sz w:val="36"/>
          <w:szCs w:val="36"/>
        </w:rPr>
        <w:t>By:</w:t>
      </w:r>
    </w:p>
    <w:p w:rsidR="00EB37B2" w:rsidRDefault="00F3159B" w:rsidP="00EB37B2">
      <w:pPr>
        <w:jc w:val="center"/>
        <w:rPr>
          <w:rFonts w:ascii="Arial" w:hAnsi="Arial" w:cs="Arial"/>
          <w:sz w:val="36"/>
          <w:szCs w:val="36"/>
        </w:rPr>
      </w:pPr>
      <w:r>
        <w:rPr>
          <w:rFonts w:ascii="Arial" w:hAnsi="Arial" w:cs="Arial"/>
          <w:sz w:val="36"/>
          <w:szCs w:val="36"/>
        </w:rPr>
        <w:t>Nakeya Goshen</w:t>
      </w:r>
      <w:bookmarkStart w:id="0" w:name="_GoBack"/>
      <w:bookmarkEnd w:id="0"/>
    </w:p>
    <w:p w:rsidR="00EB37B2" w:rsidRDefault="00EB37B2" w:rsidP="00EB37B2">
      <w:pPr>
        <w:jc w:val="center"/>
        <w:rPr>
          <w:rFonts w:ascii="Arial" w:hAnsi="Arial" w:cs="Arial"/>
          <w:sz w:val="36"/>
          <w:szCs w:val="36"/>
        </w:rPr>
      </w:pPr>
    </w:p>
    <w:p w:rsidR="00EB37B2" w:rsidRDefault="00EB37B2" w:rsidP="00EB37B2">
      <w:pPr>
        <w:jc w:val="center"/>
        <w:rPr>
          <w:rFonts w:ascii="Arial" w:hAnsi="Arial" w:cs="Arial"/>
          <w:sz w:val="36"/>
          <w:szCs w:val="36"/>
        </w:rPr>
      </w:pPr>
    </w:p>
    <w:p w:rsidR="00EB37B2" w:rsidRDefault="00EB37B2" w:rsidP="00EB37B2">
      <w:pPr>
        <w:jc w:val="center"/>
        <w:rPr>
          <w:rFonts w:ascii="Arial" w:hAnsi="Arial" w:cs="Arial"/>
          <w:sz w:val="36"/>
          <w:szCs w:val="36"/>
        </w:rPr>
      </w:pPr>
    </w:p>
    <w:p w:rsidR="00EB37B2" w:rsidRDefault="00EB37B2" w:rsidP="00EB37B2">
      <w:pPr>
        <w:jc w:val="center"/>
        <w:rPr>
          <w:rFonts w:ascii="Arial" w:hAnsi="Arial" w:cs="Arial"/>
          <w:sz w:val="36"/>
          <w:szCs w:val="36"/>
        </w:rPr>
      </w:pPr>
    </w:p>
    <w:p w:rsidR="00EB37B2" w:rsidRDefault="00EB37B2" w:rsidP="00EB37B2">
      <w:pPr>
        <w:jc w:val="center"/>
        <w:rPr>
          <w:rFonts w:ascii="Arial" w:hAnsi="Arial" w:cs="Arial"/>
          <w:sz w:val="36"/>
          <w:szCs w:val="36"/>
        </w:rPr>
      </w:pPr>
    </w:p>
    <w:p w:rsidR="00EB37B2" w:rsidRDefault="00EB37B2" w:rsidP="00EB37B2">
      <w:pPr>
        <w:jc w:val="center"/>
        <w:rPr>
          <w:rFonts w:ascii="Arial" w:hAnsi="Arial" w:cs="Arial"/>
          <w:sz w:val="36"/>
          <w:szCs w:val="36"/>
        </w:rPr>
      </w:pPr>
    </w:p>
    <w:p w:rsidR="00EB37B2" w:rsidRDefault="00EB37B2" w:rsidP="00EB37B2">
      <w:pPr>
        <w:jc w:val="center"/>
        <w:rPr>
          <w:rFonts w:ascii="Arial" w:hAnsi="Arial" w:cs="Arial"/>
          <w:sz w:val="36"/>
          <w:szCs w:val="36"/>
        </w:rPr>
      </w:pPr>
    </w:p>
    <w:p w:rsidR="00EB37B2" w:rsidRDefault="00EB37B2" w:rsidP="00EB37B2">
      <w:pPr>
        <w:jc w:val="center"/>
        <w:rPr>
          <w:rFonts w:ascii="Arial" w:hAnsi="Arial" w:cs="Arial"/>
          <w:sz w:val="36"/>
          <w:szCs w:val="36"/>
        </w:rPr>
      </w:pPr>
    </w:p>
    <w:p w:rsidR="00EB37B2" w:rsidRPr="00EB37B2" w:rsidRDefault="00EB37B2" w:rsidP="00EB37B2">
      <w:pPr>
        <w:jc w:val="center"/>
        <w:rPr>
          <w:rFonts w:ascii="Arial" w:hAnsi="Arial" w:cs="Arial"/>
          <w:sz w:val="36"/>
          <w:szCs w:val="36"/>
        </w:rPr>
      </w:pPr>
    </w:p>
    <w:p w:rsidR="001B4D91" w:rsidRDefault="00EB37B2" w:rsidP="00DE675F">
      <w:pPr>
        <w:spacing w:line="480" w:lineRule="auto"/>
        <w:ind w:firstLine="720"/>
        <w:rPr>
          <w:rFonts w:ascii="Arial" w:hAnsi="Arial" w:cs="Arial"/>
          <w:color w:val="1A1A1A"/>
          <w:sz w:val="24"/>
          <w:szCs w:val="24"/>
          <w:shd w:val="clear" w:color="auto" w:fill="FFFFFF"/>
        </w:rPr>
      </w:pPr>
      <w:r w:rsidRPr="00EB37B2">
        <w:rPr>
          <w:rFonts w:ascii="Arial" w:hAnsi="Arial" w:cs="Arial"/>
          <w:sz w:val="24"/>
          <w:szCs w:val="24"/>
        </w:rPr>
        <w:t xml:space="preserve">Deontology </w:t>
      </w:r>
      <w:r w:rsidR="00C56D53">
        <w:rPr>
          <w:rFonts w:ascii="Arial" w:hAnsi="Arial" w:cs="Arial"/>
          <w:sz w:val="24"/>
          <w:szCs w:val="24"/>
        </w:rPr>
        <w:t>ethics is defined as theories</w:t>
      </w:r>
      <w:r w:rsidR="00C56D53">
        <w:rPr>
          <w:rFonts w:ascii="Georgia" w:hAnsi="Georgia"/>
          <w:color w:val="1A1A1A"/>
          <w:sz w:val="27"/>
          <w:szCs w:val="27"/>
          <w:shd w:val="clear" w:color="auto" w:fill="FFFFFF"/>
        </w:rPr>
        <w:t xml:space="preserve"> </w:t>
      </w:r>
      <w:r w:rsidR="00C56D53" w:rsidRPr="00C56D53">
        <w:rPr>
          <w:rFonts w:ascii="Arial" w:hAnsi="Arial" w:cs="Arial"/>
          <w:color w:val="1A1A1A"/>
          <w:sz w:val="24"/>
          <w:szCs w:val="24"/>
          <w:shd w:val="clear" w:color="auto" w:fill="FFFFFF"/>
        </w:rPr>
        <w:t>that place speci</w:t>
      </w:r>
      <w:r w:rsidR="00C56D53">
        <w:rPr>
          <w:rFonts w:ascii="Arial" w:hAnsi="Arial" w:cs="Arial"/>
          <w:color w:val="1A1A1A"/>
          <w:sz w:val="24"/>
          <w:szCs w:val="24"/>
          <w:shd w:val="clear" w:color="auto" w:fill="FFFFFF"/>
        </w:rPr>
        <w:t xml:space="preserve">al emphasis on the relationship </w:t>
      </w:r>
      <w:r w:rsidR="00C56D53" w:rsidRPr="00C56D53">
        <w:rPr>
          <w:rFonts w:ascii="Arial" w:hAnsi="Arial" w:cs="Arial"/>
          <w:color w:val="1A1A1A"/>
          <w:sz w:val="24"/>
          <w:szCs w:val="24"/>
          <w:shd w:val="clear" w:color="auto" w:fill="FFFFFF"/>
        </w:rPr>
        <w:t>between duty and the </w:t>
      </w:r>
      <w:hyperlink r:id="rId6" w:history="1">
        <w:r w:rsidR="00C56D53" w:rsidRPr="00C56D53">
          <w:rPr>
            <w:rStyle w:val="Hyperlink"/>
            <w:rFonts w:ascii="Arial" w:hAnsi="Arial" w:cs="Arial"/>
            <w:color w:val="auto"/>
            <w:sz w:val="24"/>
            <w:szCs w:val="24"/>
            <w:u w:val="none"/>
            <w:shd w:val="clear" w:color="auto" w:fill="FFFFFF"/>
          </w:rPr>
          <w:t>morality</w:t>
        </w:r>
      </w:hyperlink>
      <w:r w:rsidR="00C56D53" w:rsidRPr="00C56D53">
        <w:rPr>
          <w:rFonts w:ascii="Arial" w:hAnsi="Arial" w:cs="Arial"/>
          <w:sz w:val="24"/>
          <w:szCs w:val="24"/>
          <w:shd w:val="clear" w:color="auto" w:fill="FFFFFF"/>
        </w:rPr>
        <w:t> </w:t>
      </w:r>
      <w:r w:rsidR="00C56D53">
        <w:rPr>
          <w:rFonts w:ascii="Arial" w:hAnsi="Arial" w:cs="Arial"/>
          <w:color w:val="1A1A1A"/>
          <w:sz w:val="24"/>
          <w:szCs w:val="24"/>
          <w:shd w:val="clear" w:color="auto" w:fill="FFFFFF"/>
        </w:rPr>
        <w:t xml:space="preserve">of human actions (Britannica 2020).  In other words, to have a moral obligation to do </w:t>
      </w:r>
      <w:r w:rsidR="001B4D91">
        <w:rPr>
          <w:rFonts w:ascii="Arial" w:hAnsi="Arial" w:cs="Arial"/>
          <w:color w:val="1A1A1A"/>
          <w:sz w:val="24"/>
          <w:szCs w:val="24"/>
          <w:shd w:val="clear" w:color="auto" w:fill="FFFFFF"/>
        </w:rPr>
        <w:t>good</w:t>
      </w:r>
      <w:r w:rsidR="00C56D53">
        <w:rPr>
          <w:rFonts w:ascii="Arial" w:hAnsi="Arial" w:cs="Arial"/>
          <w:color w:val="1A1A1A"/>
          <w:sz w:val="24"/>
          <w:szCs w:val="24"/>
          <w:shd w:val="clear" w:color="auto" w:fill="FFFFFF"/>
        </w:rPr>
        <w:t xml:space="preserve"> for the greater good.  For instance to kill 1 bear to save the entire campground, or to kill an intruder that breaks into your home and threatens your family, to save your family.  There are a lot of instances that fall under this category of ethics and today I’m going to discuss an example.</w:t>
      </w:r>
    </w:p>
    <w:p w:rsidR="001B4D91" w:rsidRDefault="001B4D91" w:rsidP="00DE675F">
      <w:pPr>
        <w:spacing w:line="480" w:lineRule="auto"/>
        <w:ind w:firstLine="720"/>
        <w:rPr>
          <w:rFonts w:ascii="Arial" w:hAnsi="Arial" w:cs="Arial"/>
          <w:color w:val="1A1A1A"/>
          <w:sz w:val="24"/>
          <w:szCs w:val="24"/>
          <w:shd w:val="clear" w:color="auto" w:fill="FFFFFF"/>
        </w:rPr>
      </w:pPr>
      <w:r>
        <w:rPr>
          <w:rFonts w:ascii="Arial" w:hAnsi="Arial" w:cs="Arial"/>
          <w:color w:val="1A1A1A"/>
          <w:sz w:val="24"/>
          <w:szCs w:val="24"/>
          <w:shd w:val="clear" w:color="auto" w:fill="FFFFFF"/>
        </w:rPr>
        <w:t xml:space="preserve">As a healthcare provider, you have a moral obligation to care for and help patients. This is especially true when you have a patient that has multiple comorbidities.  Meaning they have multiple issues that can contribute to one or more of their diagnoses.  It is hard to treat multiple diagnoses with just one provider, a team is formed to take on the patient’s medical history and to provide care at every level.  Specialists are also involved.  With that being said, because you have a team taking care of you while you are dealing with some type of illness in the hospital, does not always mean they are providing the best possible care.  </w:t>
      </w:r>
    </w:p>
    <w:p w:rsidR="005C7196" w:rsidRDefault="005C7196" w:rsidP="00DE675F">
      <w:pPr>
        <w:spacing w:line="480" w:lineRule="auto"/>
        <w:ind w:firstLine="720"/>
        <w:rPr>
          <w:rFonts w:ascii="Arial" w:hAnsi="Arial" w:cs="Arial"/>
          <w:color w:val="1A1A1A"/>
          <w:sz w:val="24"/>
          <w:szCs w:val="24"/>
          <w:shd w:val="clear" w:color="auto" w:fill="FFFFFF"/>
        </w:rPr>
      </w:pPr>
      <w:r>
        <w:rPr>
          <w:rFonts w:ascii="Arial" w:hAnsi="Arial" w:cs="Arial"/>
          <w:color w:val="1A1A1A"/>
          <w:sz w:val="24"/>
          <w:szCs w:val="24"/>
          <w:shd w:val="clear" w:color="auto" w:fill="FFFFFF"/>
        </w:rPr>
        <w:t xml:space="preserve">A 64-year-old patient arrives at the hospital complaining of shortness of breath.  Upon further evaluation, the patient has a history of COPD and seizures.  The physician did think the patient may have a respiratory infection since his COPD was flaring up and causing him shortness of breath.  The physician ordered a chest x-ray.  He also decided to admit the patient to treat his infection.  He runs a battery of blood work and gives him medication to help him breathe easier.  The physician forgets to order prophylactic anticoagulants for the patient.  </w:t>
      </w:r>
      <w:r w:rsidR="00C92EF3">
        <w:rPr>
          <w:rFonts w:ascii="Arial" w:hAnsi="Arial" w:cs="Arial"/>
          <w:color w:val="1A1A1A"/>
          <w:sz w:val="24"/>
          <w:szCs w:val="24"/>
          <w:shd w:val="clear" w:color="auto" w:fill="FFFFFF"/>
        </w:rPr>
        <w:t xml:space="preserve">How does this happen?  There are processes in place to </w:t>
      </w:r>
      <w:r w:rsidR="00C92EF3">
        <w:rPr>
          <w:rFonts w:ascii="Arial" w:hAnsi="Arial" w:cs="Arial"/>
          <w:color w:val="1A1A1A"/>
          <w:sz w:val="24"/>
          <w:szCs w:val="24"/>
          <w:shd w:val="clear" w:color="auto" w:fill="FFFFFF"/>
        </w:rPr>
        <w:lastRenderedPageBreak/>
        <w:t xml:space="preserve">make sure the patient </w:t>
      </w:r>
      <w:r w:rsidR="00B62776">
        <w:rPr>
          <w:rFonts w:ascii="Arial" w:hAnsi="Arial" w:cs="Arial"/>
          <w:color w:val="1A1A1A"/>
          <w:sz w:val="24"/>
          <w:szCs w:val="24"/>
          <w:shd w:val="clear" w:color="auto" w:fill="FFFFFF"/>
        </w:rPr>
        <w:t>receives the correct type of treatment.  The provider was careless and not attentive to the patient’s medical history.</w:t>
      </w:r>
    </w:p>
    <w:p w:rsidR="00C92EF3" w:rsidRDefault="002605EE" w:rsidP="00DE675F">
      <w:pPr>
        <w:spacing w:line="480" w:lineRule="auto"/>
        <w:ind w:firstLine="720"/>
        <w:rPr>
          <w:rFonts w:ascii="Arial" w:hAnsi="Arial" w:cs="Arial"/>
          <w:color w:val="1A1A1A"/>
          <w:sz w:val="24"/>
          <w:szCs w:val="24"/>
          <w:shd w:val="clear" w:color="auto" w:fill="FFFFFF"/>
        </w:rPr>
      </w:pPr>
      <w:r>
        <w:rPr>
          <w:rFonts w:ascii="Arial" w:hAnsi="Arial" w:cs="Arial"/>
          <w:color w:val="1A1A1A"/>
          <w:sz w:val="24"/>
          <w:szCs w:val="24"/>
          <w:shd w:val="clear" w:color="auto" w:fill="FFFFFF"/>
        </w:rPr>
        <w:t xml:space="preserve">The patient is at high risk for blood clots.  The physician never ordered his prophylactic anticoagulants to help prevent the blood clot that showed up in the patient’s leg on the third day of admission.  What happened that the provider clearly missed protocol?  </w:t>
      </w:r>
    </w:p>
    <w:p w:rsidR="00634289" w:rsidRDefault="002605EE" w:rsidP="00DE675F">
      <w:pPr>
        <w:spacing w:line="480" w:lineRule="auto"/>
        <w:ind w:firstLine="720"/>
        <w:rPr>
          <w:rFonts w:ascii="Arial" w:hAnsi="Arial" w:cs="Arial"/>
          <w:color w:val="1A1A1A"/>
          <w:sz w:val="24"/>
          <w:szCs w:val="24"/>
          <w:shd w:val="clear" w:color="auto" w:fill="FFFFFF"/>
        </w:rPr>
      </w:pPr>
      <w:r>
        <w:rPr>
          <w:rFonts w:ascii="Arial" w:hAnsi="Arial" w:cs="Arial"/>
          <w:color w:val="1A1A1A"/>
          <w:sz w:val="24"/>
          <w:szCs w:val="24"/>
          <w:shd w:val="clear" w:color="auto" w:fill="FFFFFF"/>
        </w:rPr>
        <w:t xml:space="preserve">The patient has multiple medical diagnoses and the provider simply did not order the anticoagulants.  The patient was then started on </w:t>
      </w:r>
      <w:r w:rsidR="00C35C35">
        <w:rPr>
          <w:rFonts w:ascii="Arial" w:hAnsi="Arial" w:cs="Arial"/>
          <w:color w:val="1A1A1A"/>
          <w:sz w:val="24"/>
          <w:szCs w:val="24"/>
          <w:shd w:val="clear" w:color="auto" w:fill="FFFFFF"/>
        </w:rPr>
        <w:t xml:space="preserve">IV </w:t>
      </w:r>
      <w:r>
        <w:rPr>
          <w:rFonts w:ascii="Arial" w:hAnsi="Arial" w:cs="Arial"/>
          <w:color w:val="1A1A1A"/>
          <w:sz w:val="24"/>
          <w:szCs w:val="24"/>
          <w:shd w:val="clear" w:color="auto" w:fill="FFFFFF"/>
        </w:rPr>
        <w:t>anticoagulants in the hospital as he was told he would be admitted f</w:t>
      </w:r>
      <w:r w:rsidR="00C35C35">
        <w:rPr>
          <w:rFonts w:ascii="Arial" w:hAnsi="Arial" w:cs="Arial"/>
          <w:color w:val="1A1A1A"/>
          <w:sz w:val="24"/>
          <w:szCs w:val="24"/>
          <w:shd w:val="clear" w:color="auto" w:fill="FFFFFF"/>
        </w:rPr>
        <w:t>or an even longer stay now.  The patient was found on the floor the next morning and it was determined that his seizure medication</w:t>
      </w:r>
      <w:r w:rsidR="00634289">
        <w:rPr>
          <w:rFonts w:ascii="Arial" w:hAnsi="Arial" w:cs="Arial"/>
          <w:color w:val="1A1A1A"/>
          <w:sz w:val="24"/>
          <w:szCs w:val="24"/>
          <w:shd w:val="clear" w:color="auto" w:fill="FFFFFF"/>
        </w:rPr>
        <w:t xml:space="preserve"> was not given the day before, because it was not available in the automatic medication dispensing system and they simply forgot/didn’t give it to him.  This could have had dire consequences as the patient could have fallen and hit his head, had a heart attack the list goes on and on.</w:t>
      </w:r>
      <w:r w:rsidR="00C92EF3">
        <w:rPr>
          <w:rFonts w:ascii="Arial" w:hAnsi="Arial" w:cs="Arial"/>
          <w:color w:val="1A1A1A"/>
          <w:sz w:val="24"/>
          <w:szCs w:val="24"/>
          <w:shd w:val="clear" w:color="auto" w:fill="FFFFFF"/>
        </w:rPr>
        <w:t xml:space="preserve">  This could’ve meant permanent repercussions for the patient and the hospital.  </w:t>
      </w:r>
    </w:p>
    <w:p w:rsidR="00C92EF3" w:rsidRDefault="00C92EF3" w:rsidP="00DE675F">
      <w:pPr>
        <w:spacing w:line="480" w:lineRule="auto"/>
        <w:ind w:firstLine="720"/>
        <w:rPr>
          <w:rFonts w:ascii="Arial" w:hAnsi="Arial" w:cs="Arial"/>
          <w:color w:val="1A1A1A"/>
          <w:sz w:val="24"/>
          <w:szCs w:val="24"/>
          <w:shd w:val="clear" w:color="auto" w:fill="FFFFFF"/>
        </w:rPr>
      </w:pPr>
      <w:r>
        <w:rPr>
          <w:rFonts w:ascii="Arial" w:hAnsi="Arial" w:cs="Arial"/>
          <w:color w:val="1A1A1A"/>
          <w:sz w:val="24"/>
          <w:szCs w:val="24"/>
          <w:shd w:val="clear" w:color="auto" w:fill="FFFFFF"/>
        </w:rPr>
        <w:t>Deontology ethics uses rules to distinguish what’</w:t>
      </w:r>
      <w:r w:rsidR="00C52027">
        <w:rPr>
          <w:rFonts w:ascii="Arial" w:hAnsi="Arial" w:cs="Arial"/>
          <w:color w:val="1A1A1A"/>
          <w:sz w:val="24"/>
          <w:szCs w:val="24"/>
          <w:shd w:val="clear" w:color="auto" w:fill="FFFFFF"/>
        </w:rPr>
        <w:t>s right and wrong.</w:t>
      </w:r>
      <w:r w:rsidR="00F203EB">
        <w:rPr>
          <w:rFonts w:ascii="Arial" w:hAnsi="Arial" w:cs="Arial"/>
          <w:color w:val="1A1A1A"/>
          <w:sz w:val="24"/>
          <w:szCs w:val="24"/>
          <w:shd w:val="clear" w:color="auto" w:fill="FFFFFF"/>
        </w:rPr>
        <w:t xml:space="preserve">  The </w:t>
      </w:r>
      <w:r w:rsidR="00074B89">
        <w:rPr>
          <w:rFonts w:ascii="Arial" w:hAnsi="Arial" w:cs="Arial"/>
          <w:color w:val="1A1A1A"/>
          <w:sz w:val="24"/>
          <w:szCs w:val="24"/>
          <w:shd w:val="clear" w:color="auto" w:fill="FFFFFF"/>
        </w:rPr>
        <w:t>Greek</w:t>
      </w:r>
      <w:r w:rsidR="00F203EB">
        <w:rPr>
          <w:rFonts w:ascii="Arial" w:hAnsi="Arial" w:cs="Arial"/>
          <w:color w:val="1A1A1A"/>
          <w:sz w:val="24"/>
          <w:szCs w:val="24"/>
          <w:shd w:val="clear" w:color="auto" w:fill="FFFFFF"/>
        </w:rPr>
        <w:t xml:space="preserve"> word “deon”</w:t>
      </w:r>
      <w:r w:rsidR="00AC5A13">
        <w:rPr>
          <w:rFonts w:ascii="Arial" w:hAnsi="Arial" w:cs="Arial"/>
          <w:color w:val="1A1A1A"/>
          <w:sz w:val="24"/>
          <w:szCs w:val="24"/>
          <w:shd w:val="clear" w:color="auto" w:fill="FFFFFF"/>
        </w:rPr>
        <w:t xml:space="preserve"> means duty</w:t>
      </w:r>
      <w:r w:rsidR="00F3159B">
        <w:rPr>
          <w:rFonts w:ascii="Arial" w:hAnsi="Arial" w:cs="Arial"/>
          <w:color w:val="1A1A1A"/>
          <w:sz w:val="24"/>
          <w:szCs w:val="24"/>
          <w:shd w:val="clear" w:color="auto" w:fill="FFFFFF"/>
        </w:rPr>
        <w:t xml:space="preserve"> (Ethics, 2016)</w:t>
      </w:r>
      <w:r w:rsidR="00AC5A13">
        <w:rPr>
          <w:rFonts w:ascii="Arial" w:hAnsi="Arial" w:cs="Arial"/>
          <w:color w:val="1A1A1A"/>
          <w:sz w:val="24"/>
          <w:szCs w:val="24"/>
          <w:shd w:val="clear" w:color="auto" w:fill="FFFFFF"/>
        </w:rPr>
        <w:t>.  These providers had a “duty” and obligation to this patient and made negligent and careless mistakes.  Luckily, their errors did not cause any bodily harm and the patient was</w:t>
      </w:r>
      <w:r w:rsidR="00074B89">
        <w:rPr>
          <w:rFonts w:ascii="Arial" w:hAnsi="Arial" w:cs="Arial"/>
          <w:color w:val="1A1A1A"/>
          <w:sz w:val="24"/>
          <w:szCs w:val="24"/>
          <w:shd w:val="clear" w:color="auto" w:fill="FFFFFF"/>
        </w:rPr>
        <w:t xml:space="preserve"> only</w:t>
      </w:r>
      <w:r w:rsidR="00AC5A13">
        <w:rPr>
          <w:rFonts w:ascii="Arial" w:hAnsi="Arial" w:cs="Arial"/>
          <w:color w:val="1A1A1A"/>
          <w:sz w:val="24"/>
          <w:szCs w:val="24"/>
          <w:shd w:val="clear" w:color="auto" w:fill="FFFFFF"/>
        </w:rPr>
        <w:t xml:space="preserve"> burdened with having an extended stay at the hospital when he should have only been there a couple of days.  </w:t>
      </w:r>
      <w:r w:rsidR="00074B89">
        <w:rPr>
          <w:rFonts w:ascii="Arial" w:hAnsi="Arial" w:cs="Arial"/>
          <w:color w:val="1A1A1A"/>
          <w:sz w:val="24"/>
          <w:szCs w:val="24"/>
          <w:shd w:val="clear" w:color="auto" w:fill="FFFFFF"/>
        </w:rPr>
        <w:t>This is reckless, and the providers involved should have had disciplinary action so that this does not happen to another patient who could have had consequences that are even worse!</w:t>
      </w:r>
    </w:p>
    <w:p w:rsidR="00C35C35" w:rsidRDefault="00C35C35" w:rsidP="007E4320">
      <w:pPr>
        <w:spacing w:line="480" w:lineRule="auto"/>
        <w:rPr>
          <w:rFonts w:ascii="Arial" w:hAnsi="Arial" w:cs="Arial"/>
          <w:color w:val="1A1A1A"/>
          <w:sz w:val="24"/>
          <w:szCs w:val="24"/>
          <w:shd w:val="clear" w:color="auto" w:fill="FFFFFF"/>
        </w:rPr>
      </w:pPr>
    </w:p>
    <w:p w:rsidR="00074B89" w:rsidRPr="00074B89" w:rsidRDefault="00074B89" w:rsidP="00074B89">
      <w:pPr>
        <w:spacing w:after="0" w:line="480" w:lineRule="auto"/>
        <w:ind w:firstLine="720"/>
        <w:jc w:val="center"/>
        <w:rPr>
          <w:rFonts w:ascii="Times New Roman" w:eastAsia="Times New Roman" w:hAnsi="Times New Roman" w:cs="Times New Roman"/>
          <w:sz w:val="24"/>
          <w:szCs w:val="24"/>
        </w:rPr>
      </w:pPr>
      <w:r w:rsidRPr="00074B89">
        <w:rPr>
          <w:rFonts w:ascii="Times New Roman" w:eastAsia="Times New Roman" w:hAnsi="Times New Roman" w:cs="Times New Roman"/>
          <w:sz w:val="24"/>
          <w:szCs w:val="24"/>
        </w:rPr>
        <w:t>Annotated Bibliography</w:t>
      </w:r>
    </w:p>
    <w:p w:rsidR="00074B89" w:rsidRPr="00074B89" w:rsidRDefault="00074B89" w:rsidP="00074B89">
      <w:pPr>
        <w:spacing w:after="0" w:line="480" w:lineRule="auto"/>
        <w:ind w:left="720" w:hanging="720"/>
        <w:jc w:val="center"/>
        <w:rPr>
          <w:rFonts w:ascii="Times New Roman" w:eastAsia="Times New Roman" w:hAnsi="Times New Roman" w:cs="Times New Roman"/>
          <w:sz w:val="24"/>
          <w:szCs w:val="24"/>
        </w:rPr>
      </w:pPr>
    </w:p>
    <w:p w:rsidR="00074B89" w:rsidRPr="00074B89" w:rsidRDefault="00074B89" w:rsidP="00074B89">
      <w:pPr>
        <w:spacing w:after="0" w:line="480" w:lineRule="auto"/>
        <w:ind w:firstLine="720"/>
        <w:rPr>
          <w:rFonts w:ascii="Times New Roman" w:eastAsia="Times New Roman" w:hAnsi="Times New Roman" w:cs="Times New Roman"/>
          <w:color w:val="0563C1" w:themeColor="hyperlink"/>
          <w:sz w:val="24"/>
          <w:szCs w:val="24"/>
          <w:u w:val="single"/>
        </w:rPr>
      </w:pPr>
      <w:r w:rsidRPr="00074B89">
        <w:rPr>
          <w:rFonts w:ascii="Times New Roman" w:eastAsia="Times New Roman" w:hAnsi="Times New Roman" w:cs="Times New Roman"/>
          <w:sz w:val="24"/>
          <w:szCs w:val="24"/>
        </w:rPr>
        <w:t xml:space="preserve">Avgerinos, E. A. (2022). </w:t>
      </w:r>
      <w:r w:rsidRPr="00074B89">
        <w:rPr>
          <w:rFonts w:ascii="Times New Roman" w:eastAsia="Times New Roman" w:hAnsi="Times New Roman" w:cs="Times New Roman"/>
          <w:i/>
          <w:iCs/>
          <w:sz w:val="24"/>
          <w:szCs w:val="24"/>
        </w:rPr>
        <w:t>Thrombolytic Therapy | Society for Vascular Surgery</w:t>
      </w:r>
      <w:r w:rsidRPr="00074B89">
        <w:rPr>
          <w:rFonts w:ascii="Times New Roman" w:eastAsia="Times New Roman" w:hAnsi="Times New Roman" w:cs="Times New Roman"/>
          <w:sz w:val="24"/>
          <w:szCs w:val="24"/>
        </w:rPr>
        <w:t xml:space="preserve">. Society for Vascular Surgery. Retrieved April 2, 2022, from </w:t>
      </w:r>
      <w:hyperlink r:id="rId7" w:history="1">
        <w:r w:rsidRPr="00074B89">
          <w:rPr>
            <w:rFonts w:ascii="Times New Roman" w:eastAsia="Times New Roman" w:hAnsi="Times New Roman" w:cs="Times New Roman"/>
            <w:color w:val="0563C1" w:themeColor="hyperlink"/>
            <w:sz w:val="24"/>
            <w:szCs w:val="24"/>
            <w:u w:val="single"/>
          </w:rPr>
          <w:t>https://vascular.org/patients-and-referring-physicians/conditions/thrombolytic-therapy</w:t>
        </w:r>
      </w:hyperlink>
    </w:p>
    <w:p w:rsidR="00074B89" w:rsidRPr="00074B89" w:rsidRDefault="00074B89" w:rsidP="00074B89"/>
    <w:p w:rsidR="00074B89" w:rsidRPr="00074B89" w:rsidRDefault="00074B89" w:rsidP="00074B89">
      <w:pPr>
        <w:ind w:firstLine="720"/>
        <w:rPr>
          <w:rFonts w:ascii="Times New Roman" w:hAnsi="Times New Roman" w:cs="Times New Roman"/>
          <w:i/>
          <w:iCs/>
          <w:color w:val="1A1A1A"/>
          <w:sz w:val="24"/>
          <w:szCs w:val="24"/>
          <w:shd w:val="clear" w:color="auto" w:fill="FFFFFF"/>
        </w:rPr>
      </w:pPr>
      <w:r w:rsidRPr="00074B89">
        <w:rPr>
          <w:rFonts w:ascii="Times New Roman" w:hAnsi="Times New Roman" w:cs="Times New Roman"/>
          <w:color w:val="1A1A1A"/>
          <w:sz w:val="24"/>
          <w:szCs w:val="24"/>
          <w:shd w:val="clear" w:color="auto" w:fill="FFFFFF"/>
        </w:rPr>
        <w:t>Britannica, T. Editors of Encyclopaedia (2020, May 21). </w:t>
      </w:r>
      <w:r w:rsidRPr="00074B89">
        <w:rPr>
          <w:rFonts w:ascii="Times New Roman" w:hAnsi="Times New Roman" w:cs="Times New Roman"/>
          <w:i/>
          <w:iCs/>
          <w:color w:val="1A1A1A"/>
          <w:sz w:val="24"/>
          <w:szCs w:val="24"/>
          <w:shd w:val="clear" w:color="auto" w:fill="FFFFFF"/>
        </w:rPr>
        <w:t xml:space="preserve">deontological </w:t>
      </w:r>
    </w:p>
    <w:p w:rsidR="00074B89" w:rsidRDefault="00074B89" w:rsidP="00074B89">
      <w:pPr>
        <w:rPr>
          <w:rFonts w:ascii="Times New Roman" w:hAnsi="Times New Roman" w:cs="Times New Roman"/>
          <w:color w:val="034990" w:themeColor="hyperlink" w:themeShade="BF"/>
          <w:sz w:val="24"/>
          <w:szCs w:val="24"/>
          <w:u w:val="single"/>
          <w:shd w:val="clear" w:color="auto" w:fill="FFFFFF"/>
        </w:rPr>
      </w:pPr>
      <w:r w:rsidRPr="00074B89">
        <w:rPr>
          <w:rFonts w:ascii="Times New Roman" w:hAnsi="Times New Roman" w:cs="Times New Roman"/>
          <w:i/>
          <w:iCs/>
          <w:color w:val="1A1A1A"/>
          <w:sz w:val="24"/>
          <w:szCs w:val="24"/>
          <w:shd w:val="clear" w:color="auto" w:fill="FFFFFF"/>
        </w:rPr>
        <w:t>ethics</w:t>
      </w:r>
      <w:r w:rsidRPr="00074B89">
        <w:rPr>
          <w:rFonts w:ascii="Times New Roman" w:hAnsi="Times New Roman" w:cs="Times New Roman"/>
          <w:color w:val="1A1A1A"/>
          <w:sz w:val="24"/>
          <w:szCs w:val="24"/>
          <w:shd w:val="clear" w:color="auto" w:fill="FFFFFF"/>
        </w:rPr>
        <w:t>. </w:t>
      </w:r>
      <w:r w:rsidRPr="00074B89">
        <w:rPr>
          <w:rFonts w:ascii="Times New Roman" w:hAnsi="Times New Roman" w:cs="Times New Roman"/>
          <w:i/>
          <w:iCs/>
          <w:color w:val="1A1A1A"/>
          <w:sz w:val="24"/>
          <w:szCs w:val="24"/>
          <w:shd w:val="clear" w:color="auto" w:fill="FFFFFF"/>
        </w:rPr>
        <w:t>Encyclopedia Britannica</w:t>
      </w:r>
      <w:r w:rsidRPr="00074B89">
        <w:rPr>
          <w:rFonts w:ascii="Times New Roman" w:hAnsi="Times New Roman" w:cs="Times New Roman"/>
          <w:color w:val="1A1A1A"/>
          <w:sz w:val="24"/>
          <w:szCs w:val="24"/>
          <w:shd w:val="clear" w:color="auto" w:fill="FFFFFF"/>
        </w:rPr>
        <w:t xml:space="preserve">. </w:t>
      </w:r>
      <w:hyperlink r:id="rId8" w:history="1">
        <w:r w:rsidRPr="00074B89">
          <w:rPr>
            <w:rFonts w:ascii="Times New Roman" w:hAnsi="Times New Roman" w:cs="Times New Roman"/>
            <w:color w:val="034990" w:themeColor="hyperlink" w:themeShade="BF"/>
            <w:sz w:val="24"/>
            <w:szCs w:val="24"/>
            <w:u w:val="single"/>
            <w:shd w:val="clear" w:color="auto" w:fill="FFFFFF"/>
          </w:rPr>
          <w:t>https://www.britannica.com/topic/deontological-ethics</w:t>
        </w:r>
      </w:hyperlink>
    </w:p>
    <w:p w:rsidR="00F3159B" w:rsidRDefault="00F3159B" w:rsidP="00F3159B">
      <w:pPr>
        <w:pStyle w:val="NormalWeb"/>
        <w:spacing w:before="0" w:beforeAutospacing="0" w:after="0" w:afterAutospacing="0" w:line="480" w:lineRule="auto"/>
        <w:ind w:left="720" w:hanging="720"/>
        <w:rPr>
          <w:i/>
          <w:iCs/>
        </w:rPr>
      </w:pPr>
    </w:p>
    <w:p w:rsidR="00F3159B" w:rsidRDefault="00F3159B" w:rsidP="00F3159B">
      <w:pPr>
        <w:pStyle w:val="NormalWeb"/>
        <w:spacing w:before="0" w:beforeAutospacing="0" w:after="0" w:afterAutospacing="0" w:line="480" w:lineRule="auto"/>
        <w:ind w:left="720" w:hanging="720"/>
      </w:pPr>
      <w:r>
        <w:rPr>
          <w:i/>
          <w:iCs/>
        </w:rPr>
        <w:t>Ethics Explainer: Deontology</w:t>
      </w:r>
      <w:r>
        <w:t xml:space="preserve">. (2016, February 18). Https://Ethics.Org.Au/. Retrieved April 14, 2022, from </w:t>
      </w:r>
      <w:r w:rsidRPr="00F3159B">
        <w:rPr>
          <w:i/>
          <w:color w:val="2E74B5" w:themeColor="accent1" w:themeShade="BF"/>
          <w:u w:val="single"/>
        </w:rPr>
        <w:t>https://ethics.org.au/ethics-explainer-deontology/</w:t>
      </w:r>
    </w:p>
    <w:p w:rsidR="00F3159B" w:rsidRDefault="00F3159B" w:rsidP="00F3159B">
      <w:pPr>
        <w:shd w:val="clear" w:color="auto" w:fill="FFFFFF"/>
        <w:rPr>
          <w:rFonts w:ascii="Times New Roman" w:hAnsi="Times New Roman" w:cs="Times New Roman"/>
          <w:color w:val="034990" w:themeColor="hyperlink" w:themeShade="BF"/>
          <w:sz w:val="24"/>
          <w:szCs w:val="24"/>
          <w:u w:val="single"/>
          <w:shd w:val="clear" w:color="auto" w:fill="FFFFFF"/>
        </w:rPr>
      </w:pPr>
    </w:p>
    <w:p w:rsidR="00074B89" w:rsidRPr="00074B89" w:rsidRDefault="00074B89" w:rsidP="00F3159B">
      <w:pPr>
        <w:shd w:val="clear" w:color="auto" w:fill="FFFFFF"/>
        <w:ind w:firstLine="720"/>
        <w:rPr>
          <w:rFonts w:ascii="Arial" w:eastAsia="Times New Roman" w:hAnsi="Arial" w:cs="Arial"/>
          <w:color w:val="202F66"/>
          <w:sz w:val="24"/>
          <w:szCs w:val="24"/>
        </w:rPr>
      </w:pPr>
      <w:r w:rsidRPr="00074B89">
        <w:rPr>
          <w:rFonts w:ascii="Times New Roman" w:eastAsia="Times New Roman" w:hAnsi="Times New Roman" w:cs="Times New Roman"/>
          <w:sz w:val="24"/>
          <w:szCs w:val="24"/>
        </w:rPr>
        <w:t xml:space="preserve">Mayo Clinic. (2020, December 22). </w:t>
      </w:r>
      <w:r w:rsidRPr="00074B89">
        <w:rPr>
          <w:rFonts w:ascii="Times New Roman" w:eastAsia="Times New Roman" w:hAnsi="Times New Roman" w:cs="Times New Roman"/>
          <w:i/>
          <w:iCs/>
          <w:sz w:val="24"/>
          <w:szCs w:val="24"/>
        </w:rPr>
        <w:t>Deep Vein Thrombosis (DVT)</w:t>
      </w:r>
      <w:r w:rsidRPr="00074B89">
        <w:rPr>
          <w:rFonts w:ascii="Times New Roman" w:eastAsia="Times New Roman" w:hAnsi="Times New Roman" w:cs="Times New Roman"/>
          <w:sz w:val="24"/>
          <w:szCs w:val="24"/>
        </w:rPr>
        <w:t xml:space="preserve">. Retrieved April 2, 2022, from </w:t>
      </w:r>
      <w:hyperlink r:id="rId9" w:history="1">
        <w:r w:rsidRPr="00074B89">
          <w:rPr>
            <w:rFonts w:ascii="Times New Roman" w:eastAsia="Times New Roman" w:hAnsi="Times New Roman" w:cs="Times New Roman"/>
            <w:color w:val="0563C1" w:themeColor="hyperlink"/>
            <w:sz w:val="24"/>
            <w:szCs w:val="24"/>
            <w:u w:val="single"/>
          </w:rPr>
          <w:t>https://www.mayoclinic.org/diseases-conditions/deep-vein-thrombosis/symptoms-causes/syc-20352557</w:t>
        </w:r>
      </w:hyperlink>
    </w:p>
    <w:p w:rsidR="001B4D91" w:rsidRDefault="001B4D91" w:rsidP="00C56D53">
      <w:pPr>
        <w:rPr>
          <w:rFonts w:ascii="Arial" w:hAnsi="Arial" w:cs="Arial"/>
          <w:color w:val="1A1A1A"/>
          <w:sz w:val="24"/>
          <w:szCs w:val="24"/>
          <w:shd w:val="clear" w:color="auto" w:fill="FFFFFF"/>
        </w:rPr>
      </w:pPr>
    </w:p>
    <w:p w:rsidR="001B4D91" w:rsidRDefault="001B4D91" w:rsidP="00C56D53">
      <w:pPr>
        <w:rPr>
          <w:rFonts w:ascii="Arial" w:hAnsi="Arial" w:cs="Arial"/>
          <w:color w:val="1A1A1A"/>
          <w:sz w:val="24"/>
          <w:szCs w:val="24"/>
          <w:shd w:val="clear" w:color="auto" w:fill="FFFFFF"/>
        </w:rPr>
      </w:pPr>
    </w:p>
    <w:p w:rsidR="001B4D91" w:rsidRDefault="001B4D91" w:rsidP="00C56D53">
      <w:pPr>
        <w:rPr>
          <w:rFonts w:ascii="Arial" w:hAnsi="Arial" w:cs="Arial"/>
          <w:color w:val="1A1A1A"/>
          <w:sz w:val="24"/>
          <w:szCs w:val="24"/>
          <w:shd w:val="clear" w:color="auto" w:fill="FFFFFF"/>
        </w:rPr>
      </w:pPr>
    </w:p>
    <w:p w:rsidR="001B4D91" w:rsidRDefault="001B4D91" w:rsidP="00C56D53">
      <w:pPr>
        <w:rPr>
          <w:rFonts w:ascii="Arial" w:hAnsi="Arial" w:cs="Arial"/>
          <w:color w:val="1A1A1A"/>
          <w:sz w:val="24"/>
          <w:szCs w:val="24"/>
          <w:shd w:val="clear" w:color="auto" w:fill="FFFFFF"/>
        </w:rPr>
      </w:pPr>
    </w:p>
    <w:p w:rsidR="00C56D53" w:rsidRPr="00EB37B2" w:rsidRDefault="00C56D53" w:rsidP="00C56D53">
      <w:pPr>
        <w:rPr>
          <w:rFonts w:ascii="Arial" w:hAnsi="Arial" w:cs="Arial"/>
          <w:color w:val="BDC1C6"/>
          <w:sz w:val="24"/>
          <w:szCs w:val="24"/>
          <w:shd w:val="clear" w:color="auto" w:fill="202124"/>
        </w:rPr>
      </w:pPr>
    </w:p>
    <w:p w:rsidR="00EB37B2" w:rsidRDefault="00EB37B2" w:rsidP="00EB37B2">
      <w:pPr>
        <w:jc w:val="center"/>
      </w:pPr>
    </w:p>
    <w:sectPr w:rsidR="00EB37B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3159B" w:rsidRDefault="00F3159B" w:rsidP="007E4320">
      <w:pPr>
        <w:spacing w:after="0" w:line="240" w:lineRule="auto"/>
      </w:pPr>
      <w:r>
        <w:separator/>
      </w:r>
    </w:p>
  </w:endnote>
  <w:endnote w:type="continuationSeparator" w:id="0">
    <w:p w:rsidR="00F3159B" w:rsidRDefault="00F3159B" w:rsidP="007E43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3159B" w:rsidRDefault="00F3159B" w:rsidP="007E4320">
      <w:pPr>
        <w:spacing w:after="0" w:line="240" w:lineRule="auto"/>
      </w:pPr>
      <w:r>
        <w:separator/>
      </w:r>
    </w:p>
  </w:footnote>
  <w:footnote w:type="continuationSeparator" w:id="0">
    <w:p w:rsidR="00F3159B" w:rsidRDefault="00F3159B" w:rsidP="007E432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37B2"/>
    <w:rsid w:val="00074B89"/>
    <w:rsid w:val="000812CA"/>
    <w:rsid w:val="001B4D91"/>
    <w:rsid w:val="002605EE"/>
    <w:rsid w:val="004B2724"/>
    <w:rsid w:val="005C7196"/>
    <w:rsid w:val="00634289"/>
    <w:rsid w:val="007E4320"/>
    <w:rsid w:val="00832E97"/>
    <w:rsid w:val="00A16C80"/>
    <w:rsid w:val="00AC5A13"/>
    <w:rsid w:val="00B62776"/>
    <w:rsid w:val="00C35C35"/>
    <w:rsid w:val="00C52027"/>
    <w:rsid w:val="00C56D53"/>
    <w:rsid w:val="00C92EF3"/>
    <w:rsid w:val="00DE675F"/>
    <w:rsid w:val="00EB37B2"/>
    <w:rsid w:val="00F203EB"/>
    <w:rsid w:val="00F315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chartTrackingRefBased/>
  <w15:docId w15:val="{AAF84202-962C-4E9F-9F86-AB98684029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EB37B2"/>
    <w:pPr>
      <w:spacing w:after="0" w:line="240" w:lineRule="auto"/>
    </w:pPr>
    <w:rPr>
      <w:rFonts w:eastAsiaTheme="minorEastAsia"/>
    </w:rPr>
  </w:style>
  <w:style w:type="character" w:customStyle="1" w:styleId="NoSpacingChar">
    <w:name w:val="No Spacing Char"/>
    <w:basedOn w:val="DefaultParagraphFont"/>
    <w:link w:val="NoSpacing"/>
    <w:uiPriority w:val="1"/>
    <w:rsid w:val="00EB37B2"/>
    <w:rPr>
      <w:rFonts w:eastAsiaTheme="minorEastAsia"/>
    </w:rPr>
  </w:style>
  <w:style w:type="character" w:styleId="Hyperlink">
    <w:name w:val="Hyperlink"/>
    <w:basedOn w:val="DefaultParagraphFont"/>
    <w:uiPriority w:val="99"/>
    <w:semiHidden/>
    <w:unhideWhenUsed/>
    <w:rsid w:val="00C56D53"/>
    <w:rPr>
      <w:color w:val="0000FF"/>
      <w:u w:val="single"/>
    </w:rPr>
  </w:style>
  <w:style w:type="paragraph" w:styleId="Bibliography">
    <w:name w:val="Bibliography"/>
    <w:basedOn w:val="Normal"/>
    <w:next w:val="Normal"/>
    <w:uiPriority w:val="37"/>
    <w:semiHidden/>
    <w:unhideWhenUsed/>
    <w:rsid w:val="00074B89"/>
  </w:style>
  <w:style w:type="paragraph" w:styleId="NormalWeb">
    <w:name w:val="Normal (Web)"/>
    <w:basedOn w:val="Normal"/>
    <w:uiPriority w:val="99"/>
    <w:semiHidden/>
    <w:unhideWhenUsed/>
    <w:rsid w:val="00F3159B"/>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3974701">
      <w:bodyDiv w:val="1"/>
      <w:marLeft w:val="0"/>
      <w:marRight w:val="0"/>
      <w:marTop w:val="0"/>
      <w:marBottom w:val="0"/>
      <w:divBdr>
        <w:top w:val="none" w:sz="0" w:space="0" w:color="auto"/>
        <w:left w:val="none" w:sz="0" w:space="0" w:color="auto"/>
        <w:bottom w:val="none" w:sz="0" w:space="0" w:color="auto"/>
        <w:right w:val="none" w:sz="0" w:space="0" w:color="auto"/>
      </w:divBdr>
      <w:divsChild>
        <w:div w:id="1326515104">
          <w:marLeft w:val="0"/>
          <w:marRight w:val="0"/>
          <w:marTop w:val="0"/>
          <w:marBottom w:val="0"/>
          <w:divBdr>
            <w:top w:val="none" w:sz="0" w:space="0" w:color="auto"/>
            <w:left w:val="none" w:sz="0" w:space="0" w:color="auto"/>
            <w:bottom w:val="none" w:sz="0" w:space="0" w:color="auto"/>
            <w:right w:val="none" w:sz="0" w:space="0" w:color="auto"/>
          </w:divBdr>
        </w:div>
        <w:div w:id="633680603">
          <w:marLeft w:val="0"/>
          <w:marRight w:val="0"/>
          <w:marTop w:val="0"/>
          <w:marBottom w:val="0"/>
          <w:divBdr>
            <w:top w:val="none" w:sz="0" w:space="0" w:color="auto"/>
            <w:left w:val="none" w:sz="0" w:space="0" w:color="auto"/>
            <w:bottom w:val="none" w:sz="0" w:space="0" w:color="auto"/>
            <w:right w:val="none" w:sz="0" w:space="0" w:color="auto"/>
          </w:divBdr>
          <w:divsChild>
            <w:div w:id="181893760">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 w:id="3462494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ritannica.com/topic/deontological-ethics" TargetMode="External"/><Relationship Id="rId3" Type="http://schemas.openxmlformats.org/officeDocument/2006/relationships/webSettings" Target="webSettings.xml"/><Relationship Id="rId7" Type="http://schemas.openxmlformats.org/officeDocument/2006/relationships/hyperlink" Target="https://vascular.org/patients-and-referring-physicians/conditions/thrombolytic-therapy"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merriam-webster.com/dictionary/morality"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s://www.mayoclinic.org/diseases-conditions/deep-vein-thrombosis/symptoms-causes/syc-2035255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325</TotalTime>
  <Pages>4</Pages>
  <Words>700</Words>
  <Characters>3991</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Cleveland Clinic</Company>
  <LinksUpToDate>false</LinksUpToDate>
  <CharactersWithSpaces>4682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Boeckmann, Amy</dc:creator>
  <cp:keywords/>
  <dc:description/>
  <cp:lastModifiedBy>Boeckmann, Amy</cp:lastModifiedBy>
  <cp:revision>4</cp:revision>
  <dcterms:created xsi:type="dcterms:W3CDTF">2022-04-14T16:58:00Z</dcterms:created>
  <dcterms:modified xsi:type="dcterms:W3CDTF">2022-04-15T17:42:00Z</dcterms:modified>
</cp:coreProperties>
</file>