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834440910"/>
        <w:docPartObj>
          <w:docPartGallery w:val="Cover Pages"/>
          <w:docPartUnique/>
        </w:docPartObj>
      </w:sdtPr>
      <w:sdtContent>
        <w:p w14:paraId="26DA538A" w14:textId="313E97DD" w:rsidR="00EE13B5" w:rsidRDefault="00EE13B5">
          <w:r>
            <w:rPr>
              <w:noProof/>
            </w:rPr>
            <mc:AlternateContent>
              <mc:Choice Requires="wpg">
                <w:drawing>
                  <wp:anchor distT="0" distB="0" distL="114300" distR="114300" simplePos="0" relativeHeight="251659264" behindDoc="1" locked="0" layoutInCell="1" allowOverlap="1" wp14:anchorId="20C39B58" wp14:editId="7C136604">
                    <wp:simplePos x="0" y="0"/>
                    <wp:positionH relativeFrom="page">
                      <wp:posOffset>410547</wp:posOffset>
                    </wp:positionH>
                    <wp:positionV relativeFrom="page">
                      <wp:posOffset>457200</wp:posOffset>
                    </wp:positionV>
                    <wp:extent cx="6899891" cy="9274628"/>
                    <wp:effectExtent l="0" t="0" r="0" b="3175"/>
                    <wp:wrapNone/>
                    <wp:docPr id="48" name="Group 48"/>
                    <wp:cNvGraphicFramePr/>
                    <a:graphic xmlns:a="http://schemas.openxmlformats.org/drawingml/2006/main">
                      <a:graphicData uri="http://schemas.microsoft.com/office/word/2010/wordprocessingGroup">
                        <wpg:wgp>
                          <wpg:cNvGrpSpPr/>
                          <wpg:grpSpPr>
                            <a:xfrm>
                              <a:off x="0" y="0"/>
                              <a:ext cx="6899891" cy="9274628"/>
                              <a:chOff x="-46653" y="0"/>
                              <a:chExt cx="6899891" cy="9274628"/>
                            </a:xfrm>
                          </wpg:grpSpPr>
                          <wpg:grpSp>
                            <wpg:cNvPr id="49" name="Group 49"/>
                            <wpg:cNvGrpSpPr/>
                            <wpg:grpSpPr>
                              <a:xfrm>
                                <a:off x="-46653" y="0"/>
                                <a:ext cx="6899891" cy="9274628"/>
                                <a:chOff x="-46653" y="0"/>
                                <a:chExt cx="6899891" cy="9274628"/>
                              </a:xfrm>
                            </wpg:grpSpPr>
                            <wps:wsp>
                              <wps:cNvPr id="54" name="Rectangle 54"/>
                              <wps:cNvSpPr/>
                              <wps:spPr>
                                <a:xfrm>
                                  <a:off x="-46653" y="130628"/>
                                  <a:ext cx="6858000" cy="9144000"/>
                                </a:xfrm>
                                <a:prstGeom prst="rect">
                                  <a:avLst/>
                                </a:prstGeom>
                                <a:gradFill>
                                  <a:gsLst>
                                    <a:gs pos="10000">
                                      <a:schemeClr val="dk2">
                                        <a:tint val="97000"/>
                                        <a:hueMod val="92000"/>
                                        <a:satMod val="169000"/>
                                        <a:lumMod val="164000"/>
                                      </a:schemeClr>
                                    </a:gs>
                                    <a:gs pos="100000">
                                      <a:schemeClr val="dk2">
                                        <a:shade val="96000"/>
                                        <a:satMod val="120000"/>
                                        <a:lumMod val="90000"/>
                                      </a:schemeClr>
                                    </a:gs>
                                  </a:gsLst>
                                  <a:lin ang="6120000" scaled="1"/>
                                </a:gradFill>
                                <a:ln>
                                  <a:noFill/>
                                </a:ln>
                              </wps:spPr>
                              <wps:style>
                                <a:lnRef idx="2">
                                  <a:schemeClr val="accent1">
                                    <a:shade val="50000"/>
                                  </a:schemeClr>
                                </a:lnRef>
                                <a:fillRef idx="1002">
                                  <a:schemeClr val="dk2"/>
                                </a:fillRef>
                                <a:effectRef idx="0">
                                  <a:schemeClr val="accent1"/>
                                </a:effectRef>
                                <a:fontRef idx="minor">
                                  <a:schemeClr val="lt1"/>
                                </a:fontRef>
                              </wps:style>
                              <wps:txbx>
                                <w:txbxContent>
                                  <w:p w14:paraId="356475EE" w14:textId="4C7ADC96" w:rsidR="00EE13B5" w:rsidRDefault="00EE13B5">
                                    <w:pPr>
                                      <w:pStyle w:val="NoSpacing"/>
                                      <w:rPr>
                                        <w:color w:val="FFFFFF" w:themeColor="background1"/>
                                        <w:sz w:val="48"/>
                                        <w:szCs w:val="48"/>
                                      </w:rPr>
                                    </w:pPr>
                                    <w:r>
                                      <w:rPr>
                                        <w:color w:val="FFFFFF" w:themeColor="background1"/>
                                        <w:sz w:val="48"/>
                                        <w:szCs w:val="48"/>
                                      </w:rPr>
                                      <w:t xml:space="preserve">  </w:t>
                                    </w:r>
                                  </w:p>
                                </w:txbxContent>
                              </wps:txbx>
                              <wps:bodyPr rot="0" spcFirstLastPara="0" vertOverflow="overflow" horzOverflow="overflow" vert="horz" wrap="square" lIns="685800" tIns="685800" rIns="914400" bIns="4572000" numCol="1" spcCol="0" rtlCol="0" fromWordArt="0" anchor="t" anchorCtr="0" forceAA="0" compatLnSpc="1">
                                <a:prstTxWarp prst="textNoShape">
                                  <a:avLst/>
                                </a:prstTxWarp>
                                <a:noAutofit/>
                              </wps:bodyPr>
                            </wps:wsp>
                            <wpg:grpSp>
                              <wpg:cNvPr id="55" name="Group 2"/>
                              <wpg:cNvGrpSpPr/>
                              <wpg:grpSpPr>
                                <a:xfrm>
                                  <a:off x="2524125" y="0"/>
                                  <a:ext cx="4329113" cy="4491038"/>
                                  <a:chOff x="0" y="0"/>
                                  <a:chExt cx="4329113" cy="4491038"/>
                                </a:xfrm>
                                <a:solidFill>
                                  <a:schemeClr val="bg1"/>
                                </a:solidFill>
                              </wpg:grpSpPr>
                              <wps:wsp>
                                <wps:cNvPr id="56" name="Freeform 56"/>
                                <wps:cNvSpPr>
                                  <a:spLocks/>
                                </wps:cNvSpPr>
                                <wps:spPr bwMode="auto">
                                  <a:xfrm>
                                    <a:off x="1501775" y="0"/>
                                    <a:ext cx="2827338" cy="2835275"/>
                                  </a:xfrm>
                                  <a:custGeom>
                                    <a:avLst/>
                                    <a:gdLst>
                                      <a:gd name="T0" fmla="*/ 4 w 1781"/>
                                      <a:gd name="T1" fmla="*/ 1786 h 1786"/>
                                      <a:gd name="T2" fmla="*/ 0 w 1781"/>
                                      <a:gd name="T3" fmla="*/ 1782 h 1786"/>
                                      <a:gd name="T4" fmla="*/ 1776 w 1781"/>
                                      <a:gd name="T5" fmla="*/ 0 h 1786"/>
                                      <a:gd name="T6" fmla="*/ 1781 w 1781"/>
                                      <a:gd name="T7" fmla="*/ 5 h 1786"/>
                                      <a:gd name="T8" fmla="*/ 4 w 1781"/>
                                      <a:gd name="T9" fmla="*/ 1786 h 1786"/>
                                    </a:gdLst>
                                    <a:ahLst/>
                                    <a:cxnLst>
                                      <a:cxn ang="0">
                                        <a:pos x="T0" y="T1"/>
                                      </a:cxn>
                                      <a:cxn ang="0">
                                        <a:pos x="T2" y="T3"/>
                                      </a:cxn>
                                      <a:cxn ang="0">
                                        <a:pos x="T4" y="T5"/>
                                      </a:cxn>
                                      <a:cxn ang="0">
                                        <a:pos x="T6" y="T7"/>
                                      </a:cxn>
                                      <a:cxn ang="0">
                                        <a:pos x="T8" y="T9"/>
                                      </a:cxn>
                                    </a:cxnLst>
                                    <a:rect l="0" t="0" r="r" b="b"/>
                                    <a:pathLst>
                                      <a:path w="1781" h="1786">
                                        <a:moveTo>
                                          <a:pt x="4" y="1786"/>
                                        </a:moveTo>
                                        <a:lnTo>
                                          <a:pt x="0" y="1782"/>
                                        </a:lnTo>
                                        <a:lnTo>
                                          <a:pt x="1776" y="0"/>
                                        </a:lnTo>
                                        <a:lnTo>
                                          <a:pt x="1781" y="5"/>
                                        </a:lnTo>
                                        <a:lnTo>
                                          <a:pt x="4" y="178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7" name="Freeform 57"/>
                                <wps:cNvSpPr>
                                  <a:spLocks/>
                                </wps:cNvSpPr>
                                <wps:spPr bwMode="auto">
                                  <a:xfrm>
                                    <a:off x="782637" y="227013"/>
                                    <a:ext cx="3546475" cy="3546475"/>
                                  </a:xfrm>
                                  <a:custGeom>
                                    <a:avLst/>
                                    <a:gdLst>
                                      <a:gd name="T0" fmla="*/ 5 w 2234"/>
                                      <a:gd name="T1" fmla="*/ 2234 h 2234"/>
                                      <a:gd name="T2" fmla="*/ 0 w 2234"/>
                                      <a:gd name="T3" fmla="*/ 2229 h 2234"/>
                                      <a:gd name="T4" fmla="*/ 2229 w 2234"/>
                                      <a:gd name="T5" fmla="*/ 0 h 2234"/>
                                      <a:gd name="T6" fmla="*/ 2234 w 2234"/>
                                      <a:gd name="T7" fmla="*/ 5 h 2234"/>
                                      <a:gd name="T8" fmla="*/ 5 w 2234"/>
                                      <a:gd name="T9" fmla="*/ 2234 h 2234"/>
                                    </a:gdLst>
                                    <a:ahLst/>
                                    <a:cxnLst>
                                      <a:cxn ang="0">
                                        <a:pos x="T0" y="T1"/>
                                      </a:cxn>
                                      <a:cxn ang="0">
                                        <a:pos x="T2" y="T3"/>
                                      </a:cxn>
                                      <a:cxn ang="0">
                                        <a:pos x="T4" y="T5"/>
                                      </a:cxn>
                                      <a:cxn ang="0">
                                        <a:pos x="T6" y="T7"/>
                                      </a:cxn>
                                      <a:cxn ang="0">
                                        <a:pos x="T8" y="T9"/>
                                      </a:cxn>
                                    </a:cxnLst>
                                    <a:rect l="0" t="0" r="r" b="b"/>
                                    <a:pathLst>
                                      <a:path w="2234" h="2234">
                                        <a:moveTo>
                                          <a:pt x="5" y="2234"/>
                                        </a:moveTo>
                                        <a:lnTo>
                                          <a:pt x="0" y="2229"/>
                                        </a:lnTo>
                                        <a:lnTo>
                                          <a:pt x="2229" y="0"/>
                                        </a:lnTo>
                                        <a:lnTo>
                                          <a:pt x="2234" y="5"/>
                                        </a:lnTo>
                                        <a:lnTo>
                                          <a:pt x="5" y="2234"/>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8" name="Freeform 58"/>
                                <wps:cNvSpPr>
                                  <a:spLocks/>
                                </wps:cNvSpPr>
                                <wps:spPr bwMode="auto">
                                  <a:xfrm>
                                    <a:off x="841375" y="109538"/>
                                    <a:ext cx="3487738" cy="3487738"/>
                                  </a:xfrm>
                                  <a:custGeom>
                                    <a:avLst/>
                                    <a:gdLst>
                                      <a:gd name="T0" fmla="*/ 9 w 2197"/>
                                      <a:gd name="T1" fmla="*/ 2197 h 2197"/>
                                      <a:gd name="T2" fmla="*/ 0 w 2197"/>
                                      <a:gd name="T3" fmla="*/ 2193 h 2197"/>
                                      <a:gd name="T4" fmla="*/ 2188 w 2197"/>
                                      <a:gd name="T5" fmla="*/ 0 h 2197"/>
                                      <a:gd name="T6" fmla="*/ 2197 w 2197"/>
                                      <a:gd name="T7" fmla="*/ 10 h 2197"/>
                                      <a:gd name="T8" fmla="*/ 9 w 2197"/>
                                      <a:gd name="T9" fmla="*/ 2197 h 2197"/>
                                    </a:gdLst>
                                    <a:ahLst/>
                                    <a:cxnLst>
                                      <a:cxn ang="0">
                                        <a:pos x="T0" y="T1"/>
                                      </a:cxn>
                                      <a:cxn ang="0">
                                        <a:pos x="T2" y="T3"/>
                                      </a:cxn>
                                      <a:cxn ang="0">
                                        <a:pos x="T4" y="T5"/>
                                      </a:cxn>
                                      <a:cxn ang="0">
                                        <a:pos x="T6" y="T7"/>
                                      </a:cxn>
                                      <a:cxn ang="0">
                                        <a:pos x="T8" y="T9"/>
                                      </a:cxn>
                                    </a:cxnLst>
                                    <a:rect l="0" t="0" r="r" b="b"/>
                                    <a:pathLst>
                                      <a:path w="2197" h="2197">
                                        <a:moveTo>
                                          <a:pt x="9" y="2197"/>
                                        </a:moveTo>
                                        <a:lnTo>
                                          <a:pt x="0" y="2193"/>
                                        </a:lnTo>
                                        <a:lnTo>
                                          <a:pt x="2188" y="0"/>
                                        </a:lnTo>
                                        <a:lnTo>
                                          <a:pt x="2197" y="10"/>
                                        </a:lnTo>
                                        <a:lnTo>
                                          <a:pt x="9" y="2197"/>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9" name="Freeform 59"/>
                                <wps:cNvSpPr>
                                  <a:spLocks/>
                                </wps:cNvSpPr>
                                <wps:spPr bwMode="auto">
                                  <a:xfrm>
                                    <a:off x="1216025" y="498475"/>
                                    <a:ext cx="3113088" cy="3121025"/>
                                  </a:xfrm>
                                  <a:custGeom>
                                    <a:avLst/>
                                    <a:gdLst>
                                      <a:gd name="T0" fmla="*/ 9 w 1961"/>
                                      <a:gd name="T1" fmla="*/ 1966 h 1966"/>
                                      <a:gd name="T2" fmla="*/ 0 w 1961"/>
                                      <a:gd name="T3" fmla="*/ 1957 h 1966"/>
                                      <a:gd name="T4" fmla="*/ 1952 w 1961"/>
                                      <a:gd name="T5" fmla="*/ 0 h 1966"/>
                                      <a:gd name="T6" fmla="*/ 1961 w 1961"/>
                                      <a:gd name="T7" fmla="*/ 9 h 1966"/>
                                      <a:gd name="T8" fmla="*/ 9 w 1961"/>
                                      <a:gd name="T9" fmla="*/ 1966 h 1966"/>
                                    </a:gdLst>
                                    <a:ahLst/>
                                    <a:cxnLst>
                                      <a:cxn ang="0">
                                        <a:pos x="T0" y="T1"/>
                                      </a:cxn>
                                      <a:cxn ang="0">
                                        <a:pos x="T2" y="T3"/>
                                      </a:cxn>
                                      <a:cxn ang="0">
                                        <a:pos x="T4" y="T5"/>
                                      </a:cxn>
                                      <a:cxn ang="0">
                                        <a:pos x="T6" y="T7"/>
                                      </a:cxn>
                                      <a:cxn ang="0">
                                        <a:pos x="T8" y="T9"/>
                                      </a:cxn>
                                    </a:cxnLst>
                                    <a:rect l="0" t="0" r="r" b="b"/>
                                    <a:pathLst>
                                      <a:path w="1961" h="1966">
                                        <a:moveTo>
                                          <a:pt x="9" y="1966"/>
                                        </a:moveTo>
                                        <a:lnTo>
                                          <a:pt x="0" y="1957"/>
                                        </a:lnTo>
                                        <a:lnTo>
                                          <a:pt x="1952" y="0"/>
                                        </a:lnTo>
                                        <a:lnTo>
                                          <a:pt x="1961" y="9"/>
                                        </a:lnTo>
                                        <a:lnTo>
                                          <a:pt x="9" y="196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0" name="Freeform 60"/>
                                <wps:cNvSpPr>
                                  <a:spLocks/>
                                </wps:cNvSpPr>
                                <wps:spPr bwMode="auto">
                                  <a:xfrm>
                                    <a:off x="0" y="153988"/>
                                    <a:ext cx="4329113" cy="4337050"/>
                                  </a:xfrm>
                                  <a:custGeom>
                                    <a:avLst/>
                                    <a:gdLst>
                                      <a:gd name="T0" fmla="*/ 0 w 2727"/>
                                      <a:gd name="T1" fmla="*/ 2732 h 2732"/>
                                      <a:gd name="T2" fmla="*/ 0 w 2727"/>
                                      <a:gd name="T3" fmla="*/ 2728 h 2732"/>
                                      <a:gd name="T4" fmla="*/ 2722 w 2727"/>
                                      <a:gd name="T5" fmla="*/ 0 h 2732"/>
                                      <a:gd name="T6" fmla="*/ 2727 w 2727"/>
                                      <a:gd name="T7" fmla="*/ 5 h 2732"/>
                                      <a:gd name="T8" fmla="*/ 0 w 2727"/>
                                      <a:gd name="T9" fmla="*/ 2732 h 2732"/>
                                    </a:gdLst>
                                    <a:ahLst/>
                                    <a:cxnLst>
                                      <a:cxn ang="0">
                                        <a:pos x="T0" y="T1"/>
                                      </a:cxn>
                                      <a:cxn ang="0">
                                        <a:pos x="T2" y="T3"/>
                                      </a:cxn>
                                      <a:cxn ang="0">
                                        <a:pos x="T4" y="T5"/>
                                      </a:cxn>
                                      <a:cxn ang="0">
                                        <a:pos x="T6" y="T7"/>
                                      </a:cxn>
                                      <a:cxn ang="0">
                                        <a:pos x="T8" y="T9"/>
                                      </a:cxn>
                                    </a:cxnLst>
                                    <a:rect l="0" t="0" r="r" b="b"/>
                                    <a:pathLst>
                                      <a:path w="2727" h="2732">
                                        <a:moveTo>
                                          <a:pt x="0" y="2732"/>
                                        </a:moveTo>
                                        <a:lnTo>
                                          <a:pt x="0" y="2728"/>
                                        </a:lnTo>
                                        <a:lnTo>
                                          <a:pt x="2722" y="0"/>
                                        </a:lnTo>
                                        <a:lnTo>
                                          <a:pt x="2727" y="5"/>
                                        </a:lnTo>
                                        <a:lnTo>
                                          <a:pt x="0" y="2732"/>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grpSp>
                          </wpg:grpSp>
                          <wps:wsp>
                            <wps:cNvPr id="61" name="Text Box 61"/>
                            <wps:cNvSpPr txBox="1"/>
                            <wps:spPr>
                              <a:xfrm>
                                <a:off x="9518" y="4838700"/>
                                <a:ext cx="6843395" cy="378975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FFFFFF" w:themeColor="background1"/>
                                      <w:sz w:val="64"/>
                                      <w:szCs w:val="64"/>
                                    </w:rPr>
                                    <w:alias w:val="Title"/>
                                    <w:tag w:val=""/>
                                    <w:id w:val="1841046763"/>
                                    <w:dataBinding w:prefixMappings="xmlns:ns0='http://purl.org/dc/elements/1.1/' xmlns:ns1='http://schemas.openxmlformats.org/package/2006/metadata/core-properties' " w:xpath="/ns1:coreProperties[1]/ns0:title[1]" w:storeItemID="{6C3C8BC8-F283-45AE-878A-BAB7291924A1}"/>
                                    <w:text/>
                                  </w:sdtPr>
                                  <w:sdtContent>
                                    <w:p w14:paraId="0E0A69BF" w14:textId="724B0BD0" w:rsidR="00EE13B5" w:rsidRDefault="00EE13B5">
                                      <w:pPr>
                                        <w:pStyle w:val="NoSpacing"/>
                                        <w:rPr>
                                          <w:rFonts w:asciiTheme="majorHAnsi" w:eastAsiaTheme="majorEastAsia" w:hAnsiTheme="majorHAnsi" w:cstheme="majorBidi"/>
                                          <w:caps/>
                                          <w:color w:val="FFFFFF" w:themeColor="background1"/>
                                          <w:sz w:val="64"/>
                                          <w:szCs w:val="64"/>
                                        </w:rPr>
                                      </w:pPr>
                                      <w:r>
                                        <w:rPr>
                                          <w:rFonts w:asciiTheme="majorHAnsi" w:eastAsiaTheme="majorEastAsia" w:hAnsiTheme="majorHAnsi" w:cstheme="majorBidi"/>
                                          <w:caps/>
                                          <w:color w:val="FFFFFF" w:themeColor="background1"/>
                                          <w:sz w:val="64"/>
                                          <w:szCs w:val="64"/>
                                        </w:rPr>
                                        <w:t>project portfolio</w:t>
                                      </w:r>
                                    </w:p>
                                  </w:sdtContent>
                                </w:sdt>
                                <w:sdt>
                                  <w:sdtPr>
                                    <w:rPr>
                                      <w:color w:val="4472C4" w:themeColor="accent1"/>
                                      <w:sz w:val="36"/>
                                      <w:szCs w:val="36"/>
                                    </w:rPr>
                                    <w:alias w:val="Subtitle"/>
                                    <w:tag w:val=""/>
                                    <w:id w:val="-1686441493"/>
                                    <w:dataBinding w:prefixMappings="xmlns:ns0='http://purl.org/dc/elements/1.1/' xmlns:ns1='http://schemas.openxmlformats.org/package/2006/metadata/core-properties' " w:xpath="/ns1:coreProperties[1]/ns0:subject[1]" w:storeItemID="{6C3C8BC8-F283-45AE-878A-BAB7291924A1}"/>
                                    <w:text/>
                                  </w:sdtPr>
                                  <w:sdtContent>
                                    <w:p w14:paraId="40877DEF" w14:textId="26BCB572" w:rsidR="00EE13B5" w:rsidRDefault="00EE13B5">
                                      <w:pPr>
                                        <w:pStyle w:val="NoSpacing"/>
                                        <w:spacing w:before="120"/>
                                        <w:rPr>
                                          <w:color w:val="4472C4" w:themeColor="accent1"/>
                                          <w:sz w:val="36"/>
                                          <w:szCs w:val="36"/>
                                        </w:rPr>
                                      </w:pPr>
                                      <w:r>
                                        <w:rPr>
                                          <w:color w:val="4472C4" w:themeColor="accent1"/>
                                          <w:sz w:val="36"/>
                                          <w:szCs w:val="36"/>
                                        </w:rPr>
                                        <w:t>HTHS 305</w:t>
                                      </w:r>
                                      <w:r w:rsidR="00E01D58">
                                        <w:rPr>
                                          <w:color w:val="4472C4" w:themeColor="accent1"/>
                                          <w:sz w:val="36"/>
                                          <w:szCs w:val="36"/>
                                        </w:rPr>
                                        <w:t>|</w:t>
                                      </w:r>
                                      <w:r>
                                        <w:rPr>
                                          <w:color w:val="4472C4" w:themeColor="accent1"/>
                                          <w:sz w:val="36"/>
                                          <w:szCs w:val="36"/>
                                        </w:rPr>
                                        <w:t xml:space="preserve"> 6/8/2022        LaWanda Webb</w:t>
                                      </w:r>
                                    </w:p>
                                  </w:sdtContent>
                                </w:sdt>
                              </w:txbxContent>
                            </wps:txbx>
                            <wps:bodyPr rot="0" spcFirstLastPara="0" vertOverflow="overflow" horzOverflow="overflow" vert="horz" wrap="square" lIns="685800" tIns="0" rIns="914400" bIns="0" numCol="1" spcCol="0" rtlCol="0" fromWordArt="0" anchor="b"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20C39B58" id="Group 48" o:spid="_x0000_s1026" style="position:absolute;margin-left:32.35pt;margin-top:36pt;width:543.3pt;height:730.3pt;z-index:-251657216;mso-position-horizontal-relative:page;mso-position-vertical-relative:page" coordorigin="-466" coordsize="68998,927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">
                    <v:group id="Group 49" o:spid="_x0000_s1027" style="position:absolute;left:-466;width:68998;height:92746" coordorigin="-466" coordsize="68998,927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rect id="Rectangle 54" o:spid="_x0000_s1028" style="position:absolute;left:-466;top:1306;width:68579;height:91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" fillcolor="#485870 [3122]" stroked="f" strokeweight="1pt">
                        <v:fill color2="#3d4b5f [2882]" angle="348" colors="0 #88acbb;6554f #88acbb" focus="100%" type="gradient"/>
                        <v:textbox inset="54pt,54pt,1in,5in">
                          <w:txbxContent>
                            <w:p w14:paraId="356475EE" w14:textId="4C7ADC96" w:rsidR="00EE13B5" w:rsidRDefault="00EE13B5">
                              <w:pPr>
                                <w:pStyle w:val="NoSpacing"/>
                                <w:rPr>
                                  <w:color w:val="FFFFFF" w:themeColor="background1"/>
                                  <w:sz w:val="48"/>
                                  <w:szCs w:val="48"/>
                                </w:rPr>
                              </w:pPr>
                              <w:r>
                                <w:rPr>
                                  <w:color w:val="FFFFFF" w:themeColor="background1"/>
                                  <w:sz w:val="48"/>
                                  <w:szCs w:val="48"/>
                                </w:rPr>
                                <w:t xml:space="preserve">  </w:t>
                              </w:r>
                            </w:p>
                          </w:txbxContent>
                        </v:textbox>
                      </v:rect>
                      <v:group id="Group 2" o:spid="_x0000_s1029" style="position:absolute;left:25241;width:43291;height:44910" coordsize="43291,44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Freeform 56" o:spid="_x0000_s1030" style="position:absolute;left:15017;width:28274;height:28352;visibility:visible;mso-wrap-style:square;v-text-anchor:top" coordsize="1781,1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" path="m4,1786l,1782,1776,r5,5l4,1786xe" filled="f" stroked="f">
                          <v:path arrowok="t" o:connecttype="custom" o:connectlocs="6350,2835275;0,2828925;2819400,0;2827338,7938;6350,2835275" o:connectangles="0,0,0,0,0"/>
                        </v:shape>
                        <v:shape id="Freeform 57" o:spid="_x0000_s1031" style="position:absolute;left:7826;top:2270;width:35465;height:35464;visibility:visible;mso-wrap-style:square;v-text-anchor:top" coordsize="2234,2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" path="m5,2234l,2229,2229,r5,5l5,2234xe" filled="f" stroked="f">
                          <v:path arrowok="t" o:connecttype="custom" o:connectlocs="7938,3546475;0,3538538;3538538,0;3546475,7938;7938,3546475" o:connectangles="0,0,0,0,0"/>
                        </v:shape>
                        <v:shape id="Freeform 58" o:spid="_x0000_s1032" style="position:absolute;left:8413;top:1095;width:34878;height:34877;visibility:visible;mso-wrap-style:square;v-text-anchor:top" coordsize="2197,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" path="m9,2197l,2193,2188,r9,10l9,2197xe" filled="f" stroked="f">
                          <v:path arrowok="t" o:connecttype="custom" o:connectlocs="14288,3487738;0,3481388;3473450,0;3487738,15875;14288,3487738" o:connectangles="0,0,0,0,0"/>
                        </v:shape>
                        <v:shape id="Freeform 59" o:spid="_x0000_s1033" style="position:absolute;left:12160;top:4984;width:31131;height:31211;visibility:visible;mso-wrap-style:square;v-text-anchor:top" coordsize="1961,1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" path="m9,1966l,1957,1952,r9,9l9,1966xe" filled="f" stroked="f">
                          <v:path arrowok="t" o:connecttype="custom" o:connectlocs="14288,3121025;0,3106738;3098800,0;3113088,14288;14288,3121025" o:connectangles="0,0,0,0,0"/>
                        </v:shape>
                        <v:shape id="Freeform 60" o:spid="_x0000_s1034" style="position:absolute;top:1539;width:43291;height:43371;visibility:visible;mso-wrap-style:square;v-text-anchor:top" coordsize="2727,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" path="m,2732r,-4l2722,r5,5l,2732xe" filled="f" stroked="f">
                          <v:path arrowok="t" o:connecttype="custom" o:connectlocs="0,4337050;0,4330700;4321175,0;4329113,7938;0,4337050" o:connectangles="0,0,0,0,0"/>
                        </v:shape>
                      </v:group>
                    </v:group>
                    <v:shapetype id="_x0000_t202" coordsize="21600,21600" o:spt="202" path="m,l,21600r21600,l21600,xe">
                      <v:stroke joinstyle="miter"/>
                      <v:path gradientshapeok="t" o:connecttype="rect"/>
                    </v:shapetype>
                    <v:shape id="Text Box 61" o:spid="_x0000_s1035" type="#_x0000_t202" style="position:absolute;left:95;top:48387;width:68434;height:37897;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" filled="f" stroked="f" strokeweight=".5pt">
                      <v:textbox inset="54pt,0,1in,0">
                        <w:txbxContent>
                          <w:sdt>
                            <w:sdtPr>
                              <w:rPr>
                                <w:rFonts w:asciiTheme="majorHAnsi" w:eastAsiaTheme="majorEastAsia" w:hAnsiTheme="majorHAnsi" w:cstheme="majorBidi"/>
                                <w:caps/>
                                <w:color w:val="FFFFFF" w:themeColor="background1"/>
                                <w:sz w:val="64"/>
                                <w:szCs w:val="64"/>
                              </w:rPr>
                              <w:alias w:val="Title"/>
                              <w:tag w:val=""/>
                              <w:id w:val="1841046763"/>
                              <w:dataBinding w:prefixMappings="xmlns:ns0='http://purl.org/dc/elements/1.1/' xmlns:ns1='http://schemas.openxmlformats.org/package/2006/metadata/core-properties' " w:xpath="/ns1:coreProperties[1]/ns0:title[1]" w:storeItemID="{6C3C8BC8-F283-45AE-878A-BAB7291924A1}"/>
                              <w:text/>
                            </w:sdtPr>
                            <w:sdtContent>
                              <w:p w14:paraId="0E0A69BF" w14:textId="724B0BD0" w:rsidR="00EE13B5" w:rsidRDefault="00EE13B5">
                                <w:pPr>
                                  <w:pStyle w:val="NoSpacing"/>
                                  <w:rPr>
                                    <w:rFonts w:asciiTheme="majorHAnsi" w:eastAsiaTheme="majorEastAsia" w:hAnsiTheme="majorHAnsi" w:cstheme="majorBidi"/>
                                    <w:caps/>
                                    <w:color w:val="FFFFFF" w:themeColor="background1"/>
                                    <w:sz w:val="64"/>
                                    <w:szCs w:val="64"/>
                                  </w:rPr>
                                </w:pPr>
                                <w:r>
                                  <w:rPr>
                                    <w:rFonts w:asciiTheme="majorHAnsi" w:eastAsiaTheme="majorEastAsia" w:hAnsiTheme="majorHAnsi" w:cstheme="majorBidi"/>
                                    <w:caps/>
                                    <w:color w:val="FFFFFF" w:themeColor="background1"/>
                                    <w:sz w:val="64"/>
                                    <w:szCs w:val="64"/>
                                  </w:rPr>
                                  <w:t>project portfolio</w:t>
                                </w:r>
                              </w:p>
                            </w:sdtContent>
                          </w:sdt>
                          <w:sdt>
                            <w:sdtPr>
                              <w:rPr>
                                <w:color w:val="4472C4" w:themeColor="accent1"/>
                                <w:sz w:val="36"/>
                                <w:szCs w:val="36"/>
                              </w:rPr>
                              <w:alias w:val="Subtitle"/>
                              <w:tag w:val=""/>
                              <w:id w:val="-1686441493"/>
                              <w:dataBinding w:prefixMappings="xmlns:ns0='http://purl.org/dc/elements/1.1/' xmlns:ns1='http://schemas.openxmlformats.org/package/2006/metadata/core-properties' " w:xpath="/ns1:coreProperties[1]/ns0:subject[1]" w:storeItemID="{6C3C8BC8-F283-45AE-878A-BAB7291924A1}"/>
                              <w:text/>
                            </w:sdtPr>
                            <w:sdtContent>
                              <w:p w14:paraId="40877DEF" w14:textId="26BCB572" w:rsidR="00EE13B5" w:rsidRDefault="00EE13B5">
                                <w:pPr>
                                  <w:pStyle w:val="NoSpacing"/>
                                  <w:spacing w:before="120"/>
                                  <w:rPr>
                                    <w:color w:val="4472C4" w:themeColor="accent1"/>
                                    <w:sz w:val="36"/>
                                    <w:szCs w:val="36"/>
                                  </w:rPr>
                                </w:pPr>
                                <w:r>
                                  <w:rPr>
                                    <w:color w:val="4472C4" w:themeColor="accent1"/>
                                    <w:sz w:val="36"/>
                                    <w:szCs w:val="36"/>
                                  </w:rPr>
                                  <w:t>HTHS 305</w:t>
                                </w:r>
                                <w:r w:rsidR="00E01D58">
                                  <w:rPr>
                                    <w:color w:val="4472C4" w:themeColor="accent1"/>
                                    <w:sz w:val="36"/>
                                    <w:szCs w:val="36"/>
                                  </w:rPr>
                                  <w:t>|</w:t>
                                </w:r>
                                <w:r>
                                  <w:rPr>
                                    <w:color w:val="4472C4" w:themeColor="accent1"/>
                                    <w:sz w:val="36"/>
                                    <w:szCs w:val="36"/>
                                  </w:rPr>
                                  <w:t xml:space="preserve"> 6/8/2022        LaWanda Webb</w:t>
                                </w:r>
                              </w:p>
                            </w:sdtContent>
                          </w:sdt>
                        </w:txbxContent>
                      </v:textbox>
                    </v:shape>
                    <w10:wrap anchorx="page" anchory="page"/>
                  </v:group>
                </w:pict>
              </mc:Fallback>
            </mc:AlternateContent>
          </w:r>
        </w:p>
        <w:p w14:paraId="49B78F69" w14:textId="145D6407" w:rsidR="00EE13B5" w:rsidRDefault="00EE13B5">
          <w:r>
            <w:br w:type="page"/>
          </w:r>
        </w:p>
      </w:sdtContent>
    </w:sdt>
    <w:p w14:paraId="6E2E4CF0" w14:textId="71B99BD2" w:rsidR="00EE13B5" w:rsidRPr="0048671A" w:rsidRDefault="00EE13B5" w:rsidP="00EE13B5">
      <w:pPr>
        <w:spacing w:line="480" w:lineRule="auto"/>
        <w:rPr>
          <w:rFonts w:ascii="Times New Roman" w:hAnsi="Times New Roman" w:cs="Times New Roman"/>
          <w:sz w:val="24"/>
          <w:szCs w:val="24"/>
        </w:rPr>
      </w:pPr>
      <w:r w:rsidRPr="0048671A">
        <w:rPr>
          <w:rFonts w:ascii="Times New Roman" w:hAnsi="Times New Roman" w:cs="Times New Roman"/>
          <w:b/>
          <w:bCs/>
          <w:sz w:val="24"/>
          <w:szCs w:val="24"/>
        </w:rPr>
        <w:lastRenderedPageBreak/>
        <w:t>Compliance #</w:t>
      </w:r>
      <w:r>
        <w:rPr>
          <w:rFonts w:ascii="Times New Roman" w:hAnsi="Times New Roman" w:cs="Times New Roman"/>
          <w:b/>
          <w:bCs/>
          <w:sz w:val="24"/>
          <w:szCs w:val="24"/>
        </w:rPr>
        <w:t xml:space="preserve"> 1</w:t>
      </w:r>
    </w:p>
    <w:p w14:paraId="014A8D2D" w14:textId="77777777" w:rsidR="00EE13B5" w:rsidRDefault="00EE13B5" w:rsidP="00EE13B5">
      <w:pPr>
        <w:spacing w:line="480" w:lineRule="auto"/>
        <w:ind w:firstLine="720"/>
        <w:rPr>
          <w:rFonts w:ascii="Times New Roman" w:hAnsi="Times New Roman" w:cs="Times New Roman"/>
          <w:sz w:val="24"/>
          <w:szCs w:val="24"/>
        </w:rPr>
      </w:pPr>
      <w:r>
        <w:rPr>
          <w:rFonts w:ascii="Times New Roman" w:hAnsi="Times New Roman" w:cs="Times New Roman"/>
          <w:sz w:val="24"/>
          <w:szCs w:val="24"/>
        </w:rPr>
        <w:t>My compliance Department was contacted by the Pediatrics Department regarding a case involving a 10-year-old boy with a congenital heart condition that was noted to have worsen in the last year. The patient was referred to a Pediatric Cardiologist for treatment which could include a surgery to correct the issue, however, the mother of the patient is against the surgery because of religious beliefs.</w:t>
      </w:r>
    </w:p>
    <w:p w14:paraId="24169FBC" w14:textId="789BB761" w:rsidR="00EE13B5" w:rsidRDefault="00EE13B5" w:rsidP="00EE13B5">
      <w:pPr>
        <w:spacing w:line="480" w:lineRule="auto"/>
        <w:rPr>
          <w:rFonts w:ascii="Times New Roman" w:hAnsi="Times New Roman" w:cs="Times New Roman"/>
          <w:sz w:val="24"/>
          <w:szCs w:val="24"/>
        </w:rPr>
      </w:pPr>
      <w:r>
        <w:rPr>
          <w:rFonts w:ascii="Times New Roman" w:hAnsi="Times New Roman" w:cs="Times New Roman"/>
          <w:sz w:val="24"/>
          <w:szCs w:val="24"/>
        </w:rPr>
        <w:tab/>
        <w:t>The information I would like to know from the pediatric department as the Compliance Manager is what if any medications were taken when first diagnosed with the heart condition and how have they been managed?  In my opinion, religious beliefs are not a defense for denying treatment to a child. “As an adult the mother has a legal right to refuse her own medical care for religious reasons but does not have the legal right to refuse medical care for their children if it endangers the child’s welfare”.</w:t>
      </w:r>
      <w:sdt>
        <w:sdtPr>
          <w:rPr>
            <w:rFonts w:ascii="Times New Roman" w:hAnsi="Times New Roman" w:cs="Times New Roman"/>
            <w:sz w:val="24"/>
            <w:szCs w:val="24"/>
          </w:rPr>
          <w:id w:val="-1359346155"/>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Syd21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E437BE">
            <w:rPr>
              <w:rFonts w:ascii="Times New Roman" w:hAnsi="Times New Roman" w:cs="Times New Roman"/>
              <w:noProof/>
              <w:sz w:val="24"/>
              <w:szCs w:val="24"/>
            </w:rPr>
            <w:t>(Goldstein, 2021)</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When a parent refuse treatment for their child, it almost always work out in a favorable decision for the child. </w:t>
      </w:r>
    </w:p>
    <w:p w14:paraId="12FAC578" w14:textId="77777777" w:rsidR="00EE13B5" w:rsidRDefault="00EE13B5" w:rsidP="00EE13B5">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If the physicians involved failed to provide appropriate treatment or standard of care, they could be held liable. Young children depend on their parents to make good decisions on their behalf. Everyday parents face difficult medical decisions regarding their children. An example of a case law such as religious exemptions that specify a court can order treatment for children, regardless of the parent’s religious wishes. “Faith based rejection of medical care has cost the lives of many children and poses challenges to providers”.</w:t>
      </w:r>
      <w:sdt>
        <w:sdtPr>
          <w:rPr>
            <w:rFonts w:ascii="Times New Roman" w:hAnsi="Times New Roman" w:cs="Times New Roman"/>
            <w:sz w:val="24"/>
            <w:szCs w:val="24"/>
          </w:rPr>
          <w:id w:val="1870418879"/>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Rit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704802">
            <w:rPr>
              <w:rFonts w:ascii="Times New Roman" w:hAnsi="Times New Roman" w:cs="Times New Roman"/>
              <w:noProof/>
              <w:sz w:val="24"/>
              <w:szCs w:val="24"/>
            </w:rPr>
            <w:t>(Swan, 2020)</w:t>
          </w:r>
          <w:r>
            <w:rPr>
              <w:rFonts w:ascii="Times New Roman" w:hAnsi="Times New Roman" w:cs="Times New Roman"/>
              <w:sz w:val="24"/>
              <w:szCs w:val="24"/>
            </w:rPr>
            <w:fldChar w:fldCharType="end"/>
          </w:r>
        </w:sdtContent>
      </w:sdt>
    </w:p>
    <w:p w14:paraId="3976473A" w14:textId="77777777" w:rsidR="00EE13B5" w:rsidRDefault="00EE13B5" w:rsidP="00EE13B5">
      <w:pPr>
        <w:spacing w:line="480" w:lineRule="auto"/>
        <w:rPr>
          <w:rFonts w:ascii="Times New Roman" w:hAnsi="Times New Roman" w:cs="Times New Roman"/>
          <w:b/>
          <w:bCs/>
          <w:sz w:val="24"/>
          <w:szCs w:val="24"/>
        </w:rPr>
      </w:pPr>
      <w:r w:rsidRPr="0048671A">
        <w:rPr>
          <w:rFonts w:ascii="Times New Roman" w:hAnsi="Times New Roman" w:cs="Times New Roman"/>
          <w:b/>
          <w:bCs/>
          <w:sz w:val="24"/>
          <w:szCs w:val="24"/>
        </w:rPr>
        <w:t>Compliance # 2</w:t>
      </w:r>
    </w:p>
    <w:p w14:paraId="099747DD" w14:textId="0D26BE6B" w:rsidR="00EE13B5" w:rsidRDefault="00EE13B5" w:rsidP="00EE13B5">
      <w:pPr>
        <w:spacing w:line="48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 xml:space="preserve">My Compliance Department has received an in-house complaint concerning nurses on the OBGYN Unit. The complaint alleges that a few of the nurses have been using their cell </w:t>
      </w:r>
      <w:r>
        <w:rPr>
          <w:rFonts w:ascii="Times New Roman" w:hAnsi="Times New Roman" w:cs="Times New Roman"/>
          <w:sz w:val="24"/>
          <w:szCs w:val="24"/>
        </w:rPr>
        <w:lastRenderedPageBreak/>
        <w:t>phones from pa</w:t>
      </w:r>
      <w:r>
        <w:rPr>
          <w:rFonts w:ascii="Times New Roman" w:hAnsi="Times New Roman" w:cs="Times New Roman"/>
          <w:b/>
          <w:bCs/>
          <w:sz w:val="24"/>
          <w:szCs w:val="24"/>
        </w:rPr>
        <w:t>t</w:t>
      </w:r>
      <w:r>
        <w:rPr>
          <w:rFonts w:ascii="Times New Roman" w:hAnsi="Times New Roman" w:cs="Times New Roman"/>
          <w:sz w:val="24"/>
          <w:szCs w:val="24"/>
        </w:rPr>
        <w:t>ient rooms to monitor other patients. Not using last names, the nurses use mom’s first names and room numbers referencing medical details. Yes, I know the OBGYN Unit has been short staffed for months, this kind of practice may result in violation of HIPAA.</w:t>
      </w:r>
      <w:r w:rsidR="00A97995">
        <w:rPr>
          <w:rFonts w:ascii="Times New Roman" w:hAnsi="Times New Roman" w:cs="Times New Roman"/>
          <w:sz w:val="24"/>
          <w:szCs w:val="24"/>
        </w:rPr>
        <w:t xml:space="preserve"> </w:t>
      </w:r>
    </w:p>
    <w:p w14:paraId="2263CDF6" w14:textId="2A8E8BBF" w:rsidR="00A97995" w:rsidRDefault="00A97995" w:rsidP="00EE13B5">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information I would like </w:t>
      </w:r>
      <w:r w:rsidR="004D3CAB">
        <w:rPr>
          <w:rFonts w:ascii="Times New Roman" w:hAnsi="Times New Roman" w:cs="Times New Roman"/>
          <w:sz w:val="24"/>
          <w:szCs w:val="24"/>
        </w:rPr>
        <w:t>to know</w:t>
      </w:r>
      <w:r>
        <w:rPr>
          <w:rFonts w:ascii="Times New Roman" w:hAnsi="Times New Roman" w:cs="Times New Roman"/>
          <w:sz w:val="24"/>
          <w:szCs w:val="24"/>
        </w:rPr>
        <w:t xml:space="preserve"> from the OBYN Department wha</w:t>
      </w:r>
      <w:r w:rsidR="004D3CAB">
        <w:rPr>
          <w:rFonts w:ascii="Times New Roman" w:hAnsi="Times New Roman" w:cs="Times New Roman"/>
          <w:sz w:val="24"/>
          <w:szCs w:val="24"/>
        </w:rPr>
        <w:t>t</w:t>
      </w:r>
      <w:r>
        <w:rPr>
          <w:rFonts w:ascii="Times New Roman" w:hAnsi="Times New Roman" w:cs="Times New Roman"/>
          <w:sz w:val="24"/>
          <w:szCs w:val="24"/>
        </w:rPr>
        <w:t xml:space="preserve"> was the </w:t>
      </w:r>
      <w:r w:rsidR="004D3CAB">
        <w:rPr>
          <w:rFonts w:ascii="Times New Roman" w:hAnsi="Times New Roman" w:cs="Times New Roman"/>
          <w:sz w:val="24"/>
          <w:szCs w:val="24"/>
        </w:rPr>
        <w:t>nurse-to-patient</w:t>
      </w:r>
      <w:r>
        <w:rPr>
          <w:rFonts w:ascii="Times New Roman" w:hAnsi="Times New Roman" w:cs="Times New Roman"/>
          <w:sz w:val="24"/>
          <w:szCs w:val="24"/>
        </w:rPr>
        <w:t xml:space="preserve"> ratio and were there additional violations taken place? Yes, there was a violation of HIPAA privacy and security laws. Health information such as treatment information, diagnoses, and test </w:t>
      </w:r>
      <w:r w:rsidR="004D3CAB">
        <w:rPr>
          <w:rFonts w:ascii="Times New Roman" w:hAnsi="Times New Roman" w:cs="Times New Roman"/>
          <w:sz w:val="24"/>
          <w:szCs w:val="24"/>
        </w:rPr>
        <w:t>results are</w:t>
      </w:r>
      <w:r>
        <w:rPr>
          <w:rFonts w:ascii="Times New Roman" w:hAnsi="Times New Roman" w:cs="Times New Roman"/>
          <w:sz w:val="24"/>
          <w:szCs w:val="24"/>
        </w:rPr>
        <w:t xml:space="preserve"> considered protected health information under HIPAA. “A violation of HIPAA isn’t something to be overlooked, regardless of how minor it may be”. (Moneypenny</w:t>
      </w:r>
      <w:r w:rsidR="00225CC8">
        <w:rPr>
          <w:rFonts w:ascii="Times New Roman" w:hAnsi="Times New Roman" w:cs="Times New Roman"/>
          <w:sz w:val="24"/>
          <w:szCs w:val="24"/>
        </w:rPr>
        <w:t xml:space="preserve">, 2020) The healthcare providers being the nurses of the OBGYN Unit, and the hospital can be held liable which the penalty can be severe. </w:t>
      </w:r>
      <w:r w:rsidR="004D3CAB">
        <w:rPr>
          <w:rFonts w:ascii="Times New Roman" w:hAnsi="Times New Roman" w:cs="Times New Roman"/>
          <w:sz w:val="24"/>
          <w:szCs w:val="24"/>
        </w:rPr>
        <w:t>Employee’s</w:t>
      </w:r>
      <w:r w:rsidR="00225CC8">
        <w:rPr>
          <w:rFonts w:ascii="Times New Roman" w:hAnsi="Times New Roman" w:cs="Times New Roman"/>
          <w:sz w:val="24"/>
          <w:szCs w:val="24"/>
        </w:rPr>
        <w:t xml:space="preserve"> </w:t>
      </w:r>
      <w:r w:rsidR="004D3CAB">
        <w:rPr>
          <w:rFonts w:ascii="Times New Roman" w:hAnsi="Times New Roman" w:cs="Times New Roman"/>
          <w:sz w:val="24"/>
          <w:szCs w:val="24"/>
        </w:rPr>
        <w:t>violations can</w:t>
      </w:r>
      <w:r w:rsidR="00225CC8">
        <w:rPr>
          <w:rFonts w:ascii="Times New Roman" w:hAnsi="Times New Roman" w:cs="Times New Roman"/>
          <w:sz w:val="24"/>
          <w:szCs w:val="24"/>
        </w:rPr>
        <w:t xml:space="preserve"> attract a fine along with jail time or even fire depending on the violation. </w:t>
      </w:r>
    </w:p>
    <w:p w14:paraId="7046E816" w14:textId="4C1F2FFF" w:rsidR="00225CC8" w:rsidRDefault="00225CC8" w:rsidP="00EE13B5">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 An example of legislation is the Health Insurance Portability and Accountability Act</w:t>
      </w:r>
      <w:r w:rsidR="00EE5EB6">
        <w:rPr>
          <w:rFonts w:ascii="Times New Roman" w:hAnsi="Times New Roman" w:cs="Times New Roman"/>
          <w:sz w:val="24"/>
          <w:szCs w:val="24"/>
        </w:rPr>
        <w:t xml:space="preserve"> federal law created in 1996 </w:t>
      </w:r>
      <w:r w:rsidR="004D3CAB">
        <w:rPr>
          <w:rFonts w:ascii="Times New Roman" w:hAnsi="Times New Roman" w:cs="Times New Roman"/>
          <w:sz w:val="24"/>
          <w:szCs w:val="24"/>
        </w:rPr>
        <w:t>requiring</w:t>
      </w:r>
      <w:r w:rsidR="00EE5EB6">
        <w:rPr>
          <w:rFonts w:ascii="Times New Roman" w:hAnsi="Times New Roman" w:cs="Times New Roman"/>
          <w:sz w:val="24"/>
          <w:szCs w:val="24"/>
        </w:rPr>
        <w:t xml:space="preserve"> the protection of sensitive information from being disclosed without consent.</w:t>
      </w:r>
      <w:r w:rsidR="004D3CAB">
        <w:rPr>
          <w:rFonts w:ascii="Times New Roman" w:hAnsi="Times New Roman" w:cs="Times New Roman"/>
          <w:sz w:val="24"/>
          <w:szCs w:val="24"/>
        </w:rPr>
        <w:t xml:space="preserve"> The Texas Medical Privacy Act is an example signed into law in 2000 to provide more protection for patient privacy provided under HIPAA. </w:t>
      </w:r>
    </w:p>
    <w:p w14:paraId="6D20C6A5" w14:textId="77777777" w:rsidR="004D3CAB" w:rsidRDefault="004D3CAB" w:rsidP="004D3CAB">
      <w:pPr>
        <w:spacing w:line="480" w:lineRule="auto"/>
        <w:rPr>
          <w:rFonts w:ascii="Times New Roman" w:hAnsi="Times New Roman" w:cs="Times New Roman"/>
          <w:sz w:val="24"/>
          <w:szCs w:val="24"/>
        </w:rPr>
      </w:pPr>
      <w:r w:rsidRPr="00C81C17">
        <w:rPr>
          <w:rFonts w:ascii="Times New Roman" w:hAnsi="Times New Roman" w:cs="Times New Roman"/>
          <w:b/>
          <w:bCs/>
          <w:sz w:val="24"/>
          <w:szCs w:val="24"/>
        </w:rPr>
        <w:t>Compliance Scenario #3</w:t>
      </w:r>
      <w:r>
        <w:rPr>
          <w:rFonts w:ascii="Times New Roman" w:hAnsi="Times New Roman" w:cs="Times New Roman"/>
          <w:sz w:val="24"/>
          <w:szCs w:val="24"/>
        </w:rPr>
        <w:tab/>
      </w:r>
    </w:p>
    <w:p w14:paraId="1D7190EB" w14:textId="77777777" w:rsidR="004D3CAB" w:rsidRDefault="004D3CAB" w:rsidP="004D3CAB">
      <w:pPr>
        <w:spacing w:line="480" w:lineRule="auto"/>
        <w:ind w:firstLine="720"/>
        <w:rPr>
          <w:rFonts w:ascii="Times New Roman" w:hAnsi="Times New Roman" w:cs="Times New Roman"/>
          <w:sz w:val="24"/>
          <w:szCs w:val="24"/>
        </w:rPr>
      </w:pPr>
      <w:r>
        <w:rPr>
          <w:rFonts w:ascii="Times New Roman" w:hAnsi="Times New Roman" w:cs="Times New Roman"/>
          <w:sz w:val="24"/>
          <w:szCs w:val="24"/>
        </w:rPr>
        <w:t>Dr. H is who is employed within the facility has sent a memo to this office stating a potential issue may have happened in her office. Dr. H physician assistant has been seeing a patient with persistent laryngitis for a few months, however, with antibiotics the patient’s condition has remained unresolved. The patient went to get a second opinion and was diagnosed with a cancerous nodule on her vocal cords.</w:t>
      </w:r>
    </w:p>
    <w:p w14:paraId="28D14D48" w14:textId="77777777" w:rsidR="004D3CAB" w:rsidRDefault="004D3CAB" w:rsidP="004D3CAB">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The information that Dr. H should know from the PA is why wasn’t any test given and why wasn’t he consulted on the case before after continuous visits for the same concern? What was the initial plan after ineffective antibiotics? If a lawsuit were to be bought forward both the physician assistant and Dr. H could be held liable because the PA is employed within his facility, and he is supposed to oversee see the assistant. Since a medical doctor must supervise, he will be liable for the PA mistakes.</w:t>
      </w:r>
    </w:p>
    <w:p w14:paraId="008E88B2" w14:textId="77777777" w:rsidR="004D3CAB" w:rsidRDefault="004D3CAB" w:rsidP="004D3CAB">
      <w:pPr>
        <w:spacing w:line="480" w:lineRule="auto"/>
        <w:rPr>
          <w:rFonts w:ascii="Times New Roman" w:hAnsi="Times New Roman" w:cs="Times New Roman"/>
          <w:sz w:val="24"/>
          <w:szCs w:val="24"/>
        </w:rPr>
      </w:pPr>
      <w:r>
        <w:rPr>
          <w:rFonts w:ascii="Times New Roman" w:hAnsi="Times New Roman" w:cs="Times New Roman"/>
          <w:sz w:val="24"/>
          <w:szCs w:val="24"/>
        </w:rPr>
        <w:tab/>
        <w:t>“We know in today’s medical practices more and more medical providers are using PA’s and NPs to meet needs of patients”.</w:t>
      </w:r>
      <w:sdt>
        <w:sdtPr>
          <w:rPr>
            <w:rFonts w:ascii="Times New Roman" w:hAnsi="Times New Roman" w:cs="Times New Roman"/>
            <w:sz w:val="24"/>
            <w:szCs w:val="24"/>
          </w:rPr>
          <w:id w:val="-2007433614"/>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Inc10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9277CD">
            <w:rPr>
              <w:rFonts w:ascii="Times New Roman" w:hAnsi="Times New Roman" w:cs="Times New Roman"/>
              <w:noProof/>
              <w:sz w:val="24"/>
              <w:szCs w:val="24"/>
            </w:rPr>
            <w:t>(Increased Liability for Physican overNP's and PA's, 2010)</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An example case is the Watkins v. Affiliated Internists, (Dec. 29, 2009) “the Tennessee Rules and Regulation found a physician in violation regarding the supervision of a PA and NP raising to a claim of negligence”.</w:t>
      </w:r>
      <w:sdt>
        <w:sdtPr>
          <w:rPr>
            <w:rFonts w:ascii="Times New Roman" w:hAnsi="Times New Roman" w:cs="Times New Roman"/>
            <w:sz w:val="24"/>
            <w:szCs w:val="24"/>
          </w:rPr>
          <w:id w:val="-2047055799"/>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Inc10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B624BC">
            <w:rPr>
              <w:rFonts w:ascii="Times New Roman" w:hAnsi="Times New Roman" w:cs="Times New Roman"/>
              <w:noProof/>
              <w:sz w:val="24"/>
              <w:szCs w:val="24"/>
            </w:rPr>
            <w:t>(Increased Liability for Physican overNP's and PA's, 2010)</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My recommendation for providers using PA’s or  NP’s would include familiarizing themselves with the standard of care or clinical supervision guidelines.</w:t>
      </w:r>
    </w:p>
    <w:p w14:paraId="7AC3C30A" w14:textId="77777777" w:rsidR="004D3CAB" w:rsidRDefault="004D3CAB" w:rsidP="004D3CAB">
      <w:pPr>
        <w:spacing w:line="480" w:lineRule="auto"/>
        <w:rPr>
          <w:rFonts w:ascii="Times New Roman" w:hAnsi="Times New Roman" w:cs="Times New Roman"/>
          <w:b/>
          <w:bCs/>
          <w:sz w:val="24"/>
          <w:szCs w:val="24"/>
        </w:rPr>
      </w:pPr>
      <w:r w:rsidRPr="00AE291F">
        <w:rPr>
          <w:rFonts w:ascii="Times New Roman" w:hAnsi="Times New Roman" w:cs="Times New Roman"/>
          <w:b/>
          <w:bCs/>
          <w:sz w:val="24"/>
          <w:szCs w:val="24"/>
        </w:rPr>
        <w:t>Compliance # 4</w:t>
      </w:r>
    </w:p>
    <w:p w14:paraId="431E5077" w14:textId="77777777" w:rsidR="004D3CAB" w:rsidRDefault="004D3CAB" w:rsidP="004D3CAB">
      <w:pPr>
        <w:spacing w:line="48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Mr., and Mrs. C, parents of D.C who is minor child filed a lawsuit that alleges last summer the child was brought to the Emergency Room for a head laceration after falling at the playground. The laceration was treated by the attending physician who is DO with 15 stitches and follow up care to remove the stitches a week later, however, the parents claim they were never informed the wound was severe enough for plastic surgery to evaluate and given the option of the plastic surgeon to perform the procedure who is a medical doctor.</w:t>
      </w:r>
    </w:p>
    <w:p w14:paraId="7D01CC8E" w14:textId="77777777" w:rsidR="004D3CAB" w:rsidRDefault="004D3CAB" w:rsidP="004D3CAB">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The parents are not happy with appearance of the child’s scar and claim they never would have agreed to the ER doctor doing it if the option of the scar looking less prominent was </w:t>
      </w:r>
      <w:r>
        <w:rPr>
          <w:rFonts w:ascii="Times New Roman" w:hAnsi="Times New Roman" w:cs="Times New Roman"/>
          <w:sz w:val="24"/>
          <w:szCs w:val="24"/>
        </w:rPr>
        <w:lastRenderedPageBreak/>
        <w:t>completed by a plastic surgeon. Their lawsuit alleges they did not receive the information necessary for consent for the procedure performed on their daughter. As the patient record was pulled, no mention of the ER physician discussing the option of plastic surgery before consent was obtained.</w:t>
      </w:r>
    </w:p>
    <w:p w14:paraId="49114FEF" w14:textId="77777777" w:rsidR="004D3CAB" w:rsidRDefault="004D3CAB" w:rsidP="004D3CAB">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No, the scenario did meet the criteria for Informed Consent, however, pertinent information like risks and benefits needed to make a choice was lacking as well as questions about the treatment in order to make good decisions about care. “Most hospitals state communication, reporting, and coordination of care is their main issue with specialty consults, but the referring doctor should provide the specialist with information on how a consult can improve the outcome”.</w:t>
      </w:r>
      <w:sdt>
        <w:sdtPr>
          <w:rPr>
            <w:rFonts w:ascii="Times New Roman" w:hAnsi="Times New Roman" w:cs="Times New Roman"/>
            <w:sz w:val="24"/>
            <w:szCs w:val="24"/>
          </w:rPr>
          <w:id w:val="1930686479"/>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21JF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FC33F8">
            <w:rPr>
              <w:rFonts w:ascii="Times New Roman" w:hAnsi="Times New Roman" w:cs="Times New Roman"/>
              <w:noProof/>
              <w:sz w:val="24"/>
              <w:szCs w:val="24"/>
            </w:rPr>
            <w:t>(Specialty Consults and types of Doctors, 2021)</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t>
      </w:r>
    </w:p>
    <w:p w14:paraId="3834507A" w14:textId="4A002B31" w:rsidR="004D3CAB" w:rsidRDefault="004D3CAB" w:rsidP="004D3CAB">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Protocol was not followed by the ER physician when it came to giving the parents adequate information to make the best decision. Informed consent is one of the key elements for protection of the patients. For example, under Texas law “informed consent describes the physician’s duty to disclose to the patient or parents of minors the risks and hazards of medical care to treatment that would influence a person’s decision to give or withhold consent to treatment”.</w:t>
      </w:r>
      <w:sdt>
        <w:sdtPr>
          <w:rPr>
            <w:rFonts w:ascii="Times New Roman" w:hAnsi="Times New Roman" w:cs="Times New Roman"/>
            <w:sz w:val="24"/>
            <w:szCs w:val="24"/>
          </w:rPr>
          <w:id w:val="-1844006375"/>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Rus00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F93442">
            <w:rPr>
              <w:rFonts w:ascii="Times New Roman" w:hAnsi="Times New Roman" w:cs="Times New Roman"/>
              <w:noProof/>
              <w:sz w:val="24"/>
              <w:szCs w:val="24"/>
            </w:rPr>
            <w:t>(Russell G. Thornton, 2000)</w:t>
          </w:r>
          <w:r>
            <w:rPr>
              <w:rFonts w:ascii="Times New Roman" w:hAnsi="Times New Roman" w:cs="Times New Roman"/>
              <w:sz w:val="24"/>
              <w:szCs w:val="24"/>
            </w:rPr>
            <w:fldChar w:fldCharType="end"/>
          </w:r>
        </w:sdtContent>
      </w:sdt>
    </w:p>
    <w:p w14:paraId="0385CC99" w14:textId="4744D181" w:rsidR="004D3CAB" w:rsidRDefault="004D3CAB" w:rsidP="004D3CAB">
      <w:pPr>
        <w:spacing w:line="480" w:lineRule="auto"/>
        <w:ind w:firstLine="720"/>
        <w:rPr>
          <w:rFonts w:ascii="Times New Roman" w:hAnsi="Times New Roman" w:cs="Times New Roman"/>
          <w:sz w:val="24"/>
          <w:szCs w:val="24"/>
        </w:rPr>
      </w:pPr>
    </w:p>
    <w:p w14:paraId="36262A8A" w14:textId="713AC074" w:rsidR="004D3CAB" w:rsidRDefault="004D3CAB" w:rsidP="004D3CAB">
      <w:pPr>
        <w:spacing w:line="480" w:lineRule="auto"/>
        <w:ind w:firstLine="720"/>
        <w:rPr>
          <w:rFonts w:ascii="Times New Roman" w:hAnsi="Times New Roman" w:cs="Times New Roman"/>
          <w:sz w:val="24"/>
          <w:szCs w:val="24"/>
        </w:rPr>
      </w:pPr>
    </w:p>
    <w:p w14:paraId="75F6178D" w14:textId="7CF26E56" w:rsidR="004D3CAB" w:rsidRDefault="004D3CAB" w:rsidP="004D3CAB">
      <w:pPr>
        <w:spacing w:line="480" w:lineRule="auto"/>
        <w:ind w:firstLine="720"/>
        <w:rPr>
          <w:rFonts w:ascii="Times New Roman" w:hAnsi="Times New Roman" w:cs="Times New Roman"/>
          <w:sz w:val="24"/>
          <w:szCs w:val="24"/>
        </w:rPr>
      </w:pPr>
    </w:p>
    <w:p w14:paraId="7B7FCBA8" w14:textId="70B4D3F4" w:rsidR="004D3CAB" w:rsidRDefault="004D3CAB" w:rsidP="004D3CAB">
      <w:pPr>
        <w:spacing w:line="480" w:lineRule="auto"/>
        <w:ind w:firstLine="720"/>
        <w:rPr>
          <w:rFonts w:ascii="Times New Roman" w:hAnsi="Times New Roman" w:cs="Times New Roman"/>
          <w:sz w:val="24"/>
          <w:szCs w:val="24"/>
        </w:rPr>
      </w:pPr>
    </w:p>
    <w:p w14:paraId="479F3270" w14:textId="415EC256" w:rsidR="004D3CAB" w:rsidRDefault="004D3CAB" w:rsidP="004D3CAB">
      <w:pPr>
        <w:spacing w:line="480" w:lineRule="auto"/>
        <w:ind w:firstLine="720"/>
        <w:rPr>
          <w:rFonts w:ascii="Times New Roman" w:hAnsi="Times New Roman" w:cs="Times New Roman"/>
          <w:sz w:val="24"/>
          <w:szCs w:val="24"/>
        </w:rPr>
      </w:pPr>
    </w:p>
    <w:p w14:paraId="6B523A4D" w14:textId="782652FD" w:rsidR="004D3CAB" w:rsidRDefault="004D3CAB" w:rsidP="004D3CAB">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14:paraId="6CD87146" w14:textId="77777777" w:rsidR="004D3CAB" w:rsidRDefault="004D3CAB" w:rsidP="004D3CAB">
      <w:pPr>
        <w:spacing w:line="480" w:lineRule="auto"/>
        <w:ind w:firstLine="720"/>
        <w:rPr>
          <w:rFonts w:ascii="Times New Roman" w:hAnsi="Times New Roman" w:cs="Times New Roman"/>
          <w:b/>
          <w:bCs/>
          <w:sz w:val="24"/>
          <w:szCs w:val="24"/>
        </w:rPr>
      </w:pPr>
    </w:p>
    <w:sdt>
      <w:sdtPr>
        <w:id w:val="1610313773"/>
        <w:docPartObj>
          <w:docPartGallery w:val="Bibliographies"/>
          <w:docPartUnique/>
        </w:docPartObj>
      </w:sdtPr>
      <w:sdtEndPr>
        <w:rPr>
          <w:rFonts w:asciiTheme="minorHAnsi" w:eastAsiaTheme="minorHAnsi" w:hAnsiTheme="minorHAnsi" w:cstheme="minorBidi"/>
          <w:color w:val="auto"/>
          <w:sz w:val="22"/>
          <w:szCs w:val="22"/>
        </w:rPr>
      </w:sdtEndPr>
      <w:sdtContent>
        <w:p w14:paraId="467E8D08" w14:textId="77777777" w:rsidR="004D3CAB" w:rsidRDefault="004D3CAB" w:rsidP="004D3CAB">
          <w:pPr>
            <w:pStyle w:val="Heading1"/>
          </w:pPr>
        </w:p>
        <w:sdt>
          <w:sdtPr>
            <w:id w:val="-573587230"/>
            <w:bibliography/>
          </w:sdtPr>
          <w:sdtContent>
            <w:p w14:paraId="7FF53675" w14:textId="0976CEB2" w:rsidR="004D3CAB" w:rsidRDefault="004D3CAB" w:rsidP="004D3CAB">
              <w:pPr>
                <w:pStyle w:val="Bibliography"/>
                <w:ind w:left="720" w:hanging="720"/>
                <w:rPr>
                  <w:noProof/>
                </w:rPr>
              </w:pPr>
              <w:r>
                <w:fldChar w:fldCharType="begin"/>
              </w:r>
              <w:r>
                <w:instrText xml:space="preserve"> BIBLIOGRAPHY </w:instrText>
              </w:r>
              <w:r>
                <w:fldChar w:fldCharType="separate"/>
              </w:r>
              <w:r>
                <w:rPr>
                  <w:noProof/>
                </w:rPr>
                <w:t xml:space="preserve">Goldstein, S. (2021). When Can a Parent Deny Medical Treatment to a Minor Child? </w:t>
              </w:r>
              <w:r>
                <w:rPr>
                  <w:i/>
                  <w:iCs/>
                  <w:noProof/>
                </w:rPr>
                <w:t>LawInfo</w:t>
              </w:r>
              <w:r>
                <w:rPr>
                  <w:noProof/>
                </w:rPr>
                <w:t xml:space="preserve">, </w:t>
              </w:r>
              <w:r w:rsidRPr="005E0846">
                <w:rPr>
                  <w:i/>
                  <w:iCs/>
                  <w:noProof/>
                  <w:u w:val="single"/>
                </w:rPr>
                <w:t>https://www. lawinfo.com.</w:t>
              </w:r>
            </w:p>
            <w:p w14:paraId="2DE427FB" w14:textId="77777777" w:rsidR="005E0846" w:rsidRPr="005E0846" w:rsidRDefault="005E0846" w:rsidP="005E0846"/>
            <w:p w14:paraId="7D371C70" w14:textId="0A2D8947" w:rsidR="004D3CAB" w:rsidRPr="005E0846" w:rsidRDefault="004D3CAB" w:rsidP="004D3CAB">
              <w:pPr>
                <w:pStyle w:val="Bibliography"/>
                <w:ind w:left="720" w:hanging="720"/>
                <w:rPr>
                  <w:i/>
                  <w:iCs/>
                  <w:noProof/>
                  <w:u w:val="single"/>
                </w:rPr>
              </w:pPr>
              <w:r>
                <w:rPr>
                  <w:noProof/>
                </w:rPr>
                <w:t xml:space="preserve">Moneypenny, M. (2020). Etactics. </w:t>
              </w:r>
              <w:r>
                <w:rPr>
                  <w:i/>
                  <w:iCs/>
                  <w:noProof/>
                </w:rPr>
                <w:t>Dont Overshare! Talking about Patients Without Using Names</w:t>
              </w:r>
              <w:r>
                <w:rPr>
                  <w:noProof/>
                </w:rPr>
                <w:t xml:space="preserve">, </w:t>
              </w:r>
              <w:r w:rsidRPr="005E0846">
                <w:rPr>
                  <w:i/>
                  <w:iCs/>
                  <w:noProof/>
                  <w:u w:val="single"/>
                </w:rPr>
                <w:t>htpps://www.etactics.com.</w:t>
              </w:r>
            </w:p>
            <w:p w14:paraId="0FF82E8E" w14:textId="77777777" w:rsidR="005E0846" w:rsidRPr="005E0846" w:rsidRDefault="005E0846" w:rsidP="005E0846"/>
            <w:p w14:paraId="464AF14B" w14:textId="77777777" w:rsidR="004D3CAB" w:rsidRDefault="004D3CAB" w:rsidP="004D3CAB">
              <w:pPr>
                <w:pStyle w:val="Bibliography"/>
                <w:ind w:left="720" w:hanging="720"/>
                <w:rPr>
                  <w:noProof/>
                </w:rPr>
              </w:pPr>
              <w:r>
                <w:rPr>
                  <w:noProof/>
                </w:rPr>
                <w:t xml:space="preserve">Swan, R. (2020). Faith based Medical Neglect: for Providers and Policymakers. </w:t>
              </w:r>
              <w:r>
                <w:rPr>
                  <w:i/>
                  <w:iCs/>
                  <w:noProof/>
                </w:rPr>
                <w:t>SpringerLink</w:t>
              </w:r>
              <w:r>
                <w:rPr>
                  <w:noProof/>
                </w:rPr>
                <w:t xml:space="preserve">, </w:t>
              </w:r>
              <w:r w:rsidRPr="005E0846">
                <w:rPr>
                  <w:i/>
                  <w:iCs/>
                  <w:noProof/>
                  <w:u w:val="single"/>
                </w:rPr>
                <w:t>https://www.link.springer.com</w:t>
              </w:r>
              <w:r>
                <w:rPr>
                  <w:noProof/>
                </w:rPr>
                <w:t>.</w:t>
              </w:r>
            </w:p>
            <w:p w14:paraId="714AAB7E" w14:textId="4417A6C8" w:rsidR="004D3CAB" w:rsidRDefault="004D3CAB" w:rsidP="004D3CAB">
              <w:pPr>
                <w:spacing w:line="480" w:lineRule="auto"/>
                <w:ind w:firstLine="720"/>
                <w:rPr>
                  <w:rFonts w:ascii="Times New Roman" w:hAnsi="Times New Roman" w:cs="Times New Roman"/>
                  <w:sz w:val="24"/>
                  <w:szCs w:val="24"/>
                </w:rPr>
              </w:pPr>
              <w:r>
                <w:rPr>
                  <w:b/>
                  <w:bCs/>
                  <w:noProof/>
                </w:rPr>
                <w:fldChar w:fldCharType="end"/>
              </w:r>
            </w:p>
          </w:sdtContent>
        </w:sdt>
      </w:sdtContent>
    </w:sdt>
    <w:sdt>
      <w:sdtPr>
        <w:id w:val="-534424690"/>
        <w:docPartObj>
          <w:docPartGallery w:val="Bibliographies"/>
          <w:docPartUnique/>
        </w:docPartObj>
      </w:sdtPr>
      <w:sdtContent>
        <w:sdt>
          <w:sdtPr>
            <w:id w:val="1475716637"/>
            <w:bibliography/>
          </w:sdtPr>
          <w:sdtContent>
            <w:p w14:paraId="06217E5B" w14:textId="77777777" w:rsidR="005E0846" w:rsidRDefault="005E0846" w:rsidP="005E0846">
              <w:pPr>
                <w:pStyle w:val="Bibliography"/>
                <w:ind w:left="720" w:hanging="720"/>
                <w:rPr>
                  <w:noProof/>
                </w:rPr>
              </w:pPr>
              <w:r>
                <w:fldChar w:fldCharType="begin"/>
              </w:r>
              <w:r>
                <w:instrText xml:space="preserve"> BIBLIOGRAPHY </w:instrText>
              </w:r>
              <w:r>
                <w:fldChar w:fldCharType="separate"/>
              </w:r>
              <w:r>
                <w:rPr>
                  <w:noProof/>
                </w:rPr>
                <w:t xml:space="preserve">Increased Liability for Physican overNP's and PA's. (2010). </w:t>
              </w:r>
              <w:r>
                <w:rPr>
                  <w:i/>
                  <w:iCs/>
                  <w:noProof/>
                </w:rPr>
                <w:t>Raiey.Kizer.Reviere.&amp; Bell PLC</w:t>
              </w:r>
              <w:r>
                <w:rPr>
                  <w:noProof/>
                </w:rPr>
                <w:t xml:space="preserve">, </w:t>
              </w:r>
              <w:r w:rsidRPr="00311CA4">
                <w:rPr>
                  <w:i/>
                  <w:iCs/>
                  <w:noProof/>
                  <w:u w:val="single"/>
                </w:rPr>
                <w:t>htpps://www.raineykizer.com.</w:t>
              </w:r>
            </w:p>
            <w:p w14:paraId="4DF914E4" w14:textId="6CC40CF5" w:rsidR="005E0846" w:rsidRPr="00311CA4" w:rsidRDefault="005E0846" w:rsidP="005E0846"/>
            <w:p w14:paraId="1AD8DD99" w14:textId="3B6BF18E" w:rsidR="005E0846" w:rsidRDefault="005E0846" w:rsidP="005E0846">
              <w:pPr>
                <w:pStyle w:val="Bibliography"/>
                <w:ind w:left="720" w:hanging="720"/>
                <w:rPr>
                  <w:i/>
                  <w:iCs/>
                  <w:noProof/>
                  <w:u w:val="single"/>
                </w:rPr>
              </w:pPr>
              <w:r>
                <w:rPr>
                  <w:noProof/>
                </w:rPr>
                <w:t xml:space="preserve">Russell G. Thornton, J. (2000). Informed Consent. </w:t>
              </w:r>
              <w:r>
                <w:rPr>
                  <w:i/>
                  <w:iCs/>
                  <w:noProof/>
                </w:rPr>
                <w:t>Baylor Medical Center Proceedings</w:t>
              </w:r>
              <w:r>
                <w:rPr>
                  <w:noProof/>
                </w:rPr>
                <w:t xml:space="preserve">, 187-190. </w:t>
              </w:r>
              <w:r w:rsidRPr="00A2538C">
                <w:rPr>
                  <w:i/>
                  <w:iCs/>
                  <w:noProof/>
                  <w:u w:val="single"/>
                </w:rPr>
                <w:t>htpps://www.ncbi.nlm.nih.gov</w:t>
              </w:r>
            </w:p>
            <w:p w14:paraId="371E9CF8" w14:textId="77777777" w:rsidR="00B53700" w:rsidRPr="00B53700" w:rsidRDefault="00B53700" w:rsidP="00B53700"/>
            <w:p w14:paraId="0CB9EA10" w14:textId="3831FBE8" w:rsidR="005E0846" w:rsidRPr="00311CA4" w:rsidRDefault="005E0846" w:rsidP="005E0846">
              <w:pPr>
                <w:pStyle w:val="Bibliography"/>
                <w:ind w:left="720" w:hanging="720"/>
                <w:rPr>
                  <w:i/>
                  <w:iCs/>
                  <w:noProof/>
                  <w:u w:val="single"/>
                </w:rPr>
              </w:pPr>
              <w:r w:rsidRPr="005E0846">
                <w:rPr>
                  <w:i/>
                  <w:iCs/>
                  <w:noProof/>
                </w:rPr>
                <w:t>Speciality Consults and types of Doctors. (2021). J. Flowers Health Institute|Active Marketing,</w:t>
              </w:r>
              <w:r>
                <w:rPr>
                  <w:i/>
                  <w:iCs/>
                  <w:noProof/>
                  <w:u w:val="single"/>
                </w:rPr>
                <w:t xml:space="preserve"> htpps:/www.jflowershealth</w:t>
              </w:r>
              <w:r w:rsidR="001F4601">
                <w:rPr>
                  <w:i/>
                  <w:iCs/>
                  <w:noProof/>
                  <w:u w:val="single"/>
                </w:rPr>
                <w:t>.</w:t>
              </w:r>
              <w:r>
                <w:rPr>
                  <w:i/>
                  <w:iCs/>
                  <w:noProof/>
                  <w:u w:val="single"/>
                </w:rPr>
                <w:t>com</w:t>
              </w:r>
            </w:p>
            <w:p w14:paraId="5355131F" w14:textId="77777777" w:rsidR="005E0846" w:rsidRDefault="005E0846" w:rsidP="005E0846">
              <w:r>
                <w:rPr>
                  <w:b/>
                  <w:bCs/>
                  <w:noProof/>
                </w:rPr>
                <w:fldChar w:fldCharType="end"/>
              </w:r>
            </w:p>
          </w:sdtContent>
        </w:sdt>
      </w:sdtContent>
    </w:sdt>
    <w:p w14:paraId="63812978" w14:textId="77777777" w:rsidR="004D3CAB" w:rsidRPr="001C25BF" w:rsidRDefault="004D3CAB" w:rsidP="00EE13B5">
      <w:pPr>
        <w:spacing w:line="480" w:lineRule="auto"/>
        <w:rPr>
          <w:rFonts w:ascii="Times New Roman" w:hAnsi="Times New Roman" w:cs="Times New Roman"/>
          <w:sz w:val="24"/>
          <w:szCs w:val="24"/>
        </w:rPr>
      </w:pPr>
    </w:p>
    <w:sectPr w:rsidR="004D3CAB" w:rsidRPr="001C25BF" w:rsidSect="00EE13B5">
      <w:headerReference w:type="default" r:id="rId7"/>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597AF1" w14:textId="77777777" w:rsidR="002A0F3E" w:rsidRDefault="002A0F3E" w:rsidP="005E0846">
      <w:pPr>
        <w:spacing w:after="0" w:line="240" w:lineRule="auto"/>
      </w:pPr>
      <w:r>
        <w:separator/>
      </w:r>
    </w:p>
  </w:endnote>
  <w:endnote w:type="continuationSeparator" w:id="0">
    <w:p w14:paraId="48F7CE2D" w14:textId="77777777" w:rsidR="002A0F3E" w:rsidRDefault="002A0F3E" w:rsidP="005E08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AFB768" w14:textId="77777777" w:rsidR="002A0F3E" w:rsidRDefault="002A0F3E" w:rsidP="005E0846">
      <w:pPr>
        <w:spacing w:after="0" w:line="240" w:lineRule="auto"/>
      </w:pPr>
      <w:r>
        <w:separator/>
      </w:r>
    </w:p>
  </w:footnote>
  <w:footnote w:type="continuationSeparator" w:id="0">
    <w:p w14:paraId="48244603" w14:textId="77777777" w:rsidR="002A0F3E" w:rsidRDefault="002A0F3E" w:rsidP="005E08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5441589"/>
      <w:docPartObj>
        <w:docPartGallery w:val="Page Numbers (Top of Page)"/>
        <w:docPartUnique/>
      </w:docPartObj>
    </w:sdtPr>
    <w:sdtEndPr>
      <w:rPr>
        <w:noProof/>
      </w:rPr>
    </w:sdtEndPr>
    <w:sdtContent>
      <w:p w14:paraId="65A3A8D9" w14:textId="1304A92A" w:rsidR="005E0846" w:rsidRDefault="00D81D87" w:rsidP="00D81D87">
        <w:pPr>
          <w:pStyle w:val="Header"/>
          <w:jc w:val="center"/>
        </w:pPr>
        <w:r>
          <w:t xml:space="preserve">                                                                                                                                                                                     </w:t>
        </w:r>
        <w:r w:rsidR="005E0846">
          <w:fldChar w:fldCharType="begin"/>
        </w:r>
        <w:r w:rsidR="005E0846">
          <w:instrText xml:space="preserve"> PAGE   \* MERGEFORMAT </w:instrText>
        </w:r>
        <w:r w:rsidR="005E0846">
          <w:fldChar w:fldCharType="separate"/>
        </w:r>
        <w:r w:rsidR="005E0846">
          <w:rPr>
            <w:noProof/>
          </w:rPr>
          <w:t>2</w:t>
        </w:r>
        <w:r w:rsidR="005E0846">
          <w:rPr>
            <w:noProof/>
          </w:rPr>
          <w:fldChar w:fldCharType="end"/>
        </w:r>
      </w:p>
    </w:sdtContent>
  </w:sdt>
  <w:p w14:paraId="1756BEC7" w14:textId="39A3DD87" w:rsidR="005E0846" w:rsidRDefault="005E0846">
    <w:pPr>
      <w:pStyle w:val="Header"/>
    </w:pPr>
    <w:r>
      <w:t>HTHS 305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13B5"/>
    <w:rsid w:val="001F4601"/>
    <w:rsid w:val="00225CC8"/>
    <w:rsid w:val="002A0F3E"/>
    <w:rsid w:val="004D3CAB"/>
    <w:rsid w:val="005B569E"/>
    <w:rsid w:val="005E0846"/>
    <w:rsid w:val="007B7C5B"/>
    <w:rsid w:val="0096790E"/>
    <w:rsid w:val="00A97995"/>
    <w:rsid w:val="00B53700"/>
    <w:rsid w:val="00D81D87"/>
    <w:rsid w:val="00DA09C7"/>
    <w:rsid w:val="00E01D58"/>
    <w:rsid w:val="00EE13B5"/>
    <w:rsid w:val="00EE5E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480D7"/>
  <w15:chartTrackingRefBased/>
  <w15:docId w15:val="{6046D240-0DCB-4D29-80F2-3E9FBAAE6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3CA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E13B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EE13B5"/>
    <w:pPr>
      <w:spacing w:after="0" w:line="240" w:lineRule="auto"/>
    </w:pPr>
    <w:rPr>
      <w:rFonts w:eastAsiaTheme="minorEastAsia"/>
    </w:rPr>
  </w:style>
  <w:style w:type="character" w:customStyle="1" w:styleId="NoSpacingChar">
    <w:name w:val="No Spacing Char"/>
    <w:basedOn w:val="DefaultParagraphFont"/>
    <w:link w:val="NoSpacing"/>
    <w:uiPriority w:val="1"/>
    <w:rsid w:val="00EE13B5"/>
    <w:rPr>
      <w:rFonts w:eastAsiaTheme="minorEastAsia"/>
    </w:rPr>
  </w:style>
  <w:style w:type="character" w:customStyle="1" w:styleId="Heading2Char">
    <w:name w:val="Heading 2 Char"/>
    <w:basedOn w:val="DefaultParagraphFont"/>
    <w:link w:val="Heading2"/>
    <w:uiPriority w:val="9"/>
    <w:rsid w:val="00EE13B5"/>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4D3CAB"/>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4D3CAB"/>
  </w:style>
  <w:style w:type="paragraph" w:styleId="Header">
    <w:name w:val="header"/>
    <w:basedOn w:val="Normal"/>
    <w:link w:val="HeaderChar"/>
    <w:uiPriority w:val="99"/>
    <w:unhideWhenUsed/>
    <w:rsid w:val="005E08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0846"/>
  </w:style>
  <w:style w:type="paragraph" w:styleId="Footer">
    <w:name w:val="footer"/>
    <w:basedOn w:val="Normal"/>
    <w:link w:val="FooterChar"/>
    <w:uiPriority w:val="99"/>
    <w:unhideWhenUsed/>
    <w:rsid w:val="005E08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08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Syd21</b:Tag>
    <b:SourceType>JournalArticle</b:SourceType>
    <b:Guid>{E5D54FA2-3399-4BAD-B830-67C1F644E669}</b:Guid>
    <b:Author>
      <b:Author>
        <b:NameList>
          <b:Person>
            <b:Last>Goldstein</b:Last>
            <b:First>Sydney</b:First>
          </b:Person>
        </b:NameList>
      </b:Author>
    </b:Author>
    <b:Title>When Can a Parent Deny Medical Treatment to a Minor Child?</b:Title>
    <b:JournalName>LawInfo</b:JournalName>
    <b:Year>2021</b:Year>
    <b:Pages>https://www. lawinfo.com</b:Pages>
    <b:RefOrder>1</b:RefOrder>
  </b:Source>
  <b:Source>
    <b:Tag>Rit</b:Tag>
    <b:SourceType>JournalArticle</b:SourceType>
    <b:Guid>{7DEB91E2-EBEF-487E-A56D-41754819FC01}</b:Guid>
    <b:Author>
      <b:Author>
        <b:NameList>
          <b:Person>
            <b:Last>Swan</b:Last>
            <b:First>Rita</b:First>
          </b:Person>
        </b:NameList>
      </b:Author>
    </b:Author>
    <b:Title>Faith based Medical Neglect: for Providers and Policymakers</b:Title>
    <b:JournalName>SpringerLink</b:JournalName>
    <b:Year>2020</b:Year>
    <b:Pages>https://www.link.springer.com</b:Pages>
    <b:RefOrder>2</b:RefOrder>
  </b:Source>
  <b:Source>
    <b:Tag>Inc10</b:Tag>
    <b:SourceType>JournalArticle</b:SourceType>
    <b:Guid>{074D3F95-EAAE-4B96-8E6F-E4A8F4E17AF3}</b:Guid>
    <b:Title>Increased  Liability for Physican overNP's and PA's</b:Title>
    <b:JournalName>Raiey.Kizer.Reviere.&amp; Bell PLC</b:JournalName>
    <b:Year>2010</b:Year>
    <b:Pages>htpps://www.raineykizer.com</b:Pages>
    <b:RefOrder>1</b:RefOrder>
  </b:Source>
  <b:Source>
    <b:Tag>21JF</b:Tag>
    <b:SourceType>JournalArticle</b:SourceType>
    <b:Guid>{E381E3EE-62BC-467D-8A72-E32674D6ED4F}</b:Guid>
    <b:JournalName>J. Flowers Health Instiute|Active Marketing</b:JournalName>
    <b:Year>2021</b:Year>
    <b:Title>Specialty Consults and types of Doctors</b:Title>
    <b:Pages>htpps://www.jflowershealth.com</b:Pages>
    <b:RefOrder>2</b:RefOrder>
  </b:Source>
  <b:Source>
    <b:Tag>Rus00</b:Tag>
    <b:SourceType>JournalArticle</b:SourceType>
    <b:Guid>{E104B208-1F42-42B4-A3AD-0250E140F8E0}</b:Guid>
    <b:Title>Informed Consent</b:Title>
    <b:JournalName>Baylor Medical Center Proceedings</b:JournalName>
    <b:Year>2000</b:Year>
    <b:Pages>187-190</b:Pages>
    <b:Author>
      <b:Author>
        <b:NameList>
          <b:Person>
            <b:Last>Russell G. Thornton</b:Last>
            <b:First>JD</b:First>
          </b:Person>
        </b:NameList>
      </b:Author>
    </b:Author>
    <b:RefOrder>3</b:RefOrder>
  </b:Source>
  <b:Source>
    <b:Tag>MMo20</b:Tag>
    <b:SourceType>JournalArticle</b:SourceType>
    <b:Guid>{5A9CDD77-E89C-44CB-B45F-70331FD4B987}</b:Guid>
    <b:Author>
      <b:Author>
        <b:NameList>
          <b:Person>
            <b:Last>Moneypenny</b:Last>
            <b:First>M.</b:First>
          </b:Person>
        </b:NameList>
      </b:Author>
    </b:Author>
    <b:Title>Etactics</b:Title>
    <b:JournalName>Dont Overshare! Talking about Patients Without Using Names</b:JournalName>
    <b:Year>2020</b:Year>
    <b:Pages>htpps://www.etactics.com</b:Pages>
    <b:RefOrder>3</b:RefOrder>
  </b:Source>
</b:Sources>
</file>

<file path=customXml/itemProps1.xml><?xml version="1.0" encoding="utf-8"?>
<ds:datastoreItem xmlns:ds="http://schemas.openxmlformats.org/officeDocument/2006/customXml" ds:itemID="{D2F50CDB-D6D7-4961-9D15-9CDD06526E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6</Pages>
  <Words>1142</Words>
  <Characters>6514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portfolio</dc:title>
  <dc:subject>HTHS 305| 6/8/2022        LaWanda Webb</dc:subject>
  <dc:creator>lawandamwebb@outlook.com</dc:creator>
  <cp:keywords/>
  <dc:description/>
  <cp:lastModifiedBy>lawandamwebb@outlook.com</cp:lastModifiedBy>
  <cp:revision>4</cp:revision>
  <dcterms:created xsi:type="dcterms:W3CDTF">2022-06-08T22:09:00Z</dcterms:created>
  <dcterms:modified xsi:type="dcterms:W3CDTF">2022-06-08T22:24:00Z</dcterms:modified>
</cp:coreProperties>
</file>