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color w:val="4472C4" w:themeColor="accent1"/>
        </w:rPr>
        <w:id w:val="325331941"/>
        <w:docPartObj>
          <w:docPartGallery w:val="Cover Pages"/>
          <w:docPartUnique/>
        </w:docPartObj>
      </w:sdtPr>
      <w:sdtEndPr>
        <w:rPr>
          <w:rFonts w:eastAsiaTheme="minorHAnsi"/>
          <w:color w:val="auto"/>
        </w:rPr>
      </w:sdtEndPr>
      <w:sdtContent>
        <w:p w14:paraId="4352ECA3" w14:textId="123B582C" w:rsidR="0016633B" w:rsidRDefault="0016633B">
          <w:pPr>
            <w:pStyle w:val="NoSpacing"/>
            <w:spacing w:before="1540" w:after="240"/>
            <w:jc w:val="center"/>
            <w:rPr>
              <w:color w:val="4472C4" w:themeColor="accent1"/>
            </w:rPr>
          </w:pPr>
          <w:r>
            <w:rPr>
              <w:noProof/>
              <w:color w:val="4472C4" w:themeColor="accent1"/>
            </w:rPr>
            <w:drawing>
              <wp:inline distT="0" distB="0" distL="0" distR="0" wp14:anchorId="78523949" wp14:editId="056CA07B">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5"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Title"/>
            <w:tag w:val=""/>
            <w:id w:val="1735040861"/>
            <w:placeholder>
              <w:docPart w:val="2BB2BC3C77FA475EB29566C01F652E1F"/>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5F4D0E4B" w14:textId="7E04EBED" w:rsidR="0016633B" w:rsidRDefault="005D272F">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Portfolio Project</w:t>
              </w:r>
            </w:p>
          </w:sdtContent>
        </w:sdt>
        <w:sdt>
          <w:sdtPr>
            <w:rPr>
              <w:color w:val="4472C4" w:themeColor="accent1"/>
              <w:sz w:val="28"/>
              <w:szCs w:val="28"/>
            </w:rPr>
            <w:alias w:val="Subtitle"/>
            <w:tag w:val=""/>
            <w:id w:val="328029620"/>
            <w:placeholder>
              <w:docPart w:val="84A0EFDE090E4C78B0D847C6DC4147FE"/>
            </w:placeholder>
            <w:dataBinding w:prefixMappings="xmlns:ns0='http://purl.org/dc/elements/1.1/' xmlns:ns1='http://schemas.openxmlformats.org/package/2006/metadata/core-properties' " w:xpath="/ns1:coreProperties[1]/ns0:subject[1]" w:storeItemID="{6C3C8BC8-F283-45AE-878A-BAB7291924A1}"/>
            <w:text/>
          </w:sdtPr>
          <w:sdtContent>
            <w:p w14:paraId="2A2A2E5C" w14:textId="7C82922B" w:rsidR="0016633B" w:rsidRDefault="00F4794D">
              <w:pPr>
                <w:pStyle w:val="NoSpacing"/>
                <w:jc w:val="center"/>
                <w:rPr>
                  <w:color w:val="4472C4" w:themeColor="accent1"/>
                  <w:sz w:val="28"/>
                  <w:szCs w:val="28"/>
                </w:rPr>
              </w:pPr>
              <w:r>
                <w:rPr>
                  <w:color w:val="4472C4" w:themeColor="accent1"/>
                  <w:sz w:val="28"/>
                  <w:szCs w:val="28"/>
                </w:rPr>
                <w:t>Denying A Conjunct Fallacy</w:t>
              </w:r>
            </w:p>
          </w:sdtContent>
        </w:sdt>
        <w:p w14:paraId="2F415478" w14:textId="77777777" w:rsidR="0016633B" w:rsidRDefault="0016633B">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9264" behindDoc="0" locked="0" layoutInCell="1" allowOverlap="1" wp14:anchorId="33554502" wp14:editId="69452BA6">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2-10-24T00:00:00Z">
                                    <w:dateFormat w:val="MMMM d, yyyy"/>
                                    <w:lid w:val="en-US"/>
                                    <w:storeMappedDataAs w:val="dateTime"/>
                                    <w:calendar w:val="gregorian"/>
                                  </w:date>
                                </w:sdtPr>
                                <w:sdtContent>
                                  <w:p w14:paraId="57E7BBA3" w14:textId="525C64AC" w:rsidR="0016633B" w:rsidRDefault="007244A4">
                                    <w:pPr>
                                      <w:pStyle w:val="NoSpacing"/>
                                      <w:spacing w:after="40"/>
                                      <w:jc w:val="center"/>
                                      <w:rPr>
                                        <w:caps/>
                                        <w:color w:val="4472C4" w:themeColor="accent1"/>
                                        <w:sz w:val="28"/>
                                        <w:szCs w:val="28"/>
                                      </w:rPr>
                                    </w:pPr>
                                    <w:r>
                                      <w:rPr>
                                        <w:caps/>
                                        <w:color w:val="4472C4" w:themeColor="accent1"/>
                                        <w:sz w:val="28"/>
                                        <w:szCs w:val="28"/>
                                      </w:rPr>
                                      <w:t>October 24, 2022</w:t>
                                    </w:r>
                                  </w:p>
                                </w:sdtContent>
                              </w:sdt>
                              <w:p w14:paraId="70163141" w14:textId="161DF7CA" w:rsidR="0016633B" w:rsidRDefault="0016633B">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0E3DE6">
                                      <w:rPr>
                                        <w:caps/>
                                        <w:color w:val="4472C4" w:themeColor="accent1"/>
                                      </w:rPr>
                                      <w:t>Bryant &amp; Stratton College</w:t>
                                    </w:r>
                                  </w:sdtContent>
                                </w:sdt>
                              </w:p>
                              <w:p w14:paraId="1E6C9109" w14:textId="1F1E1CC8" w:rsidR="0016633B" w:rsidRDefault="0016633B">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0E3DE6">
                                      <w:rPr>
                                        <w:color w:val="4472C4" w:themeColor="accent1"/>
                                      </w:rPr>
                                      <w:t>Phil310 Logic &amp; Reasoning</w:t>
                                    </w:r>
                                  </w:sdtContent>
                                </w:sdt>
                              </w:p>
                              <w:p w14:paraId="2EAD77EE" w14:textId="524B60B5" w:rsidR="00F1579D" w:rsidRPr="00F74873" w:rsidRDefault="00F74873">
                                <w:pPr>
                                  <w:pStyle w:val="NoSpacing"/>
                                  <w:jc w:val="center"/>
                                  <w:rPr>
                                    <w:rFonts w:ascii="Times New Roman" w:hAnsi="Times New Roman" w:cs="Times New Roman"/>
                                    <w:color w:val="4472C4" w:themeColor="accent1"/>
                                    <w:sz w:val="36"/>
                                    <w:szCs w:val="36"/>
                                  </w:rPr>
                                </w:pPr>
                                <w:r w:rsidRPr="00F74873">
                                  <w:rPr>
                                    <w:rFonts w:ascii="Times New Roman" w:hAnsi="Times New Roman" w:cs="Times New Roman"/>
                                    <w:color w:val="4472C4" w:themeColor="accent1"/>
                                    <w:sz w:val="36"/>
                                    <w:szCs w:val="36"/>
                                  </w:rPr>
                                  <w:t>Valeno’ Gordon</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33554502"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2-10-24T00:00:00Z">
                              <w:dateFormat w:val="MMMM d, yyyy"/>
                              <w:lid w:val="en-US"/>
                              <w:storeMappedDataAs w:val="dateTime"/>
                              <w:calendar w:val="gregorian"/>
                            </w:date>
                          </w:sdtPr>
                          <w:sdtContent>
                            <w:p w14:paraId="57E7BBA3" w14:textId="525C64AC" w:rsidR="0016633B" w:rsidRDefault="007244A4">
                              <w:pPr>
                                <w:pStyle w:val="NoSpacing"/>
                                <w:spacing w:after="40"/>
                                <w:jc w:val="center"/>
                                <w:rPr>
                                  <w:caps/>
                                  <w:color w:val="4472C4" w:themeColor="accent1"/>
                                  <w:sz w:val="28"/>
                                  <w:szCs w:val="28"/>
                                </w:rPr>
                              </w:pPr>
                              <w:r>
                                <w:rPr>
                                  <w:caps/>
                                  <w:color w:val="4472C4" w:themeColor="accent1"/>
                                  <w:sz w:val="28"/>
                                  <w:szCs w:val="28"/>
                                </w:rPr>
                                <w:t>October 24, 2022</w:t>
                              </w:r>
                            </w:p>
                          </w:sdtContent>
                        </w:sdt>
                        <w:p w14:paraId="70163141" w14:textId="161DF7CA" w:rsidR="0016633B" w:rsidRDefault="0016633B">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0E3DE6">
                                <w:rPr>
                                  <w:caps/>
                                  <w:color w:val="4472C4" w:themeColor="accent1"/>
                                </w:rPr>
                                <w:t>Bryant &amp; Stratton College</w:t>
                              </w:r>
                            </w:sdtContent>
                          </w:sdt>
                        </w:p>
                        <w:p w14:paraId="1E6C9109" w14:textId="1F1E1CC8" w:rsidR="0016633B" w:rsidRDefault="0016633B">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0E3DE6">
                                <w:rPr>
                                  <w:color w:val="4472C4" w:themeColor="accent1"/>
                                </w:rPr>
                                <w:t>Phil310 Logic &amp; Reasoning</w:t>
                              </w:r>
                            </w:sdtContent>
                          </w:sdt>
                        </w:p>
                        <w:p w14:paraId="2EAD77EE" w14:textId="524B60B5" w:rsidR="00F1579D" w:rsidRPr="00F74873" w:rsidRDefault="00F74873">
                          <w:pPr>
                            <w:pStyle w:val="NoSpacing"/>
                            <w:jc w:val="center"/>
                            <w:rPr>
                              <w:rFonts w:ascii="Times New Roman" w:hAnsi="Times New Roman" w:cs="Times New Roman"/>
                              <w:color w:val="4472C4" w:themeColor="accent1"/>
                              <w:sz w:val="36"/>
                              <w:szCs w:val="36"/>
                            </w:rPr>
                          </w:pPr>
                          <w:r w:rsidRPr="00F74873">
                            <w:rPr>
                              <w:rFonts w:ascii="Times New Roman" w:hAnsi="Times New Roman" w:cs="Times New Roman"/>
                              <w:color w:val="4472C4" w:themeColor="accent1"/>
                              <w:sz w:val="36"/>
                              <w:szCs w:val="36"/>
                            </w:rPr>
                            <w:t>Valeno’ Gordon</w:t>
                          </w:r>
                        </w:p>
                      </w:txbxContent>
                    </v:textbox>
                    <w10:wrap anchorx="margin" anchory="page"/>
                  </v:shape>
                </w:pict>
              </mc:Fallback>
            </mc:AlternateContent>
          </w:r>
          <w:r>
            <w:rPr>
              <w:noProof/>
              <w:color w:val="4472C4" w:themeColor="accent1"/>
            </w:rPr>
            <w:drawing>
              <wp:inline distT="0" distB="0" distL="0" distR="0" wp14:anchorId="1DA87BEA" wp14:editId="63A6761B">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6"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2A5E2733" w14:textId="288E0F2D" w:rsidR="0016633B" w:rsidRDefault="0016633B">
          <w:pPr>
            <w:rPr>
              <w:rFonts w:ascii="Times New Roman" w:eastAsia="Times New Roman" w:hAnsi="Times New Roman" w:cs="Times New Roman"/>
              <w:sz w:val="24"/>
              <w:szCs w:val="24"/>
            </w:rPr>
          </w:pPr>
          <w:r>
            <w:br w:type="page"/>
          </w:r>
        </w:p>
      </w:sdtContent>
    </w:sdt>
    <w:p w14:paraId="74189555" w14:textId="6A0058DE" w:rsidR="00C244C2" w:rsidRPr="00C244C2" w:rsidRDefault="00C244C2" w:rsidP="00C244C2">
      <w:pPr>
        <w:pStyle w:val="NormalWeb"/>
        <w:spacing w:before="0" w:beforeAutospacing="0" w:after="0" w:afterAutospacing="0" w:line="480" w:lineRule="auto"/>
        <w:rPr>
          <w:b/>
          <w:bCs/>
          <w:color w:val="0E101A"/>
          <w:u w:val="single"/>
        </w:rPr>
      </w:pPr>
      <w:r w:rsidRPr="00C244C2">
        <w:rPr>
          <w:b/>
          <w:bCs/>
          <w:color w:val="0E101A"/>
          <w:u w:val="single"/>
        </w:rPr>
        <w:lastRenderedPageBreak/>
        <w:t>Abstract</w:t>
      </w:r>
    </w:p>
    <w:p w14:paraId="563E1D2B" w14:textId="77777777" w:rsidR="00A84BB1" w:rsidRDefault="00A84BB1" w:rsidP="00A84BB1">
      <w:pPr>
        <w:pStyle w:val="mb-25"/>
        <w:spacing w:before="0" w:beforeAutospacing="0" w:after="0" w:afterAutospacing="0" w:line="480" w:lineRule="auto"/>
        <w:ind w:firstLine="720"/>
      </w:pPr>
      <w:r>
        <w:t xml:space="preserve">The purpose of this paper is to give life to identifying and denying a conjunct fallacy. The definition of a </w:t>
      </w:r>
      <w:r w:rsidRPr="00A84BB1">
        <w:rPr>
          <w:b/>
          <w:bCs/>
          <w:i/>
          <w:iCs/>
        </w:rPr>
        <w:t>fallacy</w:t>
      </w:r>
      <w:r>
        <w:t xml:space="preserve"> is a mistaken belief that is based on an unsound argument. It can also be a failure of reasoning on the part of the individual. An example of a </w:t>
      </w:r>
      <w:r w:rsidRPr="00A84BB1">
        <w:rPr>
          <w:b/>
          <w:bCs/>
          <w:i/>
          <w:iCs/>
        </w:rPr>
        <w:t>conjunct fallacy</w:t>
      </w:r>
      <w:r>
        <w:t xml:space="preserve"> is estimating whether a statement or a conjunct is true or false based on including a conjunct. The conjunct fallacy aims to make one choose the most probable choice, thereby reducing ambiguity. I will use the example of denying a conjunct in the workplace to illustrate my point. A physician may not always be able to see a patient, and sometimes a physician may have to take a day off from their practice. Based on the articles presented, it can be seen that denying a conjunct fallacy can greatly enhance logical reasoning, which allows for conscious reflection instead of intuitive sense.</w:t>
      </w:r>
    </w:p>
    <w:p w14:paraId="7E354520" w14:textId="77777777" w:rsidR="00C244C2" w:rsidRDefault="00C244C2" w:rsidP="00C244C2">
      <w:pPr>
        <w:pStyle w:val="NormalWeb"/>
        <w:spacing w:before="0" w:beforeAutospacing="0" w:after="0" w:afterAutospacing="0" w:line="480" w:lineRule="auto"/>
        <w:rPr>
          <w:b/>
          <w:bCs/>
          <w:color w:val="0E101A"/>
          <w:u w:val="single"/>
        </w:rPr>
      </w:pPr>
    </w:p>
    <w:p w14:paraId="7D6C6D08" w14:textId="77777777" w:rsidR="00C244C2" w:rsidRDefault="00C244C2" w:rsidP="00C244C2">
      <w:pPr>
        <w:pStyle w:val="NormalWeb"/>
        <w:spacing w:before="0" w:beforeAutospacing="0" w:after="0" w:afterAutospacing="0" w:line="480" w:lineRule="auto"/>
        <w:rPr>
          <w:b/>
          <w:bCs/>
          <w:color w:val="0E101A"/>
          <w:u w:val="single"/>
        </w:rPr>
      </w:pPr>
    </w:p>
    <w:p w14:paraId="651B37D8" w14:textId="77777777" w:rsidR="00C244C2" w:rsidRDefault="00C244C2" w:rsidP="00C244C2">
      <w:pPr>
        <w:pStyle w:val="NormalWeb"/>
        <w:spacing w:before="0" w:beforeAutospacing="0" w:after="0" w:afterAutospacing="0" w:line="480" w:lineRule="auto"/>
        <w:rPr>
          <w:b/>
          <w:bCs/>
          <w:color w:val="0E101A"/>
          <w:u w:val="single"/>
        </w:rPr>
      </w:pPr>
    </w:p>
    <w:p w14:paraId="372AA8B4" w14:textId="77777777" w:rsidR="00C244C2" w:rsidRDefault="00C244C2" w:rsidP="00C244C2">
      <w:pPr>
        <w:pStyle w:val="NormalWeb"/>
        <w:spacing w:before="0" w:beforeAutospacing="0" w:after="0" w:afterAutospacing="0" w:line="480" w:lineRule="auto"/>
        <w:rPr>
          <w:b/>
          <w:bCs/>
          <w:color w:val="0E101A"/>
          <w:u w:val="single"/>
        </w:rPr>
      </w:pPr>
    </w:p>
    <w:p w14:paraId="07A4A0C6" w14:textId="77777777" w:rsidR="00C244C2" w:rsidRDefault="00C244C2" w:rsidP="00C244C2">
      <w:pPr>
        <w:pStyle w:val="NormalWeb"/>
        <w:spacing w:before="0" w:beforeAutospacing="0" w:after="0" w:afterAutospacing="0" w:line="480" w:lineRule="auto"/>
        <w:rPr>
          <w:b/>
          <w:bCs/>
          <w:color w:val="0E101A"/>
          <w:u w:val="single"/>
        </w:rPr>
      </w:pPr>
    </w:p>
    <w:p w14:paraId="2F107E0A" w14:textId="77777777" w:rsidR="00C244C2" w:rsidRDefault="00C244C2" w:rsidP="00C244C2">
      <w:pPr>
        <w:pStyle w:val="NormalWeb"/>
        <w:spacing w:before="0" w:beforeAutospacing="0" w:after="0" w:afterAutospacing="0" w:line="480" w:lineRule="auto"/>
        <w:rPr>
          <w:b/>
          <w:bCs/>
          <w:color w:val="0E101A"/>
          <w:u w:val="single"/>
        </w:rPr>
      </w:pPr>
    </w:p>
    <w:p w14:paraId="31A70C19" w14:textId="77777777" w:rsidR="00C244C2" w:rsidRDefault="00C244C2" w:rsidP="00C244C2">
      <w:pPr>
        <w:pStyle w:val="NormalWeb"/>
        <w:spacing w:before="0" w:beforeAutospacing="0" w:after="0" w:afterAutospacing="0" w:line="480" w:lineRule="auto"/>
        <w:rPr>
          <w:b/>
          <w:bCs/>
          <w:color w:val="0E101A"/>
          <w:u w:val="single"/>
        </w:rPr>
      </w:pPr>
    </w:p>
    <w:p w14:paraId="29C35F4E" w14:textId="77777777" w:rsidR="00C244C2" w:rsidRDefault="00C244C2" w:rsidP="00C244C2">
      <w:pPr>
        <w:pStyle w:val="NormalWeb"/>
        <w:spacing w:before="0" w:beforeAutospacing="0" w:after="0" w:afterAutospacing="0" w:line="480" w:lineRule="auto"/>
        <w:rPr>
          <w:b/>
          <w:bCs/>
          <w:color w:val="0E101A"/>
          <w:u w:val="single"/>
        </w:rPr>
      </w:pPr>
    </w:p>
    <w:p w14:paraId="7F4A514B" w14:textId="77777777" w:rsidR="00C244C2" w:rsidRDefault="00C244C2" w:rsidP="00C244C2">
      <w:pPr>
        <w:pStyle w:val="NormalWeb"/>
        <w:spacing w:before="0" w:beforeAutospacing="0" w:after="0" w:afterAutospacing="0" w:line="480" w:lineRule="auto"/>
        <w:rPr>
          <w:b/>
          <w:bCs/>
          <w:color w:val="0E101A"/>
          <w:u w:val="single"/>
        </w:rPr>
      </w:pPr>
    </w:p>
    <w:p w14:paraId="49579894" w14:textId="77777777" w:rsidR="00C244C2" w:rsidRDefault="00C244C2" w:rsidP="00C244C2">
      <w:pPr>
        <w:pStyle w:val="NormalWeb"/>
        <w:spacing w:before="0" w:beforeAutospacing="0" w:after="0" w:afterAutospacing="0" w:line="480" w:lineRule="auto"/>
        <w:rPr>
          <w:b/>
          <w:bCs/>
          <w:color w:val="0E101A"/>
          <w:u w:val="single"/>
        </w:rPr>
      </w:pPr>
    </w:p>
    <w:p w14:paraId="511CE38B" w14:textId="77777777" w:rsidR="00C244C2" w:rsidRDefault="00C244C2" w:rsidP="00C244C2">
      <w:pPr>
        <w:pStyle w:val="NormalWeb"/>
        <w:spacing w:before="0" w:beforeAutospacing="0" w:after="0" w:afterAutospacing="0" w:line="480" w:lineRule="auto"/>
        <w:rPr>
          <w:b/>
          <w:bCs/>
          <w:color w:val="0E101A"/>
          <w:u w:val="single"/>
        </w:rPr>
      </w:pPr>
    </w:p>
    <w:p w14:paraId="56D3C163" w14:textId="77777777" w:rsidR="00C244C2" w:rsidRDefault="00C244C2" w:rsidP="00C244C2">
      <w:pPr>
        <w:pStyle w:val="NormalWeb"/>
        <w:spacing w:before="0" w:beforeAutospacing="0" w:after="0" w:afterAutospacing="0" w:line="480" w:lineRule="auto"/>
        <w:rPr>
          <w:b/>
          <w:bCs/>
          <w:color w:val="0E101A"/>
          <w:u w:val="single"/>
        </w:rPr>
      </w:pPr>
    </w:p>
    <w:p w14:paraId="12441D61" w14:textId="77777777" w:rsidR="00C244C2" w:rsidRDefault="00C244C2" w:rsidP="00C244C2">
      <w:pPr>
        <w:pStyle w:val="NormalWeb"/>
        <w:spacing w:before="0" w:beforeAutospacing="0" w:after="0" w:afterAutospacing="0" w:line="480" w:lineRule="auto"/>
        <w:rPr>
          <w:b/>
          <w:bCs/>
          <w:color w:val="0E101A"/>
          <w:u w:val="single"/>
        </w:rPr>
      </w:pPr>
    </w:p>
    <w:p w14:paraId="4542D359" w14:textId="77777777" w:rsidR="00C244C2" w:rsidRDefault="00C244C2" w:rsidP="00C244C2">
      <w:pPr>
        <w:pStyle w:val="NormalWeb"/>
        <w:spacing w:before="0" w:beforeAutospacing="0" w:after="0" w:afterAutospacing="0" w:line="480" w:lineRule="auto"/>
        <w:rPr>
          <w:b/>
          <w:bCs/>
          <w:color w:val="0E101A"/>
          <w:u w:val="single"/>
        </w:rPr>
      </w:pPr>
    </w:p>
    <w:p w14:paraId="78D6D2E7" w14:textId="5A27D5D3" w:rsidR="00C244C2" w:rsidRPr="00C244C2" w:rsidRDefault="00C244C2" w:rsidP="00C244C2">
      <w:pPr>
        <w:pStyle w:val="NormalWeb"/>
        <w:spacing w:before="0" w:beforeAutospacing="0" w:after="0" w:afterAutospacing="0" w:line="480" w:lineRule="auto"/>
        <w:rPr>
          <w:b/>
          <w:bCs/>
          <w:color w:val="0E101A"/>
          <w:u w:val="single"/>
        </w:rPr>
      </w:pPr>
      <w:r w:rsidRPr="00C244C2">
        <w:rPr>
          <w:b/>
          <w:bCs/>
          <w:color w:val="0E101A"/>
          <w:u w:val="single"/>
        </w:rPr>
        <w:t>Introduction</w:t>
      </w:r>
    </w:p>
    <w:p w14:paraId="6465E2E0" w14:textId="77777777" w:rsidR="00C244C2" w:rsidRDefault="00C244C2" w:rsidP="00C244C2">
      <w:pPr>
        <w:pStyle w:val="NormalWeb"/>
        <w:spacing w:before="0" w:beforeAutospacing="0" w:after="0" w:afterAutospacing="0" w:line="480" w:lineRule="auto"/>
        <w:ind w:firstLine="720"/>
        <w:rPr>
          <w:color w:val="0E101A"/>
        </w:rPr>
      </w:pPr>
      <w:r>
        <w:rPr>
          <w:color w:val="0E101A"/>
        </w:rPr>
        <w:t>Denying a conjunct fallacy is the Formal Fallacy when someone claims that because one part of a conjunction is false, the other must be true. (When False Becomes True, True is False. (1994). </w:t>
      </w:r>
    </w:p>
    <w:p w14:paraId="0B1AC1E2" w14:textId="77777777" w:rsidR="00A84BB1" w:rsidRDefault="00A84BB1" w:rsidP="00A84BB1">
      <w:pPr>
        <w:pStyle w:val="mb-25"/>
        <w:spacing w:before="0" w:beforeAutospacing="0" w:after="0" w:afterAutospacing="0" w:line="480" w:lineRule="auto"/>
        <w:ind w:firstLine="720"/>
      </w:pPr>
      <w:r>
        <w:t>I want to present you with a scenario that I have chosen for this fallacy, "I cannot meet with patients today and tomorrow. I am not working tomorrow. Therefore, I am meeting with patients at this time. Misconceptions such as this occur daily in healthcare and other professional settings and are caused by reasoning errors that lead to the belief that two events are happening simultaneously. As a result, they are more likely to occur than those that happen alone. There will also be an explanation as to why the arguments are fallacious because they are based upon irrelevant information being presented.</w:t>
      </w:r>
    </w:p>
    <w:p w14:paraId="09199BBE" w14:textId="2FB2D30D" w:rsidR="00C244C2" w:rsidRPr="00C244C2" w:rsidRDefault="00C244C2" w:rsidP="00C244C2">
      <w:pPr>
        <w:pStyle w:val="NormalWeb"/>
        <w:spacing w:before="0" w:beforeAutospacing="0" w:after="0" w:afterAutospacing="0" w:line="480" w:lineRule="auto"/>
        <w:rPr>
          <w:b/>
          <w:bCs/>
          <w:color w:val="0E101A"/>
          <w:u w:val="single"/>
        </w:rPr>
      </w:pPr>
      <w:r w:rsidRPr="00C244C2">
        <w:rPr>
          <w:b/>
          <w:bCs/>
          <w:color w:val="0E101A"/>
          <w:u w:val="single"/>
        </w:rPr>
        <w:t>Standardization and Truth Table:</w:t>
      </w:r>
    </w:p>
    <w:p w14:paraId="347B475E" w14:textId="77777777" w:rsidR="007B04A9" w:rsidRDefault="007B04A9" w:rsidP="007B04A9">
      <w:pPr>
        <w:pStyle w:val="mb-25"/>
        <w:spacing w:before="0" w:beforeAutospacing="0" w:after="0" w:afterAutospacing="0" w:line="480" w:lineRule="auto"/>
        <w:ind w:firstLine="720"/>
      </w:pPr>
      <w:r>
        <w:t xml:space="preserve">Identifying the fallacy of denying a </w:t>
      </w:r>
      <w:r>
        <w:rPr>
          <w:rStyle w:val="issue-underline"/>
        </w:rPr>
        <w:t>conjunct</w:t>
      </w:r>
      <w:r>
        <w:t xml:space="preserve"> in the workplace is my fallacy. The fallacy is, "I cannot meet with patients today and tomorrow. I am not working tomorrow. Therefore, I am meeting with patients today." There are many times when doctors' appointments are rescheduled due to overbooking patients or due to personal emergencies, such as a death in the family.</w:t>
      </w:r>
    </w:p>
    <w:p w14:paraId="469CB561" w14:textId="77777777" w:rsidR="00C244C2" w:rsidRPr="007B04A9" w:rsidRDefault="00C244C2" w:rsidP="00C244C2">
      <w:pPr>
        <w:pStyle w:val="NormalWeb"/>
        <w:spacing w:before="0" w:beforeAutospacing="0" w:after="0" w:afterAutospacing="0" w:line="480" w:lineRule="auto"/>
        <w:rPr>
          <w:b/>
          <w:bCs/>
          <w:color w:val="0E101A"/>
        </w:rPr>
      </w:pPr>
      <w:r w:rsidRPr="007B04A9">
        <w:rPr>
          <w:b/>
          <w:bCs/>
          <w:color w:val="0E101A"/>
        </w:rPr>
        <w:t>The components of this conjunct or the logic are:</w:t>
      </w:r>
    </w:p>
    <w:p w14:paraId="04E729A0" w14:textId="77777777" w:rsidR="00C244C2" w:rsidRDefault="00C244C2" w:rsidP="00C244C2">
      <w:pPr>
        <w:pStyle w:val="NormalWeb"/>
        <w:spacing w:before="0" w:beforeAutospacing="0" w:after="0" w:afterAutospacing="0" w:line="480" w:lineRule="auto"/>
        <w:rPr>
          <w:color w:val="0E101A"/>
        </w:rPr>
      </w:pPr>
      <w:r>
        <w:rPr>
          <w:color w:val="0E101A"/>
        </w:rPr>
        <w:t>W- "I am not working tomorrow." </w:t>
      </w:r>
    </w:p>
    <w:p w14:paraId="33349B5E" w14:textId="77777777" w:rsidR="00C244C2" w:rsidRDefault="00C244C2" w:rsidP="00C244C2">
      <w:pPr>
        <w:pStyle w:val="NormalWeb"/>
        <w:spacing w:before="0" w:beforeAutospacing="0" w:after="0" w:afterAutospacing="0" w:line="480" w:lineRule="auto"/>
        <w:rPr>
          <w:color w:val="0E101A"/>
        </w:rPr>
      </w:pPr>
      <w:r>
        <w:rPr>
          <w:color w:val="0E101A"/>
        </w:rPr>
        <w:t>M- "I am meeting with patients today."</w:t>
      </w:r>
    </w:p>
    <w:p w14:paraId="0D184F93" w14:textId="77777777" w:rsidR="007B04A9" w:rsidRDefault="007B04A9" w:rsidP="007B04A9">
      <w:pPr>
        <w:pStyle w:val="mb-25"/>
        <w:spacing w:before="0" w:beforeAutospacing="0" w:after="0" w:afterAutospacing="0" w:line="480" w:lineRule="auto"/>
        <w:ind w:firstLine="720"/>
      </w:pPr>
      <w:r>
        <w:lastRenderedPageBreak/>
        <w:t>In spite of the fact that the doctor will not be working tomorrow and will see patients today, what makes the statement false if the doctor is not working tomorrow? There is a possibility that the doctor could see patients tomorrow, but he wants to take a day off. Therefore, he decides to meet them a day earlier than scheduled.  </w:t>
      </w:r>
    </w:p>
    <w:p w14:paraId="236BBEFF" w14:textId="669DAE8E" w:rsidR="00C244C2" w:rsidRDefault="00C244C2" w:rsidP="00C244C2">
      <w:pPr>
        <w:pStyle w:val="NormalWeb"/>
        <w:spacing w:before="0" w:beforeAutospacing="0" w:after="0" w:afterAutospacing="0" w:line="480" w:lineRule="auto"/>
        <w:rPr>
          <w:b/>
          <w:bCs/>
          <w:color w:val="0E101A"/>
          <w:u w:val="single"/>
        </w:rPr>
      </w:pPr>
      <w:r w:rsidRPr="00C244C2">
        <w:rPr>
          <w:b/>
          <w:bCs/>
          <w:color w:val="0E101A"/>
          <w:u w:val="single"/>
        </w:rPr>
        <w:t>Truth Table:</w:t>
      </w:r>
    </w:p>
    <w:tbl>
      <w:tblPr>
        <w:tblW w:w="8745" w:type="dxa"/>
        <w:tblCellSpacing w:w="15" w:type="dxa"/>
        <w:tblInd w:w="675" w:type="dxa"/>
        <w:tblCellMar>
          <w:top w:w="15" w:type="dxa"/>
          <w:left w:w="15" w:type="dxa"/>
          <w:bottom w:w="15" w:type="dxa"/>
          <w:right w:w="15" w:type="dxa"/>
        </w:tblCellMar>
        <w:tblLook w:val="04A0" w:firstRow="1" w:lastRow="0" w:firstColumn="1" w:lastColumn="0" w:noHBand="0" w:noVBand="1"/>
      </w:tblPr>
      <w:tblGrid>
        <w:gridCol w:w="1943"/>
        <w:gridCol w:w="1635"/>
        <w:gridCol w:w="1670"/>
        <w:gridCol w:w="1713"/>
        <w:gridCol w:w="1784"/>
      </w:tblGrid>
      <w:tr w:rsidR="00C244C2" w:rsidRPr="00F131B4" w14:paraId="17BE43A4" w14:textId="77777777" w:rsidTr="00FC2ADB">
        <w:trPr>
          <w:tblCellSpacing w:w="15" w:type="dxa"/>
        </w:trPr>
        <w:tc>
          <w:tcPr>
            <w:tcW w:w="1898" w:type="dxa"/>
            <w:vAlign w:val="center"/>
            <w:hideMark/>
          </w:tcPr>
          <w:p w14:paraId="561F9196"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(Key for W variable) </w:t>
            </w:r>
          </w:p>
        </w:tc>
        <w:tc>
          <w:tcPr>
            <w:tcW w:w="1605" w:type="dxa"/>
            <w:vAlign w:val="center"/>
            <w:hideMark/>
          </w:tcPr>
          <w:p w14:paraId="1421065B"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(Key for M variable) </w:t>
            </w:r>
          </w:p>
        </w:tc>
        <w:tc>
          <w:tcPr>
            <w:tcW w:w="1640" w:type="dxa"/>
            <w:vAlign w:val="center"/>
            <w:hideMark/>
          </w:tcPr>
          <w:p w14:paraId="51FD82E3"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Premise 1:</w:t>
            </w:r>
          </w:p>
          <w:p w14:paraId="0593104A" w14:textId="77777777" w:rsidR="00C244C2" w:rsidRPr="00F131B4" w:rsidRDefault="00C244C2" w:rsidP="00FC2ADB">
            <w:pPr>
              <w:spacing w:after="240" w:line="240" w:lineRule="auto"/>
              <w:rPr>
                <w:rFonts w:ascii="Times New Roman" w:eastAsia="Times New Roman" w:hAnsi="Times New Roman" w:cs="Times New Roman"/>
                <w:sz w:val="24"/>
                <w:szCs w:val="24"/>
              </w:rPr>
            </w:pPr>
            <w:proofErr w:type="gramStart"/>
            <w:r w:rsidRPr="00F131B4">
              <w:rPr>
                <w:rFonts w:ascii="Times New Roman" w:eastAsia="Times New Roman" w:hAnsi="Times New Roman" w:cs="Times New Roman"/>
                <w:sz w:val="24"/>
                <w:szCs w:val="24"/>
              </w:rPr>
              <w:t>~(</w:t>
            </w:r>
            <w:proofErr w:type="gramEnd"/>
            <w:r w:rsidRPr="00F131B4">
              <w:rPr>
                <w:rFonts w:ascii="Times New Roman" w:eastAsia="Times New Roman" w:hAnsi="Times New Roman" w:cs="Times New Roman"/>
                <w:sz w:val="24"/>
                <w:szCs w:val="24"/>
              </w:rPr>
              <w:t>W &amp; M)  </w:t>
            </w:r>
          </w:p>
        </w:tc>
        <w:tc>
          <w:tcPr>
            <w:tcW w:w="1683" w:type="dxa"/>
            <w:vAlign w:val="center"/>
            <w:hideMark/>
          </w:tcPr>
          <w:p w14:paraId="75E4A7D8"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Premise 2:</w:t>
            </w:r>
          </w:p>
          <w:p w14:paraId="6007F5D0"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w:t>
            </w:r>
            <w:r w:rsidRPr="00F131B4">
              <w:rPr>
                <w:rFonts w:ascii="Times New Roman" w:eastAsia="Times New Roman" w:hAnsi="Times New Roman" w:cs="Times New Roman"/>
                <w:sz w:val="24"/>
                <w:szCs w:val="24"/>
              </w:rPr>
              <w:br/>
              <w:t>~ W</w:t>
            </w:r>
          </w:p>
        </w:tc>
        <w:tc>
          <w:tcPr>
            <w:tcW w:w="1739" w:type="dxa"/>
            <w:vAlign w:val="center"/>
            <w:hideMark/>
          </w:tcPr>
          <w:p w14:paraId="2C6E1F94"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Conclusion: </w:t>
            </w:r>
            <w:r w:rsidRPr="00F131B4">
              <w:rPr>
                <w:rFonts w:ascii="Times New Roman" w:eastAsia="Times New Roman" w:hAnsi="Times New Roman" w:cs="Times New Roman"/>
                <w:sz w:val="24"/>
                <w:szCs w:val="24"/>
              </w:rPr>
              <w:br/>
              <w:t>M</w:t>
            </w:r>
          </w:p>
        </w:tc>
      </w:tr>
      <w:tr w:rsidR="00C244C2" w:rsidRPr="00F131B4" w14:paraId="2A037305" w14:textId="77777777" w:rsidTr="00FC2ADB">
        <w:trPr>
          <w:tblCellSpacing w:w="15" w:type="dxa"/>
        </w:trPr>
        <w:tc>
          <w:tcPr>
            <w:tcW w:w="1898" w:type="dxa"/>
            <w:vAlign w:val="center"/>
            <w:hideMark/>
          </w:tcPr>
          <w:p w14:paraId="79359A01"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T  </w:t>
            </w:r>
          </w:p>
        </w:tc>
        <w:tc>
          <w:tcPr>
            <w:tcW w:w="1605" w:type="dxa"/>
            <w:vAlign w:val="center"/>
            <w:hideMark/>
          </w:tcPr>
          <w:p w14:paraId="186217BE"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T  </w:t>
            </w:r>
          </w:p>
        </w:tc>
        <w:tc>
          <w:tcPr>
            <w:tcW w:w="1640" w:type="dxa"/>
            <w:vAlign w:val="center"/>
            <w:hideMark/>
          </w:tcPr>
          <w:p w14:paraId="0635A5C6" w14:textId="77777777" w:rsidR="00C244C2" w:rsidRPr="00F131B4" w:rsidRDefault="00C244C2" w:rsidP="00FC2ADB">
            <w:pPr>
              <w:spacing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F</w:t>
            </w:r>
          </w:p>
        </w:tc>
        <w:tc>
          <w:tcPr>
            <w:tcW w:w="1683" w:type="dxa"/>
            <w:vAlign w:val="center"/>
            <w:hideMark/>
          </w:tcPr>
          <w:p w14:paraId="532556EC"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F</w:t>
            </w:r>
          </w:p>
        </w:tc>
        <w:tc>
          <w:tcPr>
            <w:tcW w:w="1739" w:type="dxa"/>
            <w:vAlign w:val="center"/>
            <w:hideMark/>
          </w:tcPr>
          <w:p w14:paraId="5A848C33"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T</w:t>
            </w:r>
          </w:p>
        </w:tc>
      </w:tr>
      <w:tr w:rsidR="00C244C2" w:rsidRPr="00F131B4" w14:paraId="08142E3F" w14:textId="77777777" w:rsidTr="00FC2ADB">
        <w:trPr>
          <w:tblCellSpacing w:w="15" w:type="dxa"/>
        </w:trPr>
        <w:tc>
          <w:tcPr>
            <w:tcW w:w="1898" w:type="dxa"/>
            <w:vAlign w:val="center"/>
            <w:hideMark/>
          </w:tcPr>
          <w:p w14:paraId="61604F45" w14:textId="77777777" w:rsidR="00C244C2" w:rsidRPr="00F131B4" w:rsidRDefault="00C244C2" w:rsidP="00FC2ADB">
            <w:pPr>
              <w:spacing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T</w:t>
            </w:r>
          </w:p>
        </w:tc>
        <w:tc>
          <w:tcPr>
            <w:tcW w:w="1605" w:type="dxa"/>
            <w:vAlign w:val="center"/>
            <w:hideMark/>
          </w:tcPr>
          <w:p w14:paraId="46CDFCB5" w14:textId="77777777" w:rsidR="00C244C2" w:rsidRPr="00F131B4" w:rsidRDefault="00C244C2" w:rsidP="00FC2ADB">
            <w:pPr>
              <w:spacing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F</w:t>
            </w:r>
          </w:p>
        </w:tc>
        <w:tc>
          <w:tcPr>
            <w:tcW w:w="1640" w:type="dxa"/>
            <w:vAlign w:val="center"/>
            <w:hideMark/>
          </w:tcPr>
          <w:p w14:paraId="67648225" w14:textId="77777777" w:rsidR="00C244C2" w:rsidRPr="00F131B4" w:rsidRDefault="00C244C2" w:rsidP="00FC2ADB">
            <w:pPr>
              <w:spacing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T</w:t>
            </w:r>
          </w:p>
        </w:tc>
        <w:tc>
          <w:tcPr>
            <w:tcW w:w="1683" w:type="dxa"/>
            <w:vAlign w:val="center"/>
            <w:hideMark/>
          </w:tcPr>
          <w:p w14:paraId="15E1AFD8"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F</w:t>
            </w:r>
          </w:p>
        </w:tc>
        <w:tc>
          <w:tcPr>
            <w:tcW w:w="1739" w:type="dxa"/>
            <w:vAlign w:val="center"/>
            <w:hideMark/>
          </w:tcPr>
          <w:p w14:paraId="0E23A240"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F</w:t>
            </w:r>
          </w:p>
        </w:tc>
      </w:tr>
      <w:tr w:rsidR="00C244C2" w:rsidRPr="00F131B4" w14:paraId="2F8F1207" w14:textId="77777777" w:rsidTr="00FC2ADB">
        <w:trPr>
          <w:tblCellSpacing w:w="15" w:type="dxa"/>
        </w:trPr>
        <w:tc>
          <w:tcPr>
            <w:tcW w:w="1898" w:type="dxa"/>
            <w:vAlign w:val="center"/>
            <w:hideMark/>
          </w:tcPr>
          <w:p w14:paraId="093ED4D2"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F  </w:t>
            </w:r>
          </w:p>
        </w:tc>
        <w:tc>
          <w:tcPr>
            <w:tcW w:w="1605" w:type="dxa"/>
            <w:vAlign w:val="center"/>
            <w:hideMark/>
          </w:tcPr>
          <w:p w14:paraId="4A773D07"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T  </w:t>
            </w:r>
          </w:p>
        </w:tc>
        <w:tc>
          <w:tcPr>
            <w:tcW w:w="1640" w:type="dxa"/>
            <w:vAlign w:val="center"/>
            <w:hideMark/>
          </w:tcPr>
          <w:p w14:paraId="5B6D0CFC" w14:textId="77777777" w:rsidR="00C244C2" w:rsidRPr="00F131B4" w:rsidRDefault="00C244C2" w:rsidP="00FC2ADB">
            <w:pPr>
              <w:spacing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T</w:t>
            </w:r>
          </w:p>
        </w:tc>
        <w:tc>
          <w:tcPr>
            <w:tcW w:w="1683" w:type="dxa"/>
            <w:vAlign w:val="center"/>
            <w:hideMark/>
          </w:tcPr>
          <w:p w14:paraId="0197F86A"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T</w:t>
            </w:r>
          </w:p>
        </w:tc>
        <w:tc>
          <w:tcPr>
            <w:tcW w:w="1739" w:type="dxa"/>
            <w:vAlign w:val="center"/>
            <w:hideMark/>
          </w:tcPr>
          <w:p w14:paraId="3E21BE51"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  T</w:t>
            </w:r>
          </w:p>
        </w:tc>
      </w:tr>
      <w:tr w:rsidR="00C244C2" w:rsidRPr="00F131B4" w14:paraId="61DB74FF" w14:textId="77777777" w:rsidTr="00FC2ADB">
        <w:trPr>
          <w:trHeight w:val="315"/>
          <w:tblCellSpacing w:w="15" w:type="dxa"/>
        </w:trPr>
        <w:tc>
          <w:tcPr>
            <w:tcW w:w="1898" w:type="dxa"/>
            <w:vAlign w:val="center"/>
            <w:hideMark/>
          </w:tcPr>
          <w:p w14:paraId="1EB36B5D"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F  </w:t>
            </w:r>
          </w:p>
        </w:tc>
        <w:tc>
          <w:tcPr>
            <w:tcW w:w="1605" w:type="dxa"/>
            <w:vAlign w:val="center"/>
            <w:hideMark/>
          </w:tcPr>
          <w:p w14:paraId="642A99F0" w14:textId="77777777" w:rsidR="00C244C2" w:rsidRPr="00F131B4" w:rsidRDefault="00C244C2" w:rsidP="00FC2ADB">
            <w:pPr>
              <w:spacing w:after="240" w:line="240" w:lineRule="auto"/>
              <w:rPr>
                <w:rFonts w:ascii="Times New Roman" w:eastAsia="Times New Roman" w:hAnsi="Times New Roman" w:cs="Times New Roman"/>
                <w:sz w:val="24"/>
                <w:szCs w:val="24"/>
              </w:rPr>
            </w:pPr>
            <w:r w:rsidRPr="00F131B4">
              <w:rPr>
                <w:rFonts w:ascii="Times New Roman" w:eastAsia="Times New Roman" w:hAnsi="Times New Roman" w:cs="Times New Roman"/>
                <w:sz w:val="24"/>
                <w:szCs w:val="24"/>
              </w:rPr>
              <w:t>F  </w:t>
            </w:r>
          </w:p>
        </w:tc>
        <w:tc>
          <w:tcPr>
            <w:tcW w:w="1640" w:type="dxa"/>
            <w:vAlign w:val="center"/>
            <w:hideMark/>
          </w:tcPr>
          <w:p w14:paraId="51606D25" w14:textId="77777777" w:rsidR="00C244C2" w:rsidRPr="00F131B4" w:rsidRDefault="00C244C2" w:rsidP="00FC2ADB">
            <w:pPr>
              <w:spacing w:line="240" w:lineRule="auto"/>
              <w:rPr>
                <w:rFonts w:ascii="Times New Roman" w:eastAsia="Times New Roman" w:hAnsi="Times New Roman" w:cs="Times New Roman"/>
                <w:sz w:val="24"/>
                <w:szCs w:val="24"/>
                <w:highlight w:val="yellow"/>
              </w:rPr>
            </w:pPr>
            <w:r w:rsidRPr="00F131B4">
              <w:rPr>
                <w:rFonts w:ascii="Times New Roman" w:eastAsia="Times New Roman" w:hAnsi="Times New Roman" w:cs="Times New Roman"/>
                <w:sz w:val="24"/>
                <w:szCs w:val="24"/>
                <w:highlight w:val="yellow"/>
              </w:rPr>
              <w:t> T</w:t>
            </w:r>
          </w:p>
        </w:tc>
        <w:tc>
          <w:tcPr>
            <w:tcW w:w="1683" w:type="dxa"/>
            <w:vAlign w:val="center"/>
            <w:hideMark/>
          </w:tcPr>
          <w:p w14:paraId="7B47FFED" w14:textId="77777777" w:rsidR="00C244C2" w:rsidRPr="00F131B4" w:rsidRDefault="00C244C2" w:rsidP="00FC2ADB">
            <w:pPr>
              <w:spacing w:after="240" w:line="240" w:lineRule="auto"/>
              <w:rPr>
                <w:rFonts w:ascii="Times New Roman" w:eastAsia="Times New Roman" w:hAnsi="Times New Roman" w:cs="Times New Roman"/>
                <w:sz w:val="24"/>
                <w:szCs w:val="24"/>
                <w:highlight w:val="yellow"/>
              </w:rPr>
            </w:pPr>
            <w:r w:rsidRPr="00F131B4">
              <w:rPr>
                <w:rFonts w:ascii="Times New Roman" w:eastAsia="Times New Roman" w:hAnsi="Times New Roman" w:cs="Times New Roman"/>
                <w:sz w:val="24"/>
                <w:szCs w:val="24"/>
                <w:highlight w:val="yellow"/>
              </w:rPr>
              <w:t>   T</w:t>
            </w:r>
          </w:p>
        </w:tc>
        <w:tc>
          <w:tcPr>
            <w:tcW w:w="0" w:type="auto"/>
            <w:vAlign w:val="center"/>
            <w:hideMark/>
          </w:tcPr>
          <w:p w14:paraId="14321EFC" w14:textId="77777777" w:rsidR="00C244C2" w:rsidRPr="00F131B4" w:rsidRDefault="00C244C2" w:rsidP="00FC2ADB">
            <w:pPr>
              <w:spacing w:line="240" w:lineRule="auto"/>
              <w:rPr>
                <w:rFonts w:ascii="Times New Roman" w:eastAsia="Times New Roman" w:hAnsi="Times New Roman" w:cs="Times New Roman"/>
                <w:sz w:val="24"/>
                <w:szCs w:val="24"/>
                <w:highlight w:val="yellow"/>
              </w:rPr>
            </w:pPr>
            <w:r w:rsidRPr="00F131B4">
              <w:rPr>
                <w:rFonts w:ascii="Times New Roman" w:eastAsia="Times New Roman" w:hAnsi="Times New Roman" w:cs="Times New Roman"/>
                <w:sz w:val="24"/>
                <w:szCs w:val="24"/>
                <w:highlight w:val="yellow"/>
              </w:rPr>
              <w:t xml:space="preserve">  F</w:t>
            </w:r>
          </w:p>
        </w:tc>
      </w:tr>
    </w:tbl>
    <w:p w14:paraId="3B245778" w14:textId="77777777" w:rsidR="00C244C2" w:rsidRPr="00F131B4" w:rsidRDefault="00C244C2" w:rsidP="00C244C2">
      <w:pPr>
        <w:ind w:left="675"/>
        <w:rPr>
          <w:rFonts w:ascii="Times New Roman" w:hAnsi="Times New Roman" w:cs="Times New Roman"/>
          <w:sz w:val="24"/>
          <w:szCs w:val="24"/>
        </w:rPr>
      </w:pPr>
    </w:p>
    <w:p w14:paraId="7C3C6198" w14:textId="77777777" w:rsidR="00C244C2" w:rsidRPr="00F131B4" w:rsidRDefault="00C244C2" w:rsidP="00C244C2">
      <w:pPr>
        <w:ind w:left="675"/>
        <w:rPr>
          <w:rFonts w:ascii="Times New Roman" w:hAnsi="Times New Roman" w:cs="Times New Roman"/>
          <w:sz w:val="24"/>
          <w:szCs w:val="24"/>
        </w:rPr>
      </w:pPr>
      <w:r w:rsidRPr="00F131B4">
        <w:rPr>
          <w:rFonts w:ascii="Times New Roman" w:hAnsi="Times New Roman" w:cs="Times New Roman"/>
          <w:sz w:val="24"/>
          <w:szCs w:val="24"/>
        </w:rPr>
        <w:t>I CAN NOT MEET WITH THE PATIENTS BOTH TODAY AND TOMORROW. I AM NOT WORKING TOMORROW. THEREFORE, I AM MEETING WITH PATIENTS TODAY</w:t>
      </w:r>
    </w:p>
    <w:p w14:paraId="3378FD9B" w14:textId="77777777" w:rsidR="00C244C2" w:rsidRPr="00F131B4" w:rsidRDefault="00C244C2" w:rsidP="00C244C2">
      <w:pPr>
        <w:ind w:left="675"/>
        <w:rPr>
          <w:rFonts w:ascii="Times New Roman" w:hAnsi="Times New Roman" w:cs="Times New Roman"/>
          <w:sz w:val="24"/>
          <w:szCs w:val="24"/>
        </w:rPr>
      </w:pPr>
      <w:r w:rsidRPr="00F131B4">
        <w:rPr>
          <w:rFonts w:ascii="Times New Roman" w:hAnsi="Times New Roman" w:cs="Times New Roman"/>
          <w:sz w:val="24"/>
          <w:szCs w:val="24"/>
        </w:rPr>
        <w:t xml:space="preserve">W- “I AM NOT </w:t>
      </w:r>
      <w:r w:rsidRPr="00F131B4">
        <w:rPr>
          <w:rFonts w:ascii="Times New Roman" w:hAnsi="Times New Roman" w:cs="Times New Roman"/>
          <w:sz w:val="24"/>
          <w:szCs w:val="24"/>
          <w:highlight w:val="yellow"/>
        </w:rPr>
        <w:t>WORKING</w:t>
      </w:r>
      <w:r w:rsidRPr="00F131B4">
        <w:rPr>
          <w:rFonts w:ascii="Times New Roman" w:hAnsi="Times New Roman" w:cs="Times New Roman"/>
          <w:sz w:val="24"/>
          <w:szCs w:val="24"/>
        </w:rPr>
        <w:t xml:space="preserve"> TOMORROW.”</w:t>
      </w:r>
    </w:p>
    <w:p w14:paraId="43A5E0AD" w14:textId="77777777" w:rsidR="00C244C2" w:rsidRPr="00F131B4" w:rsidRDefault="00C244C2" w:rsidP="00C244C2">
      <w:pPr>
        <w:ind w:left="675"/>
        <w:rPr>
          <w:rFonts w:ascii="Times New Roman" w:hAnsi="Times New Roman" w:cs="Times New Roman"/>
          <w:sz w:val="24"/>
          <w:szCs w:val="24"/>
        </w:rPr>
      </w:pPr>
      <w:r w:rsidRPr="00F131B4">
        <w:rPr>
          <w:rFonts w:ascii="Times New Roman" w:hAnsi="Times New Roman" w:cs="Times New Roman"/>
          <w:sz w:val="24"/>
          <w:szCs w:val="24"/>
        </w:rPr>
        <w:t xml:space="preserve">M- “I AM </w:t>
      </w:r>
      <w:r w:rsidRPr="00F131B4">
        <w:rPr>
          <w:rFonts w:ascii="Times New Roman" w:hAnsi="Times New Roman" w:cs="Times New Roman"/>
          <w:sz w:val="24"/>
          <w:szCs w:val="24"/>
          <w:highlight w:val="yellow"/>
        </w:rPr>
        <w:t>MEETING</w:t>
      </w:r>
      <w:r w:rsidRPr="00F131B4">
        <w:rPr>
          <w:rFonts w:ascii="Times New Roman" w:hAnsi="Times New Roman" w:cs="Times New Roman"/>
          <w:sz w:val="24"/>
          <w:szCs w:val="24"/>
        </w:rPr>
        <w:t xml:space="preserve"> NO WITH PATIENTS TODAY.”</w:t>
      </w:r>
    </w:p>
    <w:p w14:paraId="4A3E6117" w14:textId="77777777" w:rsidR="00C244C2" w:rsidRPr="00C244C2" w:rsidRDefault="00C244C2" w:rsidP="00C244C2">
      <w:pPr>
        <w:pStyle w:val="NormalWeb"/>
        <w:spacing w:before="0" w:beforeAutospacing="0" w:after="0" w:afterAutospacing="0" w:line="480" w:lineRule="auto"/>
        <w:rPr>
          <w:color w:val="0E101A"/>
        </w:rPr>
      </w:pPr>
    </w:p>
    <w:p w14:paraId="6569B633" w14:textId="77777777" w:rsidR="007B04A9" w:rsidRDefault="007B04A9" w:rsidP="00C244C2">
      <w:pPr>
        <w:pStyle w:val="NormalWeb"/>
        <w:spacing w:before="0" w:beforeAutospacing="0" w:after="0" w:afterAutospacing="0" w:line="480" w:lineRule="auto"/>
        <w:rPr>
          <w:b/>
          <w:bCs/>
          <w:color w:val="0E101A"/>
          <w:u w:val="single"/>
        </w:rPr>
      </w:pPr>
    </w:p>
    <w:p w14:paraId="76501DC2" w14:textId="77777777" w:rsidR="007B04A9" w:rsidRDefault="007B04A9" w:rsidP="00C244C2">
      <w:pPr>
        <w:pStyle w:val="NormalWeb"/>
        <w:spacing w:before="0" w:beforeAutospacing="0" w:after="0" w:afterAutospacing="0" w:line="480" w:lineRule="auto"/>
        <w:rPr>
          <w:b/>
          <w:bCs/>
          <w:color w:val="0E101A"/>
          <w:u w:val="single"/>
        </w:rPr>
      </w:pPr>
    </w:p>
    <w:p w14:paraId="65E9AE44" w14:textId="77777777" w:rsidR="007B04A9" w:rsidRDefault="007B04A9" w:rsidP="00C244C2">
      <w:pPr>
        <w:pStyle w:val="NormalWeb"/>
        <w:spacing w:before="0" w:beforeAutospacing="0" w:after="0" w:afterAutospacing="0" w:line="480" w:lineRule="auto"/>
        <w:rPr>
          <w:b/>
          <w:bCs/>
          <w:color w:val="0E101A"/>
          <w:u w:val="single"/>
        </w:rPr>
      </w:pPr>
    </w:p>
    <w:p w14:paraId="3C7B48AF" w14:textId="77777777" w:rsidR="007B04A9" w:rsidRDefault="007B04A9" w:rsidP="00C244C2">
      <w:pPr>
        <w:pStyle w:val="NormalWeb"/>
        <w:spacing w:before="0" w:beforeAutospacing="0" w:after="0" w:afterAutospacing="0" w:line="480" w:lineRule="auto"/>
        <w:rPr>
          <w:b/>
          <w:bCs/>
          <w:color w:val="0E101A"/>
          <w:u w:val="single"/>
        </w:rPr>
      </w:pPr>
    </w:p>
    <w:p w14:paraId="66DA354D" w14:textId="77777777" w:rsidR="007D3CC8" w:rsidRDefault="007D3CC8" w:rsidP="00C244C2">
      <w:pPr>
        <w:pStyle w:val="NormalWeb"/>
        <w:spacing w:before="0" w:beforeAutospacing="0" w:after="0" w:afterAutospacing="0" w:line="480" w:lineRule="auto"/>
        <w:rPr>
          <w:b/>
          <w:bCs/>
          <w:color w:val="0E101A"/>
          <w:u w:val="single"/>
        </w:rPr>
      </w:pPr>
    </w:p>
    <w:p w14:paraId="2CFE6299" w14:textId="7D880950" w:rsidR="00C244C2" w:rsidRPr="00C244C2" w:rsidRDefault="00C244C2" w:rsidP="00C244C2">
      <w:pPr>
        <w:pStyle w:val="NormalWeb"/>
        <w:spacing w:before="0" w:beforeAutospacing="0" w:after="0" w:afterAutospacing="0" w:line="480" w:lineRule="auto"/>
        <w:rPr>
          <w:b/>
          <w:bCs/>
          <w:color w:val="0E101A"/>
          <w:u w:val="single"/>
        </w:rPr>
      </w:pPr>
      <w:r w:rsidRPr="00C244C2">
        <w:rPr>
          <w:b/>
          <w:bCs/>
          <w:color w:val="0E101A"/>
          <w:u w:val="single"/>
        </w:rPr>
        <w:lastRenderedPageBreak/>
        <w:t>Detailed explanation and analysis of fallacy:</w:t>
      </w:r>
    </w:p>
    <w:p w14:paraId="6D0140A6" w14:textId="4D1CB86A" w:rsidR="009F052E" w:rsidRDefault="009F052E" w:rsidP="009F052E">
      <w:pPr>
        <w:pStyle w:val="mb-25"/>
        <w:spacing w:before="0" w:beforeAutospacing="0" w:after="0" w:afterAutospacing="0" w:line="480" w:lineRule="auto"/>
        <w:ind w:firstLine="720"/>
      </w:pPr>
      <w:r>
        <w:t xml:space="preserve">I </w:t>
      </w:r>
      <w:r>
        <w:t xml:space="preserve">want to clarify that this alternative interpretation represents a denial of a previous statement. In order to make a reasonable assumption that something was wrong when the doctor said that they </w:t>
      </w:r>
      <w:r>
        <w:t>were not</w:t>
      </w:r>
      <w:r>
        <w:t xml:space="preserve"> working, it was implied that something was wrong with them. The patients are already scheduled, and </w:t>
      </w:r>
      <w:r>
        <w:t>they have</w:t>
      </w:r>
      <w:r>
        <w:t xml:space="preserve"> been told they will have to reschedule their appointment for the day before. As a result of choosing this source, the author refers to how some might view the statement that a doctor cannot meet with a patient as false (Burke, 1994). Therefore, the doctor is taking tomorrow off work for personal reasons, which makes his statement, "I am not working tomorrow," true due to his personal decision. It is a way of interpreting how damaged thoughts can lead to deceptive behavior at work where fallacies are committed (Popper, K., 2005). In the event that the physician is absent, there can be more </w:t>
      </w:r>
      <w:r>
        <w:rPr>
          <w:rStyle w:val="issue-underline"/>
        </w:rPr>
        <w:t>fallacies</w:t>
      </w:r>
      <w:r>
        <w:t xml:space="preserve"> in the workplace due to overbooking, patients not being seen promptly, or even </w:t>
      </w:r>
      <w:r>
        <w:rPr>
          <w:rStyle w:val="issue-underline"/>
        </w:rPr>
        <w:t>more dire,</w:t>
      </w:r>
      <w:r>
        <w:t xml:space="preserve"> no patients being seen at all due to the absence of the physician.</w:t>
      </w:r>
    </w:p>
    <w:p w14:paraId="4AB267F7" w14:textId="27B8E05F" w:rsidR="009F052E" w:rsidRDefault="009F052E" w:rsidP="009F052E">
      <w:pPr>
        <w:pStyle w:val="mb-25"/>
        <w:spacing w:before="0" w:beforeAutospacing="0" w:after="0" w:afterAutospacing="0" w:line="480" w:lineRule="auto"/>
        <w:ind w:firstLine="720"/>
      </w:pPr>
      <w:r>
        <w:t>In modern society, we wish everything to go according to our plans, but sometimes plans change due to the fact that things do not always go according to our plans (</w:t>
      </w:r>
      <w:proofErr w:type="spellStart"/>
      <w:r>
        <w:t>Shearmur</w:t>
      </w:r>
      <w:proofErr w:type="spellEnd"/>
      <w:r>
        <w:t xml:space="preserve">, 2002). As you can see, we have a physician who wants to be off the next day even though some of his patients need to be seen that day. Is it essential for the patients that the physician takes a personal day? There is a high probability that they are upset and have already formed their personal biases as a result. The physician must know what problems it causes the patient. This could be </w:t>
      </w:r>
      <w:r>
        <w:t>taking time</w:t>
      </w:r>
      <w:r>
        <w:t xml:space="preserve"> off from work, rearranging things planned for the patient's day, or even finding transportation to and from the doctor's office.</w:t>
      </w:r>
    </w:p>
    <w:p w14:paraId="130691C8" w14:textId="77777777" w:rsidR="006571CA" w:rsidRDefault="006571CA" w:rsidP="006571CA">
      <w:pPr>
        <w:pStyle w:val="mb-25"/>
        <w:spacing w:before="0" w:beforeAutospacing="0" w:after="0" w:afterAutospacing="0" w:line="480" w:lineRule="auto"/>
        <w:ind w:firstLine="720"/>
      </w:pPr>
      <w:r>
        <w:t xml:space="preserve">Assuming that the patient's time is not valuable for the physician is an error on the part of the physician. It seems counter-intuitive to reschedule a patient's personal day if there is the </w:t>
      </w:r>
      <w:r>
        <w:lastRenderedPageBreak/>
        <w:t>option to take a risk with them. Is it possible that this risk could affect their personal lives as well as their relationship with the office staff? It is possible to eliminate false information by simply asking what the truth is by generating the truth by simply discontinuing the use of fallacies in a discussion.  </w:t>
      </w:r>
    </w:p>
    <w:p w14:paraId="0BA7C20C" w14:textId="761197CB" w:rsidR="00C244C2" w:rsidRPr="00F131B4" w:rsidRDefault="00C244C2" w:rsidP="00C244C2">
      <w:pPr>
        <w:pStyle w:val="NormalWeb"/>
        <w:spacing w:before="0" w:beforeAutospacing="0" w:after="0" w:afterAutospacing="0" w:line="480" w:lineRule="auto"/>
        <w:rPr>
          <w:b/>
          <w:bCs/>
          <w:color w:val="0E101A"/>
          <w:u w:val="single"/>
        </w:rPr>
      </w:pPr>
      <w:r w:rsidRPr="00F131B4">
        <w:rPr>
          <w:b/>
          <w:bCs/>
          <w:color w:val="0E101A"/>
          <w:u w:val="single"/>
        </w:rPr>
        <w:t>The ways</w:t>
      </w:r>
      <w:r w:rsidRPr="00F131B4">
        <w:rPr>
          <w:b/>
          <w:bCs/>
          <w:color w:val="0E101A"/>
          <w:u w:val="single"/>
        </w:rPr>
        <w:t xml:space="preserve"> the fallacy disrupts argumentation:</w:t>
      </w:r>
    </w:p>
    <w:p w14:paraId="6258FE5F" w14:textId="77777777" w:rsidR="006571CA" w:rsidRDefault="006571CA" w:rsidP="006571CA">
      <w:pPr>
        <w:pStyle w:val="mb-25"/>
        <w:spacing w:before="0" w:beforeAutospacing="0" w:after="0" w:afterAutospacing="0" w:line="480" w:lineRule="auto"/>
        <w:ind w:firstLine="720"/>
      </w:pPr>
      <w:r>
        <w:t>The denying of a conjunct fallacy is regarded as an error of reasoning that has been traditionally associated with the specific ways in which an argument can veer sideways as a result of faulty reasoning (Hitchcock, 2017). As a result of critical thinking, one can find a range of possible reasoning to facilitate and recognize a fallacy in the reasoning of others. This will help you become aware of when someone is trying to convince or rationalize what they are saying. The approach you use can determine the outcome. However, that will require creative thinking at some point and conscious reflection instead of relying on your emotions or even your intuition. </w:t>
      </w:r>
    </w:p>
    <w:p w14:paraId="18D2CA26" w14:textId="77777777" w:rsidR="007D3CC8" w:rsidRDefault="00C244C2" w:rsidP="007D3CC8">
      <w:pPr>
        <w:pStyle w:val="NormalWeb"/>
        <w:spacing w:before="0" w:beforeAutospacing="0" w:after="0" w:afterAutospacing="0" w:line="480" w:lineRule="auto"/>
        <w:rPr>
          <w:b/>
          <w:bCs/>
          <w:color w:val="0E101A"/>
          <w:u w:val="single"/>
        </w:rPr>
      </w:pPr>
      <w:r w:rsidRPr="00F131B4">
        <w:rPr>
          <w:b/>
          <w:bCs/>
          <w:color w:val="0E101A"/>
          <w:u w:val="single"/>
        </w:rPr>
        <w:t>The fallacy as seen in your profession/personal life:</w:t>
      </w:r>
    </w:p>
    <w:p w14:paraId="159E8604" w14:textId="599F63A1" w:rsidR="007D3CC8" w:rsidRDefault="007D3CC8" w:rsidP="007D3CC8">
      <w:pPr>
        <w:pStyle w:val="NormalWeb"/>
        <w:spacing w:before="0" w:beforeAutospacing="0" w:after="0" w:afterAutospacing="0" w:line="480" w:lineRule="auto"/>
        <w:ind w:firstLine="720"/>
      </w:pPr>
      <w:r>
        <w:t xml:space="preserve">As a social worker, I will encounter clients on a daily basis and will need personal time as well. In the course of working with clients, I will hear half-truths and outright lies from them. As part of my profession, I am required to gain knowledge from the client, understand their body language, and pay attention to what parts of their story are </w:t>
      </w:r>
      <w:r w:rsidR="00C15E8E">
        <w:t>genuine</w:t>
      </w:r>
      <w:r>
        <w:t xml:space="preserve"> and what parts of their story are lies in order to enable me to help them along their journey toward healing. In addition, there are times when I will need to take some time off when I feel that working is too much for me. As a result, I will most likely plan, but there will be some changes in the schedule. Therefore, I will have to reschedule my appointments with the patients I see. There must be a more profound understanding among people that physicians and healthcare workers are just as humans as the </w:t>
      </w:r>
      <w:r>
        <w:lastRenderedPageBreak/>
        <w:t>rest of us. They will need some time off from time to time in order to better care for their patients and clients. The intersection will be incorrect if one or both conjuncts are false. We cannot allow that to happen in healthcare, so we must identify this fallacy. What is the truth? Where can we find it? </w:t>
      </w:r>
    </w:p>
    <w:p w14:paraId="30AB9C9D" w14:textId="7E080B18" w:rsidR="007D3CC8" w:rsidRPr="007D3CC8" w:rsidRDefault="007D3CC8" w:rsidP="007D3CC8">
      <w:pPr>
        <w:pStyle w:val="NormalWeb"/>
        <w:spacing w:before="0" w:beforeAutospacing="0" w:after="0" w:afterAutospacing="0" w:line="480" w:lineRule="auto"/>
        <w:ind w:firstLine="720"/>
        <w:rPr>
          <w:b/>
          <w:bCs/>
          <w:color w:val="0E101A"/>
          <w:u w:val="single"/>
        </w:rPr>
      </w:pPr>
      <w:r>
        <w:t>When you have one theory that follows another and the first theory has nothing to do with the next, that can be very disruptive in my profession. My personal life has nothing to do with my patients, and many will think that way. I risk losing my clients, my reputation can slip under the radar, and that can disrupt my income and how I care for my family. </w:t>
      </w:r>
    </w:p>
    <w:p w14:paraId="72E1F476" w14:textId="77777777" w:rsidR="00757C5A" w:rsidRDefault="00C244C2" w:rsidP="00757C5A">
      <w:pPr>
        <w:pStyle w:val="NormalWeb"/>
        <w:spacing w:before="0" w:beforeAutospacing="0" w:after="0" w:afterAutospacing="0" w:line="480" w:lineRule="auto"/>
        <w:rPr>
          <w:b/>
          <w:bCs/>
          <w:color w:val="0E101A"/>
          <w:u w:val="single"/>
        </w:rPr>
      </w:pPr>
      <w:r w:rsidRPr="00F131B4">
        <w:rPr>
          <w:b/>
          <w:bCs/>
          <w:color w:val="0E101A"/>
          <w:u w:val="single"/>
        </w:rPr>
        <w:t>Means to lesson problems that can arise from my fallacy chosen:</w:t>
      </w:r>
    </w:p>
    <w:p w14:paraId="1CDC58A9" w14:textId="616C4DD3" w:rsidR="00757C5A" w:rsidRDefault="00757C5A" w:rsidP="00757C5A">
      <w:pPr>
        <w:pStyle w:val="NormalWeb"/>
        <w:spacing w:before="0" w:beforeAutospacing="0" w:after="0" w:afterAutospacing="0" w:line="480" w:lineRule="auto"/>
        <w:ind w:firstLine="720"/>
      </w:pPr>
      <w:r>
        <w:t>There is no better practice than avoiding the situation as much as possible. Planning ahead for personal days is the most effective way to avoid situations such as these. When you take time off from work, you will need to get another physician in place to be able to continue seeing your patients while you are away. I recommend that you have your secretary contact the patient and give them a heads-up. You can also give them a choice to reschedule their appointment with you if they prefer. </w:t>
      </w:r>
    </w:p>
    <w:p w14:paraId="4775E30C" w14:textId="77777777" w:rsidR="00DA5937" w:rsidRDefault="00DA5937" w:rsidP="00C15E8E">
      <w:pPr>
        <w:pStyle w:val="NormalWeb"/>
        <w:spacing w:before="0" w:beforeAutospacing="0" w:after="0" w:afterAutospacing="0" w:line="480" w:lineRule="auto"/>
        <w:rPr>
          <w:b/>
          <w:bCs/>
          <w:u w:val="single"/>
        </w:rPr>
      </w:pPr>
    </w:p>
    <w:p w14:paraId="1BCC8F3D" w14:textId="77777777" w:rsidR="00DA5937" w:rsidRDefault="00DA5937" w:rsidP="00C15E8E">
      <w:pPr>
        <w:pStyle w:val="NormalWeb"/>
        <w:spacing w:before="0" w:beforeAutospacing="0" w:after="0" w:afterAutospacing="0" w:line="480" w:lineRule="auto"/>
        <w:rPr>
          <w:b/>
          <w:bCs/>
          <w:u w:val="single"/>
        </w:rPr>
      </w:pPr>
    </w:p>
    <w:p w14:paraId="3BF3CC74" w14:textId="77777777" w:rsidR="00DA5937" w:rsidRDefault="00DA5937" w:rsidP="00C15E8E">
      <w:pPr>
        <w:pStyle w:val="NormalWeb"/>
        <w:spacing w:before="0" w:beforeAutospacing="0" w:after="0" w:afterAutospacing="0" w:line="480" w:lineRule="auto"/>
        <w:rPr>
          <w:b/>
          <w:bCs/>
          <w:u w:val="single"/>
        </w:rPr>
      </w:pPr>
    </w:p>
    <w:p w14:paraId="360E08D2" w14:textId="77777777" w:rsidR="00DA5937" w:rsidRDefault="00DA5937" w:rsidP="00C15E8E">
      <w:pPr>
        <w:pStyle w:val="NormalWeb"/>
        <w:spacing w:before="0" w:beforeAutospacing="0" w:after="0" w:afterAutospacing="0" w:line="480" w:lineRule="auto"/>
        <w:rPr>
          <w:b/>
          <w:bCs/>
          <w:u w:val="single"/>
        </w:rPr>
      </w:pPr>
    </w:p>
    <w:p w14:paraId="54018D20" w14:textId="77777777" w:rsidR="00DA5937" w:rsidRDefault="00DA5937" w:rsidP="00C15E8E">
      <w:pPr>
        <w:pStyle w:val="NormalWeb"/>
        <w:spacing w:before="0" w:beforeAutospacing="0" w:after="0" w:afterAutospacing="0" w:line="480" w:lineRule="auto"/>
        <w:rPr>
          <w:b/>
          <w:bCs/>
          <w:u w:val="single"/>
        </w:rPr>
      </w:pPr>
    </w:p>
    <w:p w14:paraId="5BC0D3A0" w14:textId="77777777" w:rsidR="00DA5937" w:rsidRDefault="00DA5937" w:rsidP="00C15E8E">
      <w:pPr>
        <w:pStyle w:val="NormalWeb"/>
        <w:spacing w:before="0" w:beforeAutospacing="0" w:after="0" w:afterAutospacing="0" w:line="480" w:lineRule="auto"/>
        <w:rPr>
          <w:b/>
          <w:bCs/>
          <w:u w:val="single"/>
        </w:rPr>
      </w:pPr>
    </w:p>
    <w:p w14:paraId="455E4161" w14:textId="77777777" w:rsidR="00DA5937" w:rsidRDefault="00DA5937" w:rsidP="00C15E8E">
      <w:pPr>
        <w:pStyle w:val="NormalWeb"/>
        <w:spacing w:before="0" w:beforeAutospacing="0" w:after="0" w:afterAutospacing="0" w:line="480" w:lineRule="auto"/>
        <w:rPr>
          <w:b/>
          <w:bCs/>
          <w:u w:val="single"/>
        </w:rPr>
      </w:pPr>
    </w:p>
    <w:p w14:paraId="1308B60A" w14:textId="77777777" w:rsidR="00DA5937" w:rsidRDefault="00DA5937" w:rsidP="00C15E8E">
      <w:pPr>
        <w:pStyle w:val="NormalWeb"/>
        <w:spacing w:before="0" w:beforeAutospacing="0" w:after="0" w:afterAutospacing="0" w:line="480" w:lineRule="auto"/>
        <w:rPr>
          <w:b/>
          <w:bCs/>
          <w:u w:val="single"/>
        </w:rPr>
      </w:pPr>
    </w:p>
    <w:p w14:paraId="1CA959AB" w14:textId="4BFF0FA9" w:rsidR="00C15E8E" w:rsidRDefault="00C15E8E" w:rsidP="00C15E8E">
      <w:pPr>
        <w:pStyle w:val="NormalWeb"/>
        <w:spacing w:before="0" w:beforeAutospacing="0" w:after="0" w:afterAutospacing="0" w:line="480" w:lineRule="auto"/>
        <w:rPr>
          <w:b/>
          <w:bCs/>
          <w:u w:val="single"/>
        </w:rPr>
      </w:pPr>
      <w:r w:rsidRPr="00C15E8E">
        <w:rPr>
          <w:b/>
          <w:bCs/>
          <w:u w:val="single"/>
        </w:rPr>
        <w:lastRenderedPageBreak/>
        <w:t>Conclusion:</w:t>
      </w:r>
    </w:p>
    <w:p w14:paraId="65CEFC0A" w14:textId="77E2063D" w:rsidR="00C15E8E" w:rsidRDefault="00C15E8E" w:rsidP="00B90AF2">
      <w:pPr>
        <w:pStyle w:val="NormalWeb"/>
        <w:spacing w:before="0" w:beforeAutospacing="0" w:after="0" w:afterAutospacing="0" w:line="480" w:lineRule="auto"/>
        <w:ind w:firstLine="720"/>
      </w:pPr>
      <w:r>
        <w:t xml:space="preserve">A physician denying a conjunct fallacy in saying, "I will not be working tomorrow, and I will be meeting with patients today," is accurate if the physician is not in the office the next day and not consulting with patients on the day he emphasizes. In other words, this conjunction is valid only if the speaker is working the next day and will not be meeting with patients on that day. The conjunction holds true if either conjunct is true, then the conjunction holds true as well. We are looking for an accurate representation of the fallacy as we move forward </w:t>
      </w:r>
      <w:proofErr w:type="gramStart"/>
      <w:r>
        <w:t>since</w:t>
      </w:r>
      <w:proofErr w:type="gramEnd"/>
      <w:r>
        <w:t xml:space="preserve"> we don't want it to be mistaken as lying or false in the future. </w:t>
      </w:r>
    </w:p>
    <w:p w14:paraId="38B5062B"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712C140F"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019DDB22"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4665CB38"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7A9E37B6"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0E6ED582"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5148CEAC"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794EF23E"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553A2875"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2A459F1E"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3723866B"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39AEAE33"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0E3F32F0"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5A02D627"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28C8E861" w14:textId="77777777" w:rsidR="00DA5937" w:rsidRDefault="00DA5937" w:rsidP="008973FF">
      <w:pPr>
        <w:shd w:val="clear" w:color="auto" w:fill="FFFFFF"/>
        <w:jc w:val="center"/>
        <w:rPr>
          <w:rFonts w:ascii="Times New Roman" w:eastAsia="Times New Roman" w:hAnsi="Times New Roman" w:cs="Times New Roman"/>
          <w:b/>
          <w:bCs/>
          <w:color w:val="000000"/>
          <w:sz w:val="24"/>
          <w:szCs w:val="24"/>
          <w:u w:val="single"/>
        </w:rPr>
      </w:pPr>
    </w:p>
    <w:p w14:paraId="54CD3CD6" w14:textId="39DE8609" w:rsidR="006E04CB" w:rsidRPr="006E04CB" w:rsidRDefault="006E04CB" w:rsidP="008973FF">
      <w:pPr>
        <w:shd w:val="clear" w:color="auto" w:fill="FFFFFF"/>
        <w:jc w:val="center"/>
        <w:rPr>
          <w:rFonts w:ascii="Times New Roman" w:eastAsia="Times New Roman" w:hAnsi="Times New Roman" w:cs="Times New Roman"/>
          <w:b/>
          <w:bCs/>
          <w:color w:val="000000"/>
          <w:sz w:val="24"/>
          <w:szCs w:val="24"/>
          <w:u w:val="single"/>
        </w:rPr>
      </w:pPr>
      <w:r w:rsidRPr="006E04CB">
        <w:rPr>
          <w:rFonts w:ascii="Times New Roman" w:eastAsia="Times New Roman" w:hAnsi="Times New Roman" w:cs="Times New Roman"/>
          <w:b/>
          <w:bCs/>
          <w:color w:val="000000"/>
          <w:sz w:val="24"/>
          <w:szCs w:val="24"/>
          <w:u w:val="single"/>
        </w:rPr>
        <w:lastRenderedPageBreak/>
        <w:t>References</w:t>
      </w:r>
    </w:p>
    <w:p w14:paraId="60A3BF86"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11 when false becomes true, true is false. (1994). </w:t>
      </w:r>
      <w:r w:rsidRPr="006E04CB">
        <w:rPr>
          <w:rFonts w:ascii="Times New Roman" w:eastAsia="Times New Roman" w:hAnsi="Times New Roman" w:cs="Times New Roman"/>
          <w:i/>
          <w:iCs/>
          <w:color w:val="000000"/>
          <w:sz w:val="24"/>
          <w:szCs w:val="24"/>
        </w:rPr>
        <w:t>The Three-Inch Golden Lotus</w:t>
      </w:r>
      <w:r w:rsidRPr="006E04CB">
        <w:rPr>
          <w:rFonts w:ascii="Times New Roman" w:eastAsia="Times New Roman" w:hAnsi="Times New Roman" w:cs="Times New Roman"/>
          <w:color w:val="000000"/>
          <w:sz w:val="24"/>
          <w:szCs w:val="24"/>
        </w:rPr>
        <w:t>, 147-157. </w:t>
      </w:r>
      <w:hyperlink r:id="rId7" w:history="1">
        <w:r w:rsidRPr="006E04CB">
          <w:rPr>
            <w:rFonts w:ascii="Times New Roman" w:eastAsia="Times New Roman" w:hAnsi="Times New Roman" w:cs="Times New Roman"/>
            <w:color w:val="000000"/>
            <w:sz w:val="24"/>
            <w:szCs w:val="24"/>
            <w:u w:val="single"/>
          </w:rPr>
          <w:t>https://doi.org/10.1515/9780824843021-012</w:t>
        </w:r>
      </w:hyperlink>
    </w:p>
    <w:p w14:paraId="04F75319" w14:textId="22C52E2C"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 xml:space="preserve">Botting, D. (2012). The </w:t>
      </w:r>
      <w:r w:rsidR="00983CC9">
        <w:rPr>
          <w:rFonts w:ascii="Times New Roman" w:eastAsia="Times New Roman" w:hAnsi="Times New Roman" w:cs="Times New Roman"/>
          <w:color w:val="000000"/>
          <w:sz w:val="24"/>
          <w:szCs w:val="24"/>
        </w:rPr>
        <w:t>two-one</w:t>
      </w:r>
      <w:r w:rsidRPr="006E04CB">
        <w:rPr>
          <w:rFonts w:ascii="Times New Roman" w:eastAsia="Times New Roman" w:hAnsi="Times New Roman" w:cs="Times New Roman"/>
          <w:color w:val="000000"/>
          <w:sz w:val="24"/>
          <w:szCs w:val="24"/>
        </w:rPr>
        <w:t xml:space="preserve"> fallacy theory. </w:t>
      </w:r>
      <w:r w:rsidRPr="006E04CB">
        <w:rPr>
          <w:rFonts w:ascii="Times New Roman" w:eastAsia="Times New Roman" w:hAnsi="Times New Roman" w:cs="Times New Roman"/>
          <w:i/>
          <w:iCs/>
          <w:color w:val="000000"/>
          <w:sz w:val="24"/>
          <w:szCs w:val="24"/>
        </w:rPr>
        <w:t>Philosophical and Formal Approaches to Linguistic Analysis</w:t>
      </w:r>
      <w:r w:rsidRPr="006E04CB">
        <w:rPr>
          <w:rFonts w:ascii="Times New Roman" w:eastAsia="Times New Roman" w:hAnsi="Times New Roman" w:cs="Times New Roman"/>
          <w:color w:val="000000"/>
          <w:sz w:val="24"/>
          <w:szCs w:val="24"/>
        </w:rPr>
        <w:t>, 37-56. </w:t>
      </w:r>
      <w:hyperlink r:id="rId8" w:history="1">
        <w:r w:rsidRPr="006E04CB">
          <w:rPr>
            <w:rFonts w:ascii="Times New Roman" w:eastAsia="Times New Roman" w:hAnsi="Times New Roman" w:cs="Times New Roman"/>
            <w:color w:val="000000"/>
            <w:sz w:val="24"/>
            <w:szCs w:val="24"/>
            <w:u w:val="single"/>
          </w:rPr>
          <w:t>https://doi.org/10.1515/9783110320244.37</w:t>
        </w:r>
      </w:hyperlink>
    </w:p>
    <w:p w14:paraId="1F3B8A46"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Burke, M. B. (1994). Denying the antecedent: A common fallacy? </w:t>
      </w:r>
      <w:r w:rsidRPr="006E04CB">
        <w:rPr>
          <w:rFonts w:ascii="Times New Roman" w:eastAsia="Times New Roman" w:hAnsi="Times New Roman" w:cs="Times New Roman"/>
          <w:i/>
          <w:iCs/>
          <w:color w:val="000000"/>
          <w:sz w:val="24"/>
          <w:szCs w:val="24"/>
        </w:rPr>
        <w:t>Informal Logic</w:t>
      </w:r>
      <w:r w:rsidRPr="006E04CB">
        <w:rPr>
          <w:rFonts w:ascii="Times New Roman" w:eastAsia="Times New Roman" w:hAnsi="Times New Roman" w:cs="Times New Roman"/>
          <w:color w:val="000000"/>
          <w:sz w:val="24"/>
          <w:szCs w:val="24"/>
        </w:rPr>
        <w:t>, </w:t>
      </w:r>
      <w:r w:rsidRPr="006E04CB">
        <w:rPr>
          <w:rFonts w:ascii="Times New Roman" w:eastAsia="Times New Roman" w:hAnsi="Times New Roman" w:cs="Times New Roman"/>
          <w:i/>
          <w:iCs/>
          <w:color w:val="000000"/>
          <w:sz w:val="24"/>
          <w:szCs w:val="24"/>
        </w:rPr>
        <w:t>16</w:t>
      </w:r>
      <w:r w:rsidRPr="006E04CB">
        <w:rPr>
          <w:rFonts w:ascii="Times New Roman" w:eastAsia="Times New Roman" w:hAnsi="Times New Roman" w:cs="Times New Roman"/>
          <w:color w:val="000000"/>
          <w:sz w:val="24"/>
          <w:szCs w:val="24"/>
        </w:rPr>
        <w:t>(1). </w:t>
      </w:r>
      <w:hyperlink r:id="rId9" w:history="1">
        <w:r w:rsidRPr="006E04CB">
          <w:rPr>
            <w:rFonts w:ascii="Times New Roman" w:eastAsia="Times New Roman" w:hAnsi="Times New Roman" w:cs="Times New Roman"/>
            <w:color w:val="000000"/>
            <w:sz w:val="24"/>
            <w:szCs w:val="24"/>
            <w:u w:val="single"/>
          </w:rPr>
          <w:t>https://doi.org/10.22329/il.v16i1.2432</w:t>
        </w:r>
      </w:hyperlink>
    </w:p>
    <w:p w14:paraId="4A346F01"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Clark, R. (1982). When is a fallacy valid? Reflections on backward reasoning. </w:t>
      </w:r>
      <w:r w:rsidRPr="006E04CB">
        <w:rPr>
          <w:rFonts w:ascii="Times New Roman" w:eastAsia="Times New Roman" w:hAnsi="Times New Roman" w:cs="Times New Roman"/>
          <w:i/>
          <w:iCs/>
          <w:color w:val="000000"/>
          <w:sz w:val="24"/>
          <w:szCs w:val="24"/>
        </w:rPr>
        <w:t>Notre Dame Journal of Formal Logic</w:t>
      </w:r>
      <w:r w:rsidRPr="006E04CB">
        <w:rPr>
          <w:rFonts w:ascii="Times New Roman" w:eastAsia="Times New Roman" w:hAnsi="Times New Roman" w:cs="Times New Roman"/>
          <w:color w:val="000000"/>
          <w:sz w:val="24"/>
          <w:szCs w:val="24"/>
        </w:rPr>
        <w:t>, </w:t>
      </w:r>
      <w:r w:rsidRPr="006E04CB">
        <w:rPr>
          <w:rFonts w:ascii="Times New Roman" w:eastAsia="Times New Roman" w:hAnsi="Times New Roman" w:cs="Times New Roman"/>
          <w:i/>
          <w:iCs/>
          <w:color w:val="000000"/>
          <w:sz w:val="24"/>
          <w:szCs w:val="24"/>
        </w:rPr>
        <w:t>23</w:t>
      </w:r>
      <w:r w:rsidRPr="006E04CB">
        <w:rPr>
          <w:rFonts w:ascii="Times New Roman" w:eastAsia="Times New Roman" w:hAnsi="Times New Roman" w:cs="Times New Roman"/>
          <w:color w:val="000000"/>
          <w:sz w:val="24"/>
          <w:szCs w:val="24"/>
        </w:rPr>
        <w:t>(1). </w:t>
      </w:r>
      <w:hyperlink r:id="rId10" w:history="1">
        <w:r w:rsidRPr="006E04CB">
          <w:rPr>
            <w:rFonts w:ascii="Times New Roman" w:eastAsia="Times New Roman" w:hAnsi="Times New Roman" w:cs="Times New Roman"/>
            <w:color w:val="000000"/>
            <w:sz w:val="24"/>
            <w:szCs w:val="24"/>
            <w:u w:val="single"/>
          </w:rPr>
          <w:t>https://doi.org/10.1305/ndjfl/1093883560</w:t>
        </w:r>
      </w:hyperlink>
    </w:p>
    <w:p w14:paraId="58934F74"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The counterfactual fallacy: Confusing what might have been with what ought to have been. (2014). </w:t>
      </w:r>
      <w:r w:rsidRPr="006E04CB">
        <w:rPr>
          <w:rFonts w:ascii="Times New Roman" w:eastAsia="Times New Roman" w:hAnsi="Times New Roman" w:cs="Times New Roman"/>
          <w:i/>
          <w:iCs/>
          <w:color w:val="000000"/>
          <w:sz w:val="24"/>
          <w:szCs w:val="24"/>
        </w:rPr>
        <w:t>Life Crises and Experiences of Loss in Adulthood</w:t>
      </w:r>
      <w:r w:rsidRPr="006E04CB">
        <w:rPr>
          <w:rFonts w:ascii="Times New Roman" w:eastAsia="Times New Roman" w:hAnsi="Times New Roman" w:cs="Times New Roman"/>
          <w:color w:val="000000"/>
          <w:sz w:val="24"/>
          <w:szCs w:val="24"/>
        </w:rPr>
        <w:t>, 211-226. </w:t>
      </w:r>
      <w:hyperlink r:id="rId11" w:history="1">
        <w:r w:rsidRPr="006E04CB">
          <w:rPr>
            <w:rFonts w:ascii="Times New Roman" w:eastAsia="Times New Roman" w:hAnsi="Times New Roman" w:cs="Times New Roman"/>
            <w:color w:val="000000"/>
            <w:sz w:val="24"/>
            <w:szCs w:val="24"/>
            <w:u w:val="single"/>
          </w:rPr>
          <w:t>https://doi.org/10.4324/9781315807171-17</w:t>
        </w:r>
      </w:hyperlink>
    </w:p>
    <w:p w14:paraId="265C0A08"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Hitchcock, D. (2017). Do the fallacies have a place in the teaching of reasoning skills or critical thinking? </w:t>
      </w:r>
      <w:r w:rsidRPr="006E04CB">
        <w:rPr>
          <w:rFonts w:ascii="Times New Roman" w:eastAsia="Times New Roman" w:hAnsi="Times New Roman" w:cs="Times New Roman"/>
          <w:i/>
          <w:iCs/>
          <w:color w:val="000000"/>
          <w:sz w:val="24"/>
          <w:szCs w:val="24"/>
        </w:rPr>
        <w:t>On Reasoning and Argument</w:t>
      </w:r>
      <w:r w:rsidRPr="006E04CB">
        <w:rPr>
          <w:rFonts w:ascii="Times New Roman" w:eastAsia="Times New Roman" w:hAnsi="Times New Roman" w:cs="Times New Roman"/>
          <w:color w:val="000000"/>
          <w:sz w:val="24"/>
          <w:szCs w:val="24"/>
        </w:rPr>
        <w:t>, 401-408. </w:t>
      </w:r>
      <w:hyperlink r:id="rId12" w:history="1">
        <w:r w:rsidRPr="006E04CB">
          <w:rPr>
            <w:rFonts w:ascii="Times New Roman" w:eastAsia="Times New Roman" w:hAnsi="Times New Roman" w:cs="Times New Roman"/>
            <w:color w:val="000000"/>
            <w:sz w:val="24"/>
            <w:szCs w:val="24"/>
            <w:u w:val="single"/>
          </w:rPr>
          <w:t>https://doi.org/10.1007/978-3-319-53562-3_25</w:t>
        </w:r>
      </w:hyperlink>
    </w:p>
    <w:p w14:paraId="33F9962B"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Miller, D. T., &amp; Turnbull, W. (1990). The counterfactual fallacy: Confusing what might have been with what ought to have been. </w:t>
      </w:r>
      <w:r w:rsidRPr="006E04CB">
        <w:rPr>
          <w:rFonts w:ascii="Times New Roman" w:eastAsia="Times New Roman" w:hAnsi="Times New Roman" w:cs="Times New Roman"/>
          <w:i/>
          <w:iCs/>
          <w:color w:val="000000"/>
          <w:sz w:val="24"/>
          <w:szCs w:val="24"/>
        </w:rPr>
        <w:t>Social Justice Research</w:t>
      </w:r>
      <w:r w:rsidRPr="006E04CB">
        <w:rPr>
          <w:rFonts w:ascii="Times New Roman" w:eastAsia="Times New Roman" w:hAnsi="Times New Roman" w:cs="Times New Roman"/>
          <w:color w:val="000000"/>
          <w:sz w:val="24"/>
          <w:szCs w:val="24"/>
        </w:rPr>
        <w:t>, </w:t>
      </w:r>
      <w:r w:rsidRPr="006E04CB">
        <w:rPr>
          <w:rFonts w:ascii="Times New Roman" w:eastAsia="Times New Roman" w:hAnsi="Times New Roman" w:cs="Times New Roman"/>
          <w:i/>
          <w:iCs/>
          <w:color w:val="000000"/>
          <w:sz w:val="24"/>
          <w:szCs w:val="24"/>
        </w:rPr>
        <w:t>4</w:t>
      </w:r>
      <w:r w:rsidRPr="006E04CB">
        <w:rPr>
          <w:rFonts w:ascii="Times New Roman" w:eastAsia="Times New Roman" w:hAnsi="Times New Roman" w:cs="Times New Roman"/>
          <w:color w:val="000000"/>
          <w:sz w:val="24"/>
          <w:szCs w:val="24"/>
        </w:rPr>
        <w:t>(1), 1-19. </w:t>
      </w:r>
      <w:hyperlink r:id="rId13" w:history="1">
        <w:r w:rsidRPr="006E04CB">
          <w:rPr>
            <w:rFonts w:ascii="Times New Roman" w:eastAsia="Times New Roman" w:hAnsi="Times New Roman" w:cs="Times New Roman"/>
            <w:color w:val="000000"/>
            <w:sz w:val="24"/>
            <w:szCs w:val="24"/>
            <w:u w:val="single"/>
          </w:rPr>
          <w:t>https://doi.org/10.1007/bf01048532</w:t>
        </w:r>
      </w:hyperlink>
    </w:p>
    <w:p w14:paraId="0902D17B"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r w:rsidRPr="006E04CB">
        <w:rPr>
          <w:rFonts w:ascii="Times New Roman" w:eastAsia="Times New Roman" w:hAnsi="Times New Roman" w:cs="Times New Roman"/>
          <w:color w:val="000000"/>
          <w:sz w:val="24"/>
          <w:szCs w:val="24"/>
        </w:rPr>
        <w:t>Read, S. (1983). Burgess on relevance: A fallacy indeed. </w:t>
      </w:r>
      <w:r w:rsidRPr="006E04CB">
        <w:rPr>
          <w:rFonts w:ascii="Times New Roman" w:eastAsia="Times New Roman" w:hAnsi="Times New Roman" w:cs="Times New Roman"/>
          <w:i/>
          <w:iCs/>
          <w:color w:val="000000"/>
          <w:sz w:val="24"/>
          <w:szCs w:val="24"/>
        </w:rPr>
        <w:t>Notre Dame Journal of Formal Logic</w:t>
      </w:r>
      <w:r w:rsidRPr="006E04CB">
        <w:rPr>
          <w:rFonts w:ascii="Times New Roman" w:eastAsia="Times New Roman" w:hAnsi="Times New Roman" w:cs="Times New Roman"/>
          <w:color w:val="000000"/>
          <w:sz w:val="24"/>
          <w:szCs w:val="24"/>
        </w:rPr>
        <w:t>, </w:t>
      </w:r>
      <w:r w:rsidRPr="006E04CB">
        <w:rPr>
          <w:rFonts w:ascii="Times New Roman" w:eastAsia="Times New Roman" w:hAnsi="Times New Roman" w:cs="Times New Roman"/>
          <w:i/>
          <w:iCs/>
          <w:color w:val="000000"/>
          <w:sz w:val="24"/>
          <w:szCs w:val="24"/>
        </w:rPr>
        <w:t>24</w:t>
      </w:r>
      <w:r w:rsidRPr="006E04CB">
        <w:rPr>
          <w:rFonts w:ascii="Times New Roman" w:eastAsia="Times New Roman" w:hAnsi="Times New Roman" w:cs="Times New Roman"/>
          <w:color w:val="000000"/>
          <w:sz w:val="24"/>
          <w:szCs w:val="24"/>
        </w:rPr>
        <w:t>(4). </w:t>
      </w:r>
      <w:hyperlink r:id="rId14" w:history="1">
        <w:r w:rsidRPr="006E04CB">
          <w:rPr>
            <w:rFonts w:ascii="Times New Roman" w:eastAsia="Times New Roman" w:hAnsi="Times New Roman" w:cs="Times New Roman"/>
            <w:color w:val="000000"/>
            <w:sz w:val="24"/>
            <w:szCs w:val="24"/>
            <w:u w:val="single"/>
          </w:rPr>
          <w:t>https://doi.org/10.1305/ndjfl/1093870449</w:t>
        </w:r>
      </w:hyperlink>
    </w:p>
    <w:p w14:paraId="4C2B17B3"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proofErr w:type="spellStart"/>
      <w:r w:rsidRPr="006E04CB">
        <w:rPr>
          <w:rFonts w:ascii="Times New Roman" w:eastAsia="Times New Roman" w:hAnsi="Times New Roman" w:cs="Times New Roman"/>
          <w:color w:val="000000"/>
          <w:sz w:val="24"/>
          <w:szCs w:val="24"/>
        </w:rPr>
        <w:t>Rescher</w:t>
      </w:r>
      <w:proofErr w:type="spellEnd"/>
      <w:r w:rsidRPr="006E04CB">
        <w:rPr>
          <w:rFonts w:ascii="Times New Roman" w:eastAsia="Times New Roman" w:hAnsi="Times New Roman" w:cs="Times New Roman"/>
          <w:color w:val="000000"/>
          <w:sz w:val="24"/>
          <w:szCs w:val="24"/>
        </w:rPr>
        <w:t>, N., Popper, K. R., &amp; Hanson, N. R. (1960). The logic of scientific discovery. </w:t>
      </w:r>
      <w:r w:rsidRPr="006E04CB">
        <w:rPr>
          <w:rFonts w:ascii="Times New Roman" w:eastAsia="Times New Roman" w:hAnsi="Times New Roman" w:cs="Times New Roman"/>
          <w:i/>
          <w:iCs/>
          <w:color w:val="000000"/>
          <w:sz w:val="24"/>
          <w:szCs w:val="24"/>
        </w:rPr>
        <w:t>Philosophy and Phenomenological Research</w:t>
      </w:r>
      <w:r w:rsidRPr="006E04CB">
        <w:rPr>
          <w:rFonts w:ascii="Times New Roman" w:eastAsia="Times New Roman" w:hAnsi="Times New Roman" w:cs="Times New Roman"/>
          <w:color w:val="000000"/>
          <w:sz w:val="24"/>
          <w:szCs w:val="24"/>
        </w:rPr>
        <w:t>, </w:t>
      </w:r>
      <w:r w:rsidRPr="006E04CB">
        <w:rPr>
          <w:rFonts w:ascii="Times New Roman" w:eastAsia="Times New Roman" w:hAnsi="Times New Roman" w:cs="Times New Roman"/>
          <w:i/>
          <w:iCs/>
          <w:color w:val="000000"/>
          <w:sz w:val="24"/>
          <w:szCs w:val="24"/>
        </w:rPr>
        <w:t>21</w:t>
      </w:r>
      <w:r w:rsidRPr="006E04CB">
        <w:rPr>
          <w:rFonts w:ascii="Times New Roman" w:eastAsia="Times New Roman" w:hAnsi="Times New Roman" w:cs="Times New Roman"/>
          <w:color w:val="000000"/>
          <w:sz w:val="24"/>
          <w:szCs w:val="24"/>
        </w:rPr>
        <w:t>(2), 266. </w:t>
      </w:r>
      <w:hyperlink r:id="rId15" w:history="1">
        <w:r w:rsidRPr="006E04CB">
          <w:rPr>
            <w:rFonts w:ascii="Times New Roman" w:eastAsia="Times New Roman" w:hAnsi="Times New Roman" w:cs="Times New Roman"/>
            <w:color w:val="000000"/>
            <w:sz w:val="24"/>
            <w:szCs w:val="24"/>
            <w:u w:val="single"/>
          </w:rPr>
          <w:t>https://doi.org/10.2307/2104331</w:t>
        </w:r>
      </w:hyperlink>
    </w:p>
    <w:p w14:paraId="2C391AD3"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proofErr w:type="spellStart"/>
      <w:r w:rsidRPr="006E04CB">
        <w:rPr>
          <w:rFonts w:ascii="Times New Roman" w:eastAsia="Times New Roman" w:hAnsi="Times New Roman" w:cs="Times New Roman"/>
          <w:color w:val="000000"/>
          <w:sz w:val="24"/>
          <w:szCs w:val="24"/>
        </w:rPr>
        <w:lastRenderedPageBreak/>
        <w:t>Schwenke</w:t>
      </w:r>
      <w:proofErr w:type="spellEnd"/>
      <w:r w:rsidRPr="006E04CB">
        <w:rPr>
          <w:rFonts w:ascii="Times New Roman" w:eastAsia="Times New Roman" w:hAnsi="Times New Roman" w:cs="Times New Roman"/>
          <w:color w:val="000000"/>
          <w:sz w:val="24"/>
          <w:szCs w:val="24"/>
        </w:rPr>
        <w:t>, C., &amp; Schering, A. (2007). True positives, true negatives, false positives, false negatives. </w:t>
      </w:r>
      <w:r w:rsidRPr="006E04CB">
        <w:rPr>
          <w:rFonts w:ascii="Times New Roman" w:eastAsia="Times New Roman" w:hAnsi="Times New Roman" w:cs="Times New Roman"/>
          <w:i/>
          <w:iCs/>
          <w:color w:val="000000"/>
          <w:sz w:val="24"/>
          <w:szCs w:val="24"/>
        </w:rPr>
        <w:t>Wiley Encyclopedia of Clinical Trials</w:t>
      </w:r>
      <w:r w:rsidRPr="006E04CB">
        <w:rPr>
          <w:rFonts w:ascii="Times New Roman" w:eastAsia="Times New Roman" w:hAnsi="Times New Roman" w:cs="Times New Roman"/>
          <w:color w:val="000000"/>
          <w:sz w:val="24"/>
          <w:szCs w:val="24"/>
        </w:rPr>
        <w:t>. </w:t>
      </w:r>
      <w:hyperlink r:id="rId16" w:history="1">
        <w:r w:rsidRPr="006E04CB">
          <w:rPr>
            <w:rFonts w:ascii="Times New Roman" w:eastAsia="Times New Roman" w:hAnsi="Times New Roman" w:cs="Times New Roman"/>
            <w:color w:val="000000"/>
            <w:sz w:val="24"/>
            <w:szCs w:val="24"/>
            <w:u w:val="single"/>
          </w:rPr>
          <w:t>https://doi.org/10.1002/9780471462422.eoct021</w:t>
        </w:r>
      </w:hyperlink>
    </w:p>
    <w:p w14:paraId="25C6E09A"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proofErr w:type="spellStart"/>
      <w:r w:rsidRPr="006E04CB">
        <w:rPr>
          <w:rFonts w:ascii="Times New Roman" w:eastAsia="Times New Roman" w:hAnsi="Times New Roman" w:cs="Times New Roman"/>
          <w:color w:val="000000"/>
          <w:sz w:val="24"/>
          <w:szCs w:val="24"/>
        </w:rPr>
        <w:t>Shearmur</w:t>
      </w:r>
      <w:proofErr w:type="spellEnd"/>
      <w:r w:rsidRPr="006E04CB">
        <w:rPr>
          <w:rFonts w:ascii="Times New Roman" w:eastAsia="Times New Roman" w:hAnsi="Times New Roman" w:cs="Times New Roman"/>
          <w:color w:val="000000"/>
          <w:sz w:val="24"/>
          <w:szCs w:val="24"/>
        </w:rPr>
        <w:t>, J. (2002). The political thought of Karl Popper. </w:t>
      </w:r>
      <w:hyperlink r:id="rId17" w:history="1">
        <w:r w:rsidRPr="006E04CB">
          <w:rPr>
            <w:rFonts w:ascii="Times New Roman" w:eastAsia="Times New Roman" w:hAnsi="Times New Roman" w:cs="Times New Roman"/>
            <w:color w:val="000000"/>
            <w:sz w:val="24"/>
            <w:szCs w:val="24"/>
            <w:u w:val="single"/>
          </w:rPr>
          <w:t>https://doi.org/10.4324/9780203212820</w:t>
        </w:r>
      </w:hyperlink>
    </w:p>
    <w:p w14:paraId="59A34684"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proofErr w:type="spellStart"/>
      <w:r w:rsidRPr="006E04CB">
        <w:rPr>
          <w:rFonts w:ascii="Times New Roman" w:eastAsia="Times New Roman" w:hAnsi="Times New Roman" w:cs="Times New Roman"/>
          <w:color w:val="000000"/>
          <w:sz w:val="24"/>
          <w:szCs w:val="24"/>
        </w:rPr>
        <w:t>Stalmaszczyk</w:t>
      </w:r>
      <w:proofErr w:type="spellEnd"/>
      <w:r w:rsidRPr="006E04CB">
        <w:rPr>
          <w:rFonts w:ascii="Times New Roman" w:eastAsia="Times New Roman" w:hAnsi="Times New Roman" w:cs="Times New Roman"/>
          <w:color w:val="000000"/>
          <w:sz w:val="24"/>
          <w:szCs w:val="24"/>
        </w:rPr>
        <w:t>, P. (2012). Philosophical and formal approaches to linguistic analysis. Preface. </w:t>
      </w:r>
      <w:r w:rsidRPr="006E04CB">
        <w:rPr>
          <w:rFonts w:ascii="Times New Roman" w:eastAsia="Times New Roman" w:hAnsi="Times New Roman" w:cs="Times New Roman"/>
          <w:i/>
          <w:iCs/>
          <w:color w:val="000000"/>
          <w:sz w:val="24"/>
          <w:szCs w:val="24"/>
        </w:rPr>
        <w:t>Philosophical and Formal Approaches to Linguistic Analysis</w:t>
      </w:r>
      <w:r w:rsidRPr="006E04CB">
        <w:rPr>
          <w:rFonts w:ascii="Times New Roman" w:eastAsia="Times New Roman" w:hAnsi="Times New Roman" w:cs="Times New Roman"/>
          <w:color w:val="000000"/>
          <w:sz w:val="24"/>
          <w:szCs w:val="24"/>
        </w:rPr>
        <w:t>, 1-14. </w:t>
      </w:r>
      <w:hyperlink r:id="rId18" w:history="1">
        <w:r w:rsidRPr="006E04CB">
          <w:rPr>
            <w:rFonts w:ascii="Times New Roman" w:eastAsia="Times New Roman" w:hAnsi="Times New Roman" w:cs="Times New Roman"/>
            <w:color w:val="000000"/>
            <w:sz w:val="24"/>
            <w:szCs w:val="24"/>
            <w:u w:val="single"/>
          </w:rPr>
          <w:t>https://doi.org/10.1515/9783110320244.1</w:t>
        </w:r>
      </w:hyperlink>
    </w:p>
    <w:p w14:paraId="67D5163C" w14:textId="77777777" w:rsidR="006E04CB" w:rsidRPr="006E04CB" w:rsidRDefault="006E04CB" w:rsidP="008973FF">
      <w:pPr>
        <w:shd w:val="clear" w:color="auto" w:fill="FFFFFF"/>
        <w:ind w:left="720" w:right="75" w:hanging="720"/>
        <w:rPr>
          <w:rFonts w:ascii="Times New Roman" w:eastAsia="Times New Roman" w:hAnsi="Times New Roman" w:cs="Times New Roman"/>
          <w:color w:val="000000"/>
          <w:sz w:val="24"/>
          <w:szCs w:val="24"/>
        </w:rPr>
      </w:pPr>
      <w:proofErr w:type="spellStart"/>
      <w:r w:rsidRPr="006E04CB">
        <w:rPr>
          <w:rFonts w:ascii="Times New Roman" w:eastAsia="Times New Roman" w:hAnsi="Times New Roman" w:cs="Times New Roman"/>
          <w:color w:val="000000"/>
          <w:sz w:val="24"/>
          <w:szCs w:val="24"/>
        </w:rPr>
        <w:t>Tentori</w:t>
      </w:r>
      <w:proofErr w:type="spellEnd"/>
      <w:r w:rsidRPr="006E04CB">
        <w:rPr>
          <w:rFonts w:ascii="Times New Roman" w:eastAsia="Times New Roman" w:hAnsi="Times New Roman" w:cs="Times New Roman"/>
          <w:color w:val="000000"/>
          <w:sz w:val="24"/>
          <w:szCs w:val="24"/>
        </w:rPr>
        <w:t>, K. (2020). What can the conjunction fallacy tell us about human reasoning? </w:t>
      </w:r>
      <w:hyperlink r:id="rId19" w:history="1">
        <w:r w:rsidRPr="006E04CB">
          <w:rPr>
            <w:rFonts w:ascii="Times New Roman" w:eastAsia="Times New Roman" w:hAnsi="Times New Roman" w:cs="Times New Roman"/>
            <w:color w:val="000000"/>
            <w:sz w:val="24"/>
            <w:szCs w:val="24"/>
            <w:u w:val="single"/>
          </w:rPr>
          <w:t>https://doi.org/10.31234/osf.io/yrh5f</w:t>
        </w:r>
      </w:hyperlink>
    </w:p>
    <w:p w14:paraId="666D34B0" w14:textId="77777777" w:rsidR="006E04CB" w:rsidRPr="008973FF" w:rsidRDefault="006E04CB" w:rsidP="008973FF">
      <w:pPr>
        <w:pStyle w:val="NormalWeb"/>
        <w:spacing w:before="0" w:beforeAutospacing="0" w:after="0" w:afterAutospacing="0" w:line="480" w:lineRule="auto"/>
        <w:ind w:firstLine="720"/>
        <w:rPr>
          <w:b/>
          <w:bCs/>
          <w:u w:val="single"/>
        </w:rPr>
      </w:pPr>
    </w:p>
    <w:p w14:paraId="4C420A7C" w14:textId="0BBEDFC8" w:rsidR="00757C5A" w:rsidRPr="008973FF" w:rsidRDefault="00757C5A" w:rsidP="008973FF">
      <w:pPr>
        <w:pStyle w:val="mb-25"/>
        <w:spacing w:before="0" w:beforeAutospacing="0" w:after="0" w:afterAutospacing="0" w:line="480" w:lineRule="auto"/>
      </w:pPr>
    </w:p>
    <w:p w14:paraId="43C99BA5" w14:textId="77777777" w:rsidR="00C244C2" w:rsidRPr="008973FF" w:rsidRDefault="00C244C2" w:rsidP="008973FF">
      <w:pPr>
        <w:pStyle w:val="NormalWeb"/>
        <w:spacing w:before="0" w:beforeAutospacing="0" w:after="0" w:afterAutospacing="0" w:line="480" w:lineRule="auto"/>
        <w:rPr>
          <w:color w:val="0E101A"/>
        </w:rPr>
      </w:pPr>
      <w:r w:rsidRPr="008973FF">
        <w:rPr>
          <w:color w:val="0E101A"/>
        </w:rPr>
        <w:t> </w:t>
      </w:r>
    </w:p>
    <w:p w14:paraId="18953D07" w14:textId="77777777" w:rsidR="00211209" w:rsidRPr="008973FF" w:rsidRDefault="00211209" w:rsidP="008973FF">
      <w:pPr>
        <w:rPr>
          <w:rFonts w:ascii="Times New Roman" w:hAnsi="Times New Roman" w:cs="Times New Roman"/>
          <w:sz w:val="24"/>
          <w:szCs w:val="24"/>
        </w:rPr>
      </w:pPr>
    </w:p>
    <w:sectPr w:rsidR="00211209" w:rsidRPr="008973FF" w:rsidSect="0016633B">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4C2"/>
    <w:rsid w:val="000E3DE6"/>
    <w:rsid w:val="0016633B"/>
    <w:rsid w:val="00211209"/>
    <w:rsid w:val="005D272F"/>
    <w:rsid w:val="006571CA"/>
    <w:rsid w:val="006E04CB"/>
    <w:rsid w:val="007244A4"/>
    <w:rsid w:val="00757C5A"/>
    <w:rsid w:val="007840E2"/>
    <w:rsid w:val="007B04A9"/>
    <w:rsid w:val="007D3CC8"/>
    <w:rsid w:val="007E3384"/>
    <w:rsid w:val="008973FF"/>
    <w:rsid w:val="00983CC9"/>
    <w:rsid w:val="009F052E"/>
    <w:rsid w:val="00A1662A"/>
    <w:rsid w:val="00A84BB1"/>
    <w:rsid w:val="00B90AF2"/>
    <w:rsid w:val="00C15E8E"/>
    <w:rsid w:val="00C244C2"/>
    <w:rsid w:val="00DA5937"/>
    <w:rsid w:val="00F131B4"/>
    <w:rsid w:val="00F1579D"/>
    <w:rsid w:val="00F4794D"/>
    <w:rsid w:val="00F74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421D9"/>
  <w15:chartTrackingRefBased/>
  <w15:docId w15:val="{A31F05C8-B420-411A-B91D-BFD26F18A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44C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244C2"/>
    <w:rPr>
      <w:i/>
      <w:iCs/>
    </w:rPr>
  </w:style>
  <w:style w:type="character" w:customStyle="1" w:styleId="gray">
    <w:name w:val="gray"/>
    <w:basedOn w:val="DefaultParagraphFont"/>
    <w:rsid w:val="00C244C2"/>
  </w:style>
  <w:style w:type="paragraph" w:customStyle="1" w:styleId="mb-25">
    <w:name w:val="mb-2.5"/>
    <w:basedOn w:val="Normal"/>
    <w:rsid w:val="00A84B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ssue-underline">
    <w:name w:val="issue-underline"/>
    <w:basedOn w:val="DefaultParagraphFont"/>
    <w:rsid w:val="007B04A9"/>
  </w:style>
  <w:style w:type="character" w:styleId="Hyperlink">
    <w:name w:val="Hyperlink"/>
    <w:basedOn w:val="DefaultParagraphFont"/>
    <w:uiPriority w:val="99"/>
    <w:semiHidden/>
    <w:unhideWhenUsed/>
    <w:rsid w:val="006E04CB"/>
    <w:rPr>
      <w:color w:val="0000FF"/>
      <w:u w:val="single"/>
    </w:rPr>
  </w:style>
  <w:style w:type="paragraph" w:styleId="NoSpacing">
    <w:name w:val="No Spacing"/>
    <w:link w:val="NoSpacingChar"/>
    <w:uiPriority w:val="1"/>
    <w:qFormat/>
    <w:rsid w:val="0016633B"/>
    <w:pPr>
      <w:spacing w:line="240" w:lineRule="auto"/>
    </w:pPr>
    <w:rPr>
      <w:rFonts w:eastAsiaTheme="minorEastAsia"/>
    </w:rPr>
  </w:style>
  <w:style w:type="character" w:customStyle="1" w:styleId="NoSpacingChar">
    <w:name w:val="No Spacing Char"/>
    <w:basedOn w:val="DefaultParagraphFont"/>
    <w:link w:val="NoSpacing"/>
    <w:uiPriority w:val="1"/>
    <w:rsid w:val="0016633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89887">
      <w:bodyDiv w:val="1"/>
      <w:marLeft w:val="0"/>
      <w:marRight w:val="0"/>
      <w:marTop w:val="0"/>
      <w:marBottom w:val="0"/>
      <w:divBdr>
        <w:top w:val="none" w:sz="0" w:space="0" w:color="auto"/>
        <w:left w:val="none" w:sz="0" w:space="0" w:color="auto"/>
        <w:bottom w:val="none" w:sz="0" w:space="0" w:color="auto"/>
        <w:right w:val="none" w:sz="0" w:space="0" w:color="auto"/>
      </w:divBdr>
    </w:div>
    <w:div w:id="69237129">
      <w:bodyDiv w:val="1"/>
      <w:marLeft w:val="0"/>
      <w:marRight w:val="0"/>
      <w:marTop w:val="0"/>
      <w:marBottom w:val="0"/>
      <w:divBdr>
        <w:top w:val="none" w:sz="0" w:space="0" w:color="auto"/>
        <w:left w:val="none" w:sz="0" w:space="0" w:color="auto"/>
        <w:bottom w:val="none" w:sz="0" w:space="0" w:color="auto"/>
        <w:right w:val="none" w:sz="0" w:space="0" w:color="auto"/>
      </w:divBdr>
    </w:div>
    <w:div w:id="261257566">
      <w:bodyDiv w:val="1"/>
      <w:marLeft w:val="0"/>
      <w:marRight w:val="0"/>
      <w:marTop w:val="0"/>
      <w:marBottom w:val="0"/>
      <w:divBdr>
        <w:top w:val="none" w:sz="0" w:space="0" w:color="auto"/>
        <w:left w:val="none" w:sz="0" w:space="0" w:color="auto"/>
        <w:bottom w:val="none" w:sz="0" w:space="0" w:color="auto"/>
        <w:right w:val="none" w:sz="0" w:space="0" w:color="auto"/>
      </w:divBdr>
    </w:div>
    <w:div w:id="742525933">
      <w:bodyDiv w:val="1"/>
      <w:marLeft w:val="0"/>
      <w:marRight w:val="0"/>
      <w:marTop w:val="0"/>
      <w:marBottom w:val="0"/>
      <w:divBdr>
        <w:top w:val="none" w:sz="0" w:space="0" w:color="auto"/>
        <w:left w:val="none" w:sz="0" w:space="0" w:color="auto"/>
        <w:bottom w:val="none" w:sz="0" w:space="0" w:color="auto"/>
        <w:right w:val="none" w:sz="0" w:space="0" w:color="auto"/>
      </w:divBdr>
    </w:div>
    <w:div w:id="1083339610">
      <w:bodyDiv w:val="1"/>
      <w:marLeft w:val="0"/>
      <w:marRight w:val="0"/>
      <w:marTop w:val="0"/>
      <w:marBottom w:val="0"/>
      <w:divBdr>
        <w:top w:val="none" w:sz="0" w:space="0" w:color="auto"/>
        <w:left w:val="none" w:sz="0" w:space="0" w:color="auto"/>
        <w:bottom w:val="none" w:sz="0" w:space="0" w:color="auto"/>
        <w:right w:val="none" w:sz="0" w:space="0" w:color="auto"/>
      </w:divBdr>
    </w:div>
    <w:div w:id="1228807571">
      <w:bodyDiv w:val="1"/>
      <w:marLeft w:val="0"/>
      <w:marRight w:val="0"/>
      <w:marTop w:val="0"/>
      <w:marBottom w:val="0"/>
      <w:divBdr>
        <w:top w:val="none" w:sz="0" w:space="0" w:color="auto"/>
        <w:left w:val="none" w:sz="0" w:space="0" w:color="auto"/>
        <w:bottom w:val="none" w:sz="0" w:space="0" w:color="auto"/>
        <w:right w:val="none" w:sz="0" w:space="0" w:color="auto"/>
      </w:divBdr>
    </w:div>
    <w:div w:id="1428892972">
      <w:bodyDiv w:val="1"/>
      <w:marLeft w:val="0"/>
      <w:marRight w:val="0"/>
      <w:marTop w:val="0"/>
      <w:marBottom w:val="0"/>
      <w:divBdr>
        <w:top w:val="none" w:sz="0" w:space="0" w:color="auto"/>
        <w:left w:val="none" w:sz="0" w:space="0" w:color="auto"/>
        <w:bottom w:val="none" w:sz="0" w:space="0" w:color="auto"/>
        <w:right w:val="none" w:sz="0" w:space="0" w:color="auto"/>
      </w:divBdr>
    </w:div>
    <w:div w:id="1497769139">
      <w:bodyDiv w:val="1"/>
      <w:marLeft w:val="0"/>
      <w:marRight w:val="0"/>
      <w:marTop w:val="0"/>
      <w:marBottom w:val="0"/>
      <w:divBdr>
        <w:top w:val="none" w:sz="0" w:space="0" w:color="auto"/>
        <w:left w:val="none" w:sz="0" w:space="0" w:color="auto"/>
        <w:bottom w:val="none" w:sz="0" w:space="0" w:color="auto"/>
        <w:right w:val="none" w:sz="0" w:space="0" w:color="auto"/>
      </w:divBdr>
    </w:div>
    <w:div w:id="1583636046">
      <w:bodyDiv w:val="1"/>
      <w:marLeft w:val="0"/>
      <w:marRight w:val="0"/>
      <w:marTop w:val="0"/>
      <w:marBottom w:val="0"/>
      <w:divBdr>
        <w:top w:val="none" w:sz="0" w:space="0" w:color="auto"/>
        <w:left w:val="none" w:sz="0" w:space="0" w:color="auto"/>
        <w:bottom w:val="none" w:sz="0" w:space="0" w:color="auto"/>
        <w:right w:val="none" w:sz="0" w:space="0" w:color="auto"/>
      </w:divBdr>
    </w:div>
    <w:div w:id="1599295201">
      <w:bodyDiv w:val="1"/>
      <w:marLeft w:val="0"/>
      <w:marRight w:val="0"/>
      <w:marTop w:val="0"/>
      <w:marBottom w:val="0"/>
      <w:divBdr>
        <w:top w:val="none" w:sz="0" w:space="0" w:color="auto"/>
        <w:left w:val="none" w:sz="0" w:space="0" w:color="auto"/>
        <w:bottom w:val="none" w:sz="0" w:space="0" w:color="auto"/>
        <w:right w:val="none" w:sz="0" w:space="0" w:color="auto"/>
      </w:divBdr>
    </w:div>
    <w:div w:id="1772778490">
      <w:bodyDiv w:val="1"/>
      <w:marLeft w:val="0"/>
      <w:marRight w:val="0"/>
      <w:marTop w:val="0"/>
      <w:marBottom w:val="0"/>
      <w:divBdr>
        <w:top w:val="none" w:sz="0" w:space="0" w:color="auto"/>
        <w:left w:val="none" w:sz="0" w:space="0" w:color="auto"/>
        <w:bottom w:val="none" w:sz="0" w:space="0" w:color="auto"/>
        <w:right w:val="none" w:sz="0" w:space="0" w:color="auto"/>
      </w:divBdr>
    </w:div>
    <w:div w:id="1804619541">
      <w:bodyDiv w:val="1"/>
      <w:marLeft w:val="0"/>
      <w:marRight w:val="0"/>
      <w:marTop w:val="0"/>
      <w:marBottom w:val="0"/>
      <w:divBdr>
        <w:top w:val="none" w:sz="0" w:space="0" w:color="auto"/>
        <w:left w:val="none" w:sz="0" w:space="0" w:color="auto"/>
        <w:bottom w:val="none" w:sz="0" w:space="0" w:color="auto"/>
        <w:right w:val="none" w:sz="0" w:space="0" w:color="auto"/>
      </w:divBdr>
    </w:div>
    <w:div w:id="203692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515/9783110320244.37" TargetMode="External"/><Relationship Id="rId13" Type="http://schemas.openxmlformats.org/officeDocument/2006/relationships/hyperlink" Target="https://doi.org/10.1007/bf01048532" TargetMode="External"/><Relationship Id="rId18" Type="http://schemas.openxmlformats.org/officeDocument/2006/relationships/hyperlink" Target="https://doi.org/10.1515/9783110320244.1" TargetMode="Externa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hyperlink" Target="https://doi.org/10.1515/9780824843021-012" TargetMode="External"/><Relationship Id="rId12" Type="http://schemas.openxmlformats.org/officeDocument/2006/relationships/hyperlink" Target="https://doi.org/10.1007/978-3-319-53562-3_25" TargetMode="External"/><Relationship Id="rId17" Type="http://schemas.openxmlformats.org/officeDocument/2006/relationships/hyperlink" Target="https://doi.org/10.4324/9780203212820" TargetMode="External"/><Relationship Id="rId2" Type="http://schemas.openxmlformats.org/officeDocument/2006/relationships/styles" Target="styles.xml"/><Relationship Id="rId16" Type="http://schemas.openxmlformats.org/officeDocument/2006/relationships/hyperlink" Target="https://doi.org/10.1002/9780471462422.eoct021"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s://doi.org/10.4324/9781315807171-17" TargetMode="External"/><Relationship Id="rId5" Type="http://schemas.openxmlformats.org/officeDocument/2006/relationships/image" Target="media/image1.png"/><Relationship Id="rId15" Type="http://schemas.openxmlformats.org/officeDocument/2006/relationships/hyperlink" Target="https://doi.org/10.2307/2104331" TargetMode="External"/><Relationship Id="rId10" Type="http://schemas.openxmlformats.org/officeDocument/2006/relationships/hyperlink" Target="https://doi.org/10.1305/ndjfl/1093883560" TargetMode="External"/><Relationship Id="rId19" Type="http://schemas.openxmlformats.org/officeDocument/2006/relationships/hyperlink" Target="https://doi.org/10.31234/osf.io/yrh5f" TargetMode="External"/><Relationship Id="rId4" Type="http://schemas.openxmlformats.org/officeDocument/2006/relationships/webSettings" Target="webSettings.xml"/><Relationship Id="rId9" Type="http://schemas.openxmlformats.org/officeDocument/2006/relationships/hyperlink" Target="https://doi.org/10.22329/il.v16i1.2432" TargetMode="External"/><Relationship Id="rId14" Type="http://schemas.openxmlformats.org/officeDocument/2006/relationships/hyperlink" Target="https://doi.org/10.1305/ndjfl/1093870449"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BB2BC3C77FA475EB29566C01F652E1F"/>
        <w:category>
          <w:name w:val="General"/>
          <w:gallery w:val="placeholder"/>
        </w:category>
        <w:types>
          <w:type w:val="bbPlcHdr"/>
        </w:types>
        <w:behaviors>
          <w:behavior w:val="content"/>
        </w:behaviors>
        <w:guid w:val="{076DF964-8E03-42CF-85B0-A0E82B5ED699}"/>
      </w:docPartPr>
      <w:docPartBody>
        <w:p w:rsidR="00000000" w:rsidRDefault="002A415F" w:rsidP="002A415F">
          <w:pPr>
            <w:pStyle w:val="2BB2BC3C77FA475EB29566C01F652E1F"/>
          </w:pPr>
          <w:r>
            <w:rPr>
              <w:rFonts w:asciiTheme="majorHAnsi" w:eastAsiaTheme="majorEastAsia" w:hAnsiTheme="majorHAnsi" w:cstheme="majorBidi"/>
              <w:caps/>
              <w:color w:val="4472C4" w:themeColor="accent1"/>
              <w:sz w:val="80"/>
              <w:szCs w:val="80"/>
            </w:rPr>
            <w:t>[Document title]</w:t>
          </w:r>
        </w:p>
      </w:docPartBody>
    </w:docPart>
    <w:docPart>
      <w:docPartPr>
        <w:name w:val="84A0EFDE090E4C78B0D847C6DC4147FE"/>
        <w:category>
          <w:name w:val="General"/>
          <w:gallery w:val="placeholder"/>
        </w:category>
        <w:types>
          <w:type w:val="bbPlcHdr"/>
        </w:types>
        <w:behaviors>
          <w:behavior w:val="content"/>
        </w:behaviors>
        <w:guid w:val="{3AE24454-656C-4354-9247-123A1197B850}"/>
      </w:docPartPr>
      <w:docPartBody>
        <w:p w:rsidR="00000000" w:rsidRDefault="002A415F" w:rsidP="002A415F">
          <w:pPr>
            <w:pStyle w:val="84A0EFDE090E4C78B0D847C6DC4147FE"/>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15F"/>
    <w:rsid w:val="002A415F"/>
    <w:rsid w:val="00573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BB2BC3C77FA475EB29566C01F652E1F">
    <w:name w:val="2BB2BC3C77FA475EB29566C01F652E1F"/>
    <w:rsid w:val="002A415F"/>
  </w:style>
  <w:style w:type="paragraph" w:customStyle="1" w:styleId="84A0EFDE090E4C78B0D847C6DC4147FE">
    <w:name w:val="84A0EFDE090E4C78B0D847C6DC4147FE"/>
    <w:rsid w:val="002A41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2022-10-24T00:00:00</PublishDate>
  <Abstract/>
  <CompanyAddress>Phil310 Logic &amp; Reasoning</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10</Pages>
  <Words>1880</Words>
  <Characters>9834</Characters>
  <Application>Microsoft Office Word</Application>
  <DocSecurity>0</DocSecurity>
  <Lines>223</Lines>
  <Paragraphs>134</Paragraphs>
  <ScaleCrop>false</ScaleCrop>
  <HeadingPairs>
    <vt:vector size="2" baseType="variant">
      <vt:variant>
        <vt:lpstr>Title</vt:lpstr>
      </vt:variant>
      <vt:variant>
        <vt:i4>1</vt:i4>
      </vt:variant>
    </vt:vector>
  </HeadingPairs>
  <TitlesOfParts>
    <vt:vector size="1" baseType="lpstr">
      <vt:lpstr/>
    </vt:vector>
  </TitlesOfParts>
  <Company>Bryant &amp; Stratton College</Company>
  <LinksUpToDate>false</LinksUpToDate>
  <CharactersWithSpaces>11580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Denying A Conjunct Fallacy</dc:subject>
  <dc:creator>valeno' gordon</dc:creator>
  <cp:keywords/>
  <dc:description/>
  <cp:lastModifiedBy>valeno' gordon</cp:lastModifiedBy>
  <cp:revision>15</cp:revision>
  <cp:lastPrinted>2022-10-25T23:49:00Z</cp:lastPrinted>
  <dcterms:created xsi:type="dcterms:W3CDTF">2022-10-25T21:26:00Z</dcterms:created>
  <dcterms:modified xsi:type="dcterms:W3CDTF">2022-10-25T23:56:00Z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bbbd1e76-283c-493d-8205-e28da7b6865e</vt:lpwstr>
  </property>
</Properties>
</file>