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760EAD" w14:textId="77777777" w:rsidR="00A84DE1" w:rsidRDefault="00A84DE1" w:rsidP="0D0463AD">
      <w:pPr>
        <w:pStyle w:val="Heading3"/>
        <w:spacing w:line="480" w:lineRule="auto"/>
        <w:jc w:val="center"/>
        <w:rPr>
          <w:rFonts w:ascii="Times New Roman" w:eastAsia="Times New Roman" w:hAnsi="Times New Roman" w:cs="Times New Roman"/>
          <w:b/>
          <w:bCs/>
          <w:color w:val="1F3763"/>
        </w:rPr>
      </w:pPr>
    </w:p>
    <w:p w14:paraId="162F630B" w14:textId="77777777" w:rsidR="00A84DE1" w:rsidRDefault="00A84DE1" w:rsidP="0D0463AD">
      <w:pPr>
        <w:pStyle w:val="Heading3"/>
        <w:spacing w:line="480" w:lineRule="auto"/>
        <w:jc w:val="center"/>
        <w:rPr>
          <w:rFonts w:ascii="Times New Roman" w:eastAsia="Times New Roman" w:hAnsi="Times New Roman" w:cs="Times New Roman"/>
          <w:b/>
          <w:bCs/>
          <w:color w:val="1F3763"/>
        </w:rPr>
      </w:pPr>
    </w:p>
    <w:p w14:paraId="57B6E285" w14:textId="77777777" w:rsidR="00A84DE1" w:rsidRDefault="00A84DE1" w:rsidP="0D0463AD">
      <w:pPr>
        <w:pStyle w:val="Heading3"/>
        <w:spacing w:line="480" w:lineRule="auto"/>
        <w:jc w:val="center"/>
        <w:rPr>
          <w:rFonts w:ascii="Times New Roman" w:eastAsia="Times New Roman" w:hAnsi="Times New Roman" w:cs="Times New Roman"/>
          <w:b/>
          <w:bCs/>
          <w:color w:val="1F3763"/>
        </w:rPr>
      </w:pPr>
    </w:p>
    <w:p w14:paraId="57EB89DF" w14:textId="77777777" w:rsidR="00A84DE1" w:rsidRDefault="00A84DE1" w:rsidP="0D0463AD">
      <w:pPr>
        <w:pStyle w:val="Heading3"/>
        <w:spacing w:line="480" w:lineRule="auto"/>
        <w:jc w:val="center"/>
        <w:rPr>
          <w:rFonts w:ascii="Times New Roman" w:eastAsia="Times New Roman" w:hAnsi="Times New Roman" w:cs="Times New Roman"/>
          <w:b/>
          <w:bCs/>
          <w:color w:val="1F3763"/>
        </w:rPr>
      </w:pPr>
    </w:p>
    <w:p w14:paraId="7CEB3912" w14:textId="77777777" w:rsidR="00A84DE1" w:rsidRDefault="00A84DE1" w:rsidP="0D0463AD">
      <w:pPr>
        <w:pStyle w:val="Heading3"/>
        <w:spacing w:line="480" w:lineRule="auto"/>
        <w:jc w:val="center"/>
        <w:rPr>
          <w:rFonts w:ascii="Times New Roman" w:eastAsia="Times New Roman" w:hAnsi="Times New Roman" w:cs="Times New Roman"/>
          <w:b/>
          <w:bCs/>
          <w:color w:val="1F3763"/>
        </w:rPr>
      </w:pPr>
    </w:p>
    <w:p w14:paraId="073C21A7" w14:textId="77777777" w:rsidR="00A84DE1" w:rsidRDefault="00A84DE1" w:rsidP="0D0463AD">
      <w:pPr>
        <w:pStyle w:val="Heading3"/>
        <w:spacing w:line="480" w:lineRule="auto"/>
        <w:jc w:val="center"/>
        <w:rPr>
          <w:rFonts w:ascii="Times New Roman" w:eastAsia="Times New Roman" w:hAnsi="Times New Roman" w:cs="Times New Roman"/>
          <w:b/>
          <w:bCs/>
          <w:color w:val="1F3763"/>
        </w:rPr>
      </w:pPr>
    </w:p>
    <w:p w14:paraId="43D8EDE6" w14:textId="77777777" w:rsidR="00A84DE1" w:rsidRDefault="00A84DE1" w:rsidP="0D0463AD">
      <w:pPr>
        <w:pStyle w:val="Heading3"/>
        <w:spacing w:line="480" w:lineRule="auto"/>
        <w:jc w:val="center"/>
        <w:rPr>
          <w:rFonts w:ascii="Times New Roman" w:eastAsia="Times New Roman" w:hAnsi="Times New Roman" w:cs="Times New Roman"/>
          <w:b/>
          <w:bCs/>
          <w:color w:val="1F3763"/>
        </w:rPr>
      </w:pPr>
    </w:p>
    <w:p w14:paraId="3DC07758" w14:textId="77777777" w:rsidR="00A84DE1" w:rsidRDefault="00A84DE1" w:rsidP="0D0463AD">
      <w:pPr>
        <w:pStyle w:val="Heading3"/>
        <w:spacing w:line="480" w:lineRule="auto"/>
        <w:jc w:val="center"/>
        <w:rPr>
          <w:rFonts w:ascii="Times New Roman" w:eastAsia="Times New Roman" w:hAnsi="Times New Roman" w:cs="Times New Roman"/>
          <w:b/>
          <w:bCs/>
          <w:color w:val="1F3763"/>
        </w:rPr>
      </w:pPr>
    </w:p>
    <w:p w14:paraId="2A6333BD" w14:textId="77777777" w:rsidR="00A84DE1" w:rsidRDefault="00A84DE1" w:rsidP="0D0463AD">
      <w:pPr>
        <w:pStyle w:val="Heading3"/>
        <w:spacing w:line="480" w:lineRule="auto"/>
        <w:jc w:val="center"/>
        <w:rPr>
          <w:rFonts w:ascii="Times New Roman" w:eastAsia="Times New Roman" w:hAnsi="Times New Roman" w:cs="Times New Roman"/>
          <w:b/>
          <w:bCs/>
          <w:color w:val="1F3763"/>
        </w:rPr>
      </w:pPr>
    </w:p>
    <w:p w14:paraId="26C54B92" w14:textId="77777777" w:rsidR="00A84DE1" w:rsidRDefault="00A84DE1" w:rsidP="0D0463AD">
      <w:pPr>
        <w:pStyle w:val="Heading3"/>
        <w:spacing w:line="480" w:lineRule="auto"/>
        <w:jc w:val="center"/>
        <w:rPr>
          <w:rFonts w:ascii="Times New Roman" w:eastAsia="Times New Roman" w:hAnsi="Times New Roman" w:cs="Times New Roman"/>
          <w:b/>
          <w:bCs/>
          <w:color w:val="1F3763"/>
        </w:rPr>
      </w:pPr>
    </w:p>
    <w:p w14:paraId="2A9E1635" w14:textId="012D6D58" w:rsidR="00A84DE1" w:rsidRPr="004D6B80" w:rsidRDefault="00A84DE1" w:rsidP="00A84DE1">
      <w:pPr>
        <w:pStyle w:val="Heading3"/>
        <w:spacing w:line="480" w:lineRule="auto"/>
        <w:jc w:val="center"/>
        <w:rPr>
          <w:rFonts w:ascii="Times New Roman" w:eastAsia="Times New Roman" w:hAnsi="Times New Roman" w:cs="Times New Roman"/>
          <w:b/>
          <w:bCs/>
          <w:color w:val="1F3763"/>
          <w:sz w:val="36"/>
          <w:szCs w:val="36"/>
        </w:rPr>
      </w:pPr>
      <w:r w:rsidRPr="004D6B80">
        <w:rPr>
          <w:rFonts w:ascii="Times New Roman" w:eastAsia="Times New Roman" w:hAnsi="Times New Roman" w:cs="Times New Roman"/>
          <w:b/>
          <w:bCs/>
          <w:color w:val="1F3763"/>
          <w:sz w:val="36"/>
          <w:szCs w:val="36"/>
        </w:rPr>
        <w:t>Danielle Pittman</w:t>
      </w:r>
    </w:p>
    <w:p w14:paraId="46C87015" w14:textId="084CD2FC" w:rsidR="00A84DE1" w:rsidRPr="004D6B80" w:rsidRDefault="00A84DE1" w:rsidP="00A84DE1">
      <w:pPr>
        <w:jc w:val="center"/>
        <w:rPr>
          <w:rFonts w:ascii="Times New Roman" w:hAnsi="Times New Roman" w:cs="Times New Roman"/>
          <w:sz w:val="36"/>
          <w:szCs w:val="36"/>
        </w:rPr>
      </w:pPr>
      <w:r w:rsidRPr="004D6B80">
        <w:rPr>
          <w:rFonts w:ascii="Times New Roman" w:hAnsi="Times New Roman" w:cs="Times New Roman"/>
          <w:sz w:val="36"/>
          <w:szCs w:val="36"/>
        </w:rPr>
        <w:t>PLEG135</w:t>
      </w:r>
    </w:p>
    <w:p w14:paraId="0646C107" w14:textId="2AE6688E" w:rsidR="00A84DE1" w:rsidRPr="004D6B80" w:rsidRDefault="004D6B80" w:rsidP="00A84DE1">
      <w:pPr>
        <w:jc w:val="center"/>
        <w:rPr>
          <w:rFonts w:ascii="Times New Roman" w:hAnsi="Times New Roman" w:cs="Times New Roman"/>
          <w:sz w:val="36"/>
          <w:szCs w:val="36"/>
        </w:rPr>
      </w:pPr>
      <w:r w:rsidRPr="004D6B80">
        <w:rPr>
          <w:rFonts w:ascii="Times New Roman" w:hAnsi="Times New Roman" w:cs="Times New Roman"/>
          <w:sz w:val="36"/>
          <w:szCs w:val="36"/>
        </w:rPr>
        <w:t>Victoria Anderson</w:t>
      </w:r>
    </w:p>
    <w:p w14:paraId="6445D26C" w14:textId="5B06C2A8" w:rsidR="004D6B80" w:rsidRPr="004D6B80" w:rsidRDefault="004D6B80" w:rsidP="00A84DE1">
      <w:pPr>
        <w:jc w:val="center"/>
        <w:rPr>
          <w:rFonts w:ascii="Times New Roman" w:hAnsi="Times New Roman" w:cs="Times New Roman"/>
          <w:sz w:val="36"/>
          <w:szCs w:val="36"/>
        </w:rPr>
      </w:pPr>
      <w:r w:rsidRPr="004D6B80">
        <w:rPr>
          <w:rFonts w:ascii="Times New Roman" w:hAnsi="Times New Roman" w:cs="Times New Roman"/>
          <w:sz w:val="36"/>
          <w:szCs w:val="36"/>
        </w:rPr>
        <w:t>04/24/2021</w:t>
      </w:r>
    </w:p>
    <w:p w14:paraId="663121C1" w14:textId="77777777" w:rsidR="00A84DE1" w:rsidRDefault="00A84DE1" w:rsidP="0D0463AD">
      <w:pPr>
        <w:pStyle w:val="Heading3"/>
        <w:spacing w:line="480" w:lineRule="auto"/>
        <w:jc w:val="center"/>
        <w:rPr>
          <w:rFonts w:ascii="Times New Roman" w:eastAsia="Times New Roman" w:hAnsi="Times New Roman" w:cs="Times New Roman"/>
          <w:b/>
          <w:bCs/>
          <w:color w:val="1F3763"/>
        </w:rPr>
      </w:pPr>
    </w:p>
    <w:p w14:paraId="4FED40E5" w14:textId="77777777" w:rsidR="00A84DE1" w:rsidRDefault="00A84DE1" w:rsidP="0D0463AD">
      <w:pPr>
        <w:pStyle w:val="Heading3"/>
        <w:spacing w:line="480" w:lineRule="auto"/>
        <w:jc w:val="center"/>
        <w:rPr>
          <w:rFonts w:ascii="Times New Roman" w:eastAsia="Times New Roman" w:hAnsi="Times New Roman" w:cs="Times New Roman"/>
          <w:b/>
          <w:bCs/>
          <w:color w:val="1F3763"/>
        </w:rPr>
      </w:pPr>
    </w:p>
    <w:p w14:paraId="2656155B" w14:textId="77777777" w:rsidR="00A84DE1" w:rsidRDefault="00A84DE1" w:rsidP="0D0463AD">
      <w:pPr>
        <w:pStyle w:val="Heading3"/>
        <w:spacing w:line="480" w:lineRule="auto"/>
        <w:jc w:val="center"/>
        <w:rPr>
          <w:rFonts w:ascii="Times New Roman" w:eastAsia="Times New Roman" w:hAnsi="Times New Roman" w:cs="Times New Roman"/>
          <w:b/>
          <w:bCs/>
          <w:color w:val="1F3763"/>
        </w:rPr>
      </w:pPr>
    </w:p>
    <w:p w14:paraId="2F8B0910" w14:textId="77777777" w:rsidR="00A84DE1" w:rsidRDefault="00A84DE1" w:rsidP="0D0463AD">
      <w:pPr>
        <w:pStyle w:val="Heading3"/>
        <w:spacing w:line="480" w:lineRule="auto"/>
        <w:jc w:val="center"/>
        <w:rPr>
          <w:rFonts w:ascii="Times New Roman" w:eastAsia="Times New Roman" w:hAnsi="Times New Roman" w:cs="Times New Roman"/>
          <w:b/>
          <w:bCs/>
          <w:color w:val="1F3763"/>
        </w:rPr>
      </w:pPr>
    </w:p>
    <w:p w14:paraId="17BFB004" w14:textId="4F7DFE21" w:rsidR="00585F87" w:rsidRDefault="2022A694" w:rsidP="0D0463AD">
      <w:pPr>
        <w:pStyle w:val="Heading3"/>
        <w:spacing w:line="480" w:lineRule="auto"/>
        <w:jc w:val="center"/>
        <w:rPr>
          <w:rFonts w:ascii="Times New Roman" w:eastAsia="Times New Roman" w:hAnsi="Times New Roman" w:cs="Times New Roman"/>
          <w:color w:val="1F3763"/>
        </w:rPr>
      </w:pPr>
      <w:r w:rsidRPr="0D0463AD">
        <w:rPr>
          <w:rFonts w:ascii="Times New Roman" w:eastAsia="Times New Roman" w:hAnsi="Times New Roman" w:cs="Times New Roman"/>
          <w:b/>
          <w:bCs/>
          <w:color w:val="1F3763"/>
        </w:rPr>
        <w:t xml:space="preserve">Week 3 PP </w:t>
      </w:r>
      <w:hyperlink r:id="rId5">
        <w:r w:rsidRPr="0D0463AD">
          <w:rPr>
            <w:rStyle w:val="Hyperlink"/>
            <w:rFonts w:ascii="Times New Roman" w:eastAsia="Times New Roman" w:hAnsi="Times New Roman" w:cs="Times New Roman"/>
            <w:b/>
            <w:bCs/>
          </w:rPr>
          <w:t>Part 1 Intra-Office Memorandum</w:t>
        </w:r>
      </w:hyperlink>
    </w:p>
    <w:p w14:paraId="67AF89C4" w14:textId="3EF09AE4" w:rsidR="00585F87" w:rsidRDefault="00585F87" w:rsidP="0D0463AD">
      <w:pPr>
        <w:spacing w:line="480" w:lineRule="auto"/>
        <w:rPr>
          <w:rFonts w:ascii="Calibri" w:eastAsia="Calibri" w:hAnsi="Calibri" w:cs="Calibri"/>
        </w:rPr>
      </w:pPr>
    </w:p>
    <w:tbl>
      <w:tblPr>
        <w:tblW w:w="0" w:type="auto"/>
        <w:tblLayout w:type="fixed"/>
        <w:tblLook w:val="04A0" w:firstRow="1" w:lastRow="0" w:firstColumn="1" w:lastColumn="0" w:noHBand="0" w:noVBand="1"/>
      </w:tblPr>
      <w:tblGrid>
        <w:gridCol w:w="4680"/>
        <w:gridCol w:w="4680"/>
      </w:tblGrid>
      <w:tr w:rsidR="0D0463AD" w14:paraId="361C6252" w14:textId="77777777" w:rsidTr="0D0463AD">
        <w:trPr>
          <w:trHeight w:val="990"/>
        </w:trPr>
        <w:tc>
          <w:tcPr>
            <w:tcW w:w="4680" w:type="dxa"/>
            <w:tcBorders>
              <w:top w:val="nil"/>
              <w:left w:val="nil"/>
              <w:bottom w:val="nil"/>
              <w:right w:val="nil"/>
            </w:tcBorders>
          </w:tcPr>
          <w:p w14:paraId="61EEAB42" w14:textId="6598E1A4" w:rsidR="0D0463AD" w:rsidRDefault="0D0463AD" w:rsidP="0D0463AD">
            <w:pPr>
              <w:spacing w:beforeAutospacing="1" w:afterAutospacing="1" w:line="480" w:lineRule="auto"/>
              <w:rPr>
                <w:rFonts w:ascii="Arial Black" w:eastAsia="Arial Black" w:hAnsi="Arial Black" w:cs="Arial Black"/>
              </w:rPr>
            </w:pPr>
            <w:r w:rsidRPr="0D0463AD">
              <w:rPr>
                <w:rFonts w:ascii="Arial Black" w:eastAsia="Arial Black" w:hAnsi="Arial Black" w:cs="Arial Black"/>
              </w:rPr>
              <w:lastRenderedPageBreak/>
              <w:t> </w:t>
            </w:r>
          </w:p>
        </w:tc>
        <w:tc>
          <w:tcPr>
            <w:tcW w:w="4680" w:type="dxa"/>
            <w:tcBorders>
              <w:top w:val="nil"/>
              <w:left w:val="nil"/>
              <w:bottom w:val="nil"/>
              <w:right w:val="nil"/>
            </w:tcBorders>
            <w:shd w:val="clear" w:color="auto" w:fill="404040" w:themeFill="text1" w:themeFillTint="BF"/>
            <w:vAlign w:val="center"/>
          </w:tcPr>
          <w:p w14:paraId="4DCD381B" w14:textId="41613CEB" w:rsidR="0D0463AD" w:rsidRDefault="0D0463AD" w:rsidP="0D0463AD">
            <w:pPr>
              <w:spacing w:beforeAutospacing="1" w:afterAutospacing="1" w:line="480" w:lineRule="auto"/>
              <w:jc w:val="center"/>
              <w:rPr>
                <w:rFonts w:ascii="Book Antiqua" w:eastAsia="Book Antiqua" w:hAnsi="Book Antiqua" w:cs="Book Antiqua"/>
                <w:sz w:val="24"/>
                <w:szCs w:val="24"/>
              </w:rPr>
            </w:pPr>
            <w:r w:rsidRPr="0D0463AD">
              <w:rPr>
                <w:rFonts w:ascii="Book Antiqua" w:eastAsia="Book Antiqua" w:hAnsi="Book Antiqua" w:cs="Book Antiqua"/>
                <w:sz w:val="24"/>
                <w:szCs w:val="24"/>
              </w:rPr>
              <w:t>Howard &amp; Mills, P.C.</w:t>
            </w:r>
          </w:p>
        </w:tc>
      </w:tr>
    </w:tbl>
    <w:p w14:paraId="2A5B8DB5" w14:textId="4AAC58A0" w:rsidR="00585F87" w:rsidRDefault="2022A694" w:rsidP="0D0463AD">
      <w:pPr>
        <w:spacing w:beforeAutospacing="1" w:afterAutospacing="1" w:line="480" w:lineRule="auto"/>
        <w:jc w:val="right"/>
        <w:rPr>
          <w:rFonts w:ascii="Arial Black" w:eastAsia="Arial Black" w:hAnsi="Arial Black" w:cs="Arial Black"/>
          <w:color w:val="000000" w:themeColor="text1"/>
          <w:sz w:val="96"/>
          <w:szCs w:val="96"/>
        </w:rPr>
      </w:pPr>
      <w:r w:rsidRPr="0D0463AD">
        <w:rPr>
          <w:rFonts w:ascii="Arial Black" w:eastAsia="Arial Black" w:hAnsi="Arial Black" w:cs="Arial Black"/>
          <w:b/>
          <w:bCs/>
          <w:color w:val="000000" w:themeColor="text1"/>
          <w:sz w:val="96"/>
          <w:szCs w:val="96"/>
        </w:rPr>
        <w:t>  Memo</w:t>
      </w:r>
      <w:r w:rsidRPr="0D0463AD">
        <w:rPr>
          <w:rFonts w:ascii="Arial Black" w:eastAsia="Arial Black" w:hAnsi="Arial Black" w:cs="Arial Black"/>
          <w:color w:val="000000" w:themeColor="text1"/>
          <w:sz w:val="96"/>
          <w:szCs w:val="96"/>
        </w:rPr>
        <w:t> </w:t>
      </w:r>
    </w:p>
    <w:tbl>
      <w:tblPr>
        <w:tblW w:w="0" w:type="auto"/>
        <w:tblLayout w:type="fixed"/>
        <w:tblLook w:val="04A0" w:firstRow="1" w:lastRow="0" w:firstColumn="1" w:lastColumn="0" w:noHBand="0" w:noVBand="1"/>
      </w:tblPr>
      <w:tblGrid>
        <w:gridCol w:w="1245"/>
        <w:gridCol w:w="8100"/>
      </w:tblGrid>
      <w:tr w:rsidR="0D0463AD" w14:paraId="22C919BB" w14:textId="77777777" w:rsidTr="0D0463AD">
        <w:trPr>
          <w:trHeight w:val="570"/>
        </w:trPr>
        <w:tc>
          <w:tcPr>
            <w:tcW w:w="1245" w:type="dxa"/>
            <w:tcBorders>
              <w:top w:val="nil"/>
              <w:left w:val="nil"/>
              <w:bottom w:val="nil"/>
              <w:right w:val="nil"/>
            </w:tcBorders>
            <w:vAlign w:val="bottom"/>
          </w:tcPr>
          <w:p w14:paraId="2F960C82" w14:textId="156FE997" w:rsidR="0D0463AD" w:rsidRDefault="0D0463AD" w:rsidP="0D0463AD">
            <w:pPr>
              <w:spacing w:beforeAutospacing="1" w:afterAutospacing="1" w:line="480" w:lineRule="auto"/>
              <w:rPr>
                <w:rFonts w:ascii="Arial Black" w:eastAsia="Arial Black" w:hAnsi="Arial Black" w:cs="Arial Black"/>
                <w:color w:val="2F5496" w:themeColor="accent1" w:themeShade="BF"/>
                <w:sz w:val="28"/>
                <w:szCs w:val="28"/>
              </w:rPr>
            </w:pPr>
            <w:r w:rsidRPr="0D0463AD">
              <w:rPr>
                <w:rFonts w:ascii="Arial Black" w:eastAsia="Arial Black" w:hAnsi="Arial Black" w:cs="Arial Black"/>
                <w:color w:val="2F5496" w:themeColor="accent1" w:themeShade="BF"/>
                <w:sz w:val="28"/>
                <w:szCs w:val="28"/>
              </w:rPr>
              <w:t>To: </w:t>
            </w:r>
          </w:p>
        </w:tc>
        <w:tc>
          <w:tcPr>
            <w:tcW w:w="8100" w:type="dxa"/>
            <w:tcBorders>
              <w:top w:val="nil"/>
              <w:left w:val="nil"/>
              <w:bottom w:val="nil"/>
              <w:right w:val="nil"/>
            </w:tcBorders>
            <w:vAlign w:val="bottom"/>
          </w:tcPr>
          <w:p w14:paraId="2A33A964" w14:textId="32142A6B" w:rsidR="0D0463AD" w:rsidRDefault="0D0463AD" w:rsidP="0D0463AD">
            <w:pPr>
              <w:spacing w:beforeAutospacing="1" w:afterAutospacing="1" w:line="480" w:lineRule="auto"/>
              <w:rPr>
                <w:rFonts w:ascii="Arial" w:eastAsia="Arial" w:hAnsi="Arial" w:cs="Arial"/>
              </w:rPr>
            </w:pPr>
            <w:r w:rsidRPr="0D0463AD">
              <w:rPr>
                <w:rFonts w:ascii="Arial" w:eastAsia="Arial" w:hAnsi="Arial" w:cs="Arial"/>
              </w:rPr>
              <w:t>Lisa Howard (Managing Partner) </w:t>
            </w:r>
          </w:p>
        </w:tc>
      </w:tr>
      <w:tr w:rsidR="0D0463AD" w14:paraId="0725D42D" w14:textId="77777777" w:rsidTr="0D0463AD">
        <w:trPr>
          <w:trHeight w:val="570"/>
        </w:trPr>
        <w:tc>
          <w:tcPr>
            <w:tcW w:w="1245" w:type="dxa"/>
            <w:tcBorders>
              <w:top w:val="nil"/>
              <w:left w:val="nil"/>
              <w:bottom w:val="nil"/>
              <w:right w:val="nil"/>
            </w:tcBorders>
            <w:vAlign w:val="bottom"/>
          </w:tcPr>
          <w:p w14:paraId="4A6FF9BF" w14:textId="46D2A316" w:rsidR="0D0463AD" w:rsidRDefault="0D0463AD" w:rsidP="0D0463AD">
            <w:pPr>
              <w:spacing w:beforeAutospacing="1" w:afterAutospacing="1" w:line="480" w:lineRule="auto"/>
              <w:rPr>
                <w:rFonts w:ascii="Arial Black" w:eastAsia="Arial Black" w:hAnsi="Arial Black" w:cs="Arial Black"/>
                <w:color w:val="2F5496" w:themeColor="accent1" w:themeShade="BF"/>
                <w:sz w:val="28"/>
                <w:szCs w:val="28"/>
              </w:rPr>
            </w:pPr>
            <w:r w:rsidRPr="0D0463AD">
              <w:rPr>
                <w:rFonts w:ascii="Arial Black" w:eastAsia="Arial Black" w:hAnsi="Arial Black" w:cs="Arial Black"/>
                <w:color w:val="2F5496" w:themeColor="accent1" w:themeShade="BF"/>
                <w:sz w:val="28"/>
                <w:szCs w:val="28"/>
              </w:rPr>
              <w:t>From: </w:t>
            </w:r>
          </w:p>
        </w:tc>
        <w:tc>
          <w:tcPr>
            <w:tcW w:w="8100" w:type="dxa"/>
            <w:tcBorders>
              <w:top w:val="nil"/>
              <w:left w:val="nil"/>
              <w:bottom w:val="nil"/>
              <w:right w:val="nil"/>
            </w:tcBorders>
            <w:vAlign w:val="bottom"/>
          </w:tcPr>
          <w:p w14:paraId="46E5E29C" w14:textId="096E4C20" w:rsidR="0D0463AD" w:rsidRDefault="0D0463AD" w:rsidP="0D0463AD">
            <w:pPr>
              <w:spacing w:beforeAutospacing="1" w:afterAutospacing="1" w:line="480" w:lineRule="auto"/>
              <w:rPr>
                <w:rFonts w:ascii="Arial" w:eastAsia="Arial" w:hAnsi="Arial" w:cs="Arial"/>
              </w:rPr>
            </w:pPr>
            <w:r w:rsidRPr="0D0463AD">
              <w:rPr>
                <w:rFonts w:ascii="Arial" w:eastAsia="Arial" w:hAnsi="Arial" w:cs="Arial"/>
              </w:rPr>
              <w:t>Danielle Pittman</w:t>
            </w:r>
          </w:p>
        </w:tc>
      </w:tr>
      <w:tr w:rsidR="0D0463AD" w14:paraId="1777DAA5" w14:textId="77777777" w:rsidTr="0D0463AD">
        <w:trPr>
          <w:trHeight w:val="570"/>
        </w:trPr>
        <w:tc>
          <w:tcPr>
            <w:tcW w:w="1245" w:type="dxa"/>
            <w:tcBorders>
              <w:top w:val="nil"/>
              <w:left w:val="nil"/>
              <w:bottom w:val="nil"/>
              <w:right w:val="nil"/>
            </w:tcBorders>
            <w:vAlign w:val="bottom"/>
          </w:tcPr>
          <w:p w14:paraId="186FC47A" w14:textId="2797701D" w:rsidR="0D0463AD" w:rsidRDefault="0D0463AD" w:rsidP="0D0463AD">
            <w:pPr>
              <w:spacing w:beforeAutospacing="1" w:afterAutospacing="1" w:line="480" w:lineRule="auto"/>
              <w:rPr>
                <w:rFonts w:ascii="Arial Black" w:eastAsia="Arial Black" w:hAnsi="Arial Black" w:cs="Arial Black"/>
                <w:color w:val="2F5496" w:themeColor="accent1" w:themeShade="BF"/>
                <w:sz w:val="28"/>
                <w:szCs w:val="28"/>
              </w:rPr>
            </w:pPr>
            <w:r w:rsidRPr="0D0463AD">
              <w:rPr>
                <w:rFonts w:ascii="Arial Black" w:eastAsia="Arial Black" w:hAnsi="Arial Black" w:cs="Arial Black"/>
                <w:color w:val="2F5496" w:themeColor="accent1" w:themeShade="BF"/>
                <w:sz w:val="28"/>
                <w:szCs w:val="28"/>
              </w:rPr>
              <w:t>cc: </w:t>
            </w:r>
          </w:p>
        </w:tc>
        <w:tc>
          <w:tcPr>
            <w:tcW w:w="8100" w:type="dxa"/>
            <w:tcBorders>
              <w:top w:val="nil"/>
              <w:left w:val="nil"/>
              <w:bottom w:val="nil"/>
              <w:right w:val="nil"/>
            </w:tcBorders>
            <w:vAlign w:val="bottom"/>
          </w:tcPr>
          <w:p w14:paraId="11459027" w14:textId="4BE52989" w:rsidR="0D0463AD" w:rsidRDefault="0D0463AD" w:rsidP="0D0463AD">
            <w:pPr>
              <w:spacing w:beforeAutospacing="1" w:afterAutospacing="1" w:line="480" w:lineRule="auto"/>
              <w:rPr>
                <w:rFonts w:ascii="Arial" w:eastAsia="Arial" w:hAnsi="Arial" w:cs="Arial"/>
              </w:rPr>
            </w:pPr>
            <w:r w:rsidRPr="0D0463AD">
              <w:rPr>
                <w:rFonts w:ascii="Arial" w:eastAsia="Arial" w:hAnsi="Arial" w:cs="Arial"/>
              </w:rPr>
              <w:t>Lisa Howard, Managing Partner</w:t>
            </w:r>
          </w:p>
        </w:tc>
      </w:tr>
      <w:tr w:rsidR="0D0463AD" w14:paraId="1A229298" w14:textId="77777777" w:rsidTr="0D0463AD">
        <w:trPr>
          <w:trHeight w:val="570"/>
        </w:trPr>
        <w:tc>
          <w:tcPr>
            <w:tcW w:w="1245" w:type="dxa"/>
            <w:tcBorders>
              <w:top w:val="nil"/>
              <w:left w:val="nil"/>
              <w:bottom w:val="nil"/>
              <w:right w:val="nil"/>
            </w:tcBorders>
            <w:vAlign w:val="bottom"/>
          </w:tcPr>
          <w:p w14:paraId="2C97BF3D" w14:textId="69A26C66" w:rsidR="0D0463AD" w:rsidRDefault="0D0463AD" w:rsidP="0D0463AD">
            <w:pPr>
              <w:spacing w:beforeAutospacing="1" w:afterAutospacing="1" w:line="480" w:lineRule="auto"/>
              <w:rPr>
                <w:rFonts w:ascii="Arial Black" w:eastAsia="Arial Black" w:hAnsi="Arial Black" w:cs="Arial Black"/>
                <w:color w:val="2F5496" w:themeColor="accent1" w:themeShade="BF"/>
                <w:sz w:val="28"/>
                <w:szCs w:val="28"/>
              </w:rPr>
            </w:pPr>
            <w:r w:rsidRPr="0D0463AD">
              <w:rPr>
                <w:rFonts w:ascii="Arial Black" w:eastAsia="Arial Black" w:hAnsi="Arial Black" w:cs="Arial Black"/>
                <w:color w:val="2F5496" w:themeColor="accent1" w:themeShade="BF"/>
                <w:sz w:val="28"/>
                <w:szCs w:val="28"/>
              </w:rPr>
              <w:t>Date: </w:t>
            </w:r>
          </w:p>
        </w:tc>
        <w:tc>
          <w:tcPr>
            <w:tcW w:w="8100" w:type="dxa"/>
            <w:tcBorders>
              <w:top w:val="nil"/>
              <w:left w:val="nil"/>
              <w:bottom w:val="nil"/>
              <w:right w:val="nil"/>
            </w:tcBorders>
            <w:vAlign w:val="bottom"/>
          </w:tcPr>
          <w:p w14:paraId="4D49447A" w14:textId="41FE4D18" w:rsidR="0D0463AD" w:rsidRDefault="0D0463AD" w:rsidP="0D0463AD">
            <w:pPr>
              <w:spacing w:beforeAutospacing="1" w:afterAutospacing="1" w:line="480" w:lineRule="auto"/>
              <w:rPr>
                <w:rFonts w:ascii="Arial" w:eastAsia="Arial" w:hAnsi="Arial" w:cs="Arial"/>
              </w:rPr>
            </w:pPr>
            <w:r w:rsidRPr="0D0463AD">
              <w:rPr>
                <w:rFonts w:ascii="Arial" w:eastAsia="Arial" w:hAnsi="Arial" w:cs="Arial"/>
              </w:rPr>
              <w:t>03/24/2021</w:t>
            </w:r>
          </w:p>
        </w:tc>
      </w:tr>
      <w:tr w:rsidR="0D0463AD" w14:paraId="352D08BF" w14:textId="77777777" w:rsidTr="0D0463AD">
        <w:trPr>
          <w:trHeight w:val="570"/>
        </w:trPr>
        <w:tc>
          <w:tcPr>
            <w:tcW w:w="1245" w:type="dxa"/>
            <w:tcBorders>
              <w:top w:val="nil"/>
              <w:left w:val="nil"/>
              <w:bottom w:val="nil"/>
              <w:right w:val="nil"/>
            </w:tcBorders>
            <w:vAlign w:val="bottom"/>
          </w:tcPr>
          <w:p w14:paraId="7E228636" w14:textId="47AD21ED" w:rsidR="0D0463AD" w:rsidRDefault="0D0463AD" w:rsidP="0D0463AD">
            <w:pPr>
              <w:spacing w:beforeAutospacing="1" w:afterAutospacing="1" w:line="480" w:lineRule="auto"/>
              <w:rPr>
                <w:rFonts w:ascii="Arial Black" w:eastAsia="Arial Black" w:hAnsi="Arial Black" w:cs="Arial Black"/>
                <w:color w:val="2F5496" w:themeColor="accent1" w:themeShade="BF"/>
                <w:sz w:val="28"/>
                <w:szCs w:val="28"/>
              </w:rPr>
            </w:pPr>
            <w:r w:rsidRPr="0D0463AD">
              <w:rPr>
                <w:rFonts w:ascii="Arial Black" w:eastAsia="Arial Black" w:hAnsi="Arial Black" w:cs="Arial Black"/>
                <w:color w:val="2F5496" w:themeColor="accent1" w:themeShade="BF"/>
                <w:sz w:val="28"/>
                <w:szCs w:val="28"/>
              </w:rPr>
              <w:t>Re: </w:t>
            </w:r>
          </w:p>
        </w:tc>
        <w:tc>
          <w:tcPr>
            <w:tcW w:w="8100" w:type="dxa"/>
            <w:tcBorders>
              <w:top w:val="nil"/>
              <w:left w:val="nil"/>
              <w:bottom w:val="nil"/>
              <w:right w:val="nil"/>
            </w:tcBorders>
            <w:vAlign w:val="bottom"/>
          </w:tcPr>
          <w:p w14:paraId="32455019" w14:textId="7D1D94CF" w:rsidR="0D0463AD" w:rsidRDefault="0D0463AD" w:rsidP="0D0463AD">
            <w:pPr>
              <w:spacing w:beforeAutospacing="1" w:afterAutospacing="1" w:line="480" w:lineRule="auto"/>
              <w:rPr>
                <w:rFonts w:ascii="Arial" w:eastAsia="Arial" w:hAnsi="Arial" w:cs="Arial"/>
              </w:rPr>
            </w:pPr>
            <w:r w:rsidRPr="0D0463AD">
              <w:rPr>
                <w:rFonts w:ascii="Arial" w:eastAsia="Arial" w:hAnsi="Arial" w:cs="Arial"/>
              </w:rPr>
              <w:t>Intra-Office Memo </w:t>
            </w:r>
          </w:p>
        </w:tc>
      </w:tr>
      <w:tr w:rsidR="0D0463AD" w14:paraId="46FF9225" w14:textId="77777777" w:rsidTr="0D0463AD">
        <w:trPr>
          <w:trHeight w:val="300"/>
        </w:trPr>
        <w:tc>
          <w:tcPr>
            <w:tcW w:w="1245" w:type="dxa"/>
            <w:tcBorders>
              <w:top w:val="nil"/>
              <w:left w:val="nil"/>
              <w:bottom w:val="single" w:sz="6" w:space="0" w:color="auto"/>
              <w:right w:val="nil"/>
            </w:tcBorders>
            <w:vAlign w:val="center"/>
          </w:tcPr>
          <w:p w14:paraId="59A818C0" w14:textId="37DE978C" w:rsidR="0D0463AD" w:rsidRDefault="0D0463AD" w:rsidP="0D0463AD">
            <w:pPr>
              <w:spacing w:beforeAutospacing="1" w:afterAutospacing="1" w:line="480" w:lineRule="auto"/>
              <w:rPr>
                <w:rFonts w:ascii="Arial" w:eastAsia="Arial" w:hAnsi="Arial" w:cs="Arial"/>
              </w:rPr>
            </w:pPr>
            <w:r w:rsidRPr="0D0463AD">
              <w:rPr>
                <w:rFonts w:ascii="Arial" w:eastAsia="Arial" w:hAnsi="Arial" w:cs="Arial"/>
              </w:rPr>
              <w:t>  </w:t>
            </w:r>
          </w:p>
        </w:tc>
        <w:tc>
          <w:tcPr>
            <w:tcW w:w="8100" w:type="dxa"/>
            <w:tcBorders>
              <w:top w:val="nil"/>
              <w:left w:val="nil"/>
              <w:bottom w:val="single" w:sz="6" w:space="0" w:color="auto"/>
              <w:right w:val="nil"/>
            </w:tcBorders>
            <w:vAlign w:val="center"/>
          </w:tcPr>
          <w:p w14:paraId="6DBD892E" w14:textId="08A50CB1" w:rsidR="0D0463AD" w:rsidRDefault="0D0463AD" w:rsidP="0D0463AD">
            <w:pPr>
              <w:spacing w:beforeAutospacing="1" w:afterAutospacing="1" w:line="480" w:lineRule="auto"/>
              <w:rPr>
                <w:rFonts w:ascii="Arial" w:eastAsia="Arial" w:hAnsi="Arial" w:cs="Arial"/>
              </w:rPr>
            </w:pPr>
            <w:r w:rsidRPr="0D0463AD">
              <w:rPr>
                <w:rFonts w:ascii="Arial" w:eastAsia="Arial" w:hAnsi="Arial" w:cs="Arial"/>
              </w:rPr>
              <w:t> </w:t>
            </w:r>
          </w:p>
        </w:tc>
      </w:tr>
    </w:tbl>
    <w:p w14:paraId="46516C73" w14:textId="4BAE9897" w:rsidR="00585F87" w:rsidRDefault="2022A694"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Dear Managing Partner Howard,</w:t>
      </w:r>
    </w:p>
    <w:p w14:paraId="5FB008C4" w14:textId="4C822DB3" w:rsidR="00585F87" w:rsidRDefault="2022A694"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I have formulated a research plan in response to your email regarding the case for Sweet Lorraine's Bakery. The concerns that will be addressed are as follows: Factual vocabulary list of words that will be utilized as search terms. A legal vocabulary list of words that will be useful search terms. The legal issues that need to be answered through research </w:t>
      </w:r>
      <w:proofErr w:type="gramStart"/>
      <w:r w:rsidRPr="0D0463AD">
        <w:rPr>
          <w:rFonts w:ascii="Times New Roman" w:eastAsia="Times New Roman" w:hAnsi="Times New Roman" w:cs="Times New Roman"/>
          <w:sz w:val="24"/>
          <w:szCs w:val="24"/>
        </w:rPr>
        <w:t>in order to</w:t>
      </w:r>
      <w:proofErr w:type="gramEnd"/>
      <w:r w:rsidRPr="0D0463AD">
        <w:rPr>
          <w:rFonts w:ascii="Times New Roman" w:eastAsia="Times New Roman" w:hAnsi="Times New Roman" w:cs="Times New Roman"/>
          <w:sz w:val="24"/>
          <w:szCs w:val="24"/>
        </w:rPr>
        <w:t xml:space="preserve"> answer the client’s questions. We need to identify any primary sources of law that will be researched, including jurisdiction. Secondary sources of law will be located for research that will be valuable </w:t>
      </w:r>
      <w:r w:rsidRPr="0D0463AD">
        <w:rPr>
          <w:rFonts w:ascii="Times New Roman" w:eastAsia="Times New Roman" w:hAnsi="Times New Roman" w:cs="Times New Roman"/>
          <w:sz w:val="24"/>
          <w:szCs w:val="24"/>
        </w:rPr>
        <w:lastRenderedPageBreak/>
        <w:t>to gathering information for the case. We will also provide an estimation of how many hours of research will be necessary to the case. These subjects will provide a clear direction and better understanding for the client about her case, as well as how we plan to go about finding the answers she’s looking for.</w:t>
      </w:r>
    </w:p>
    <w:p w14:paraId="7D36A02C" w14:textId="2E3228A3" w:rsidR="00585F87" w:rsidRDefault="2022A694"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Factual research is different from legal research in that the purpose is to identify information pertaining to the case.  </w:t>
      </w:r>
    </w:p>
    <w:p w14:paraId="0BDF00A4" w14:textId="30A3D54F" w:rsidR="00585F87" w:rsidRDefault="2022A694"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b/>
          <w:bCs/>
          <w:sz w:val="24"/>
          <w:szCs w:val="24"/>
        </w:rPr>
        <w:t>Identify:</w:t>
      </w:r>
      <w:r w:rsidRPr="0D0463AD">
        <w:rPr>
          <w:rFonts w:ascii="Times New Roman" w:eastAsia="Times New Roman" w:hAnsi="Times New Roman" w:cs="Times New Roman"/>
          <w:sz w:val="24"/>
          <w:szCs w:val="24"/>
        </w:rPr>
        <w:t xml:space="preserve"> the individuals involved, background information on these individuals and/or company they represent, Rydin, </w:t>
      </w:r>
      <w:r w:rsidRPr="0D0463AD">
        <w:rPr>
          <w:rFonts w:ascii="Times New Roman" w:eastAsia="Times New Roman" w:hAnsi="Times New Roman" w:cs="Times New Roman"/>
          <w:i/>
          <w:iCs/>
          <w:sz w:val="24"/>
          <w:szCs w:val="24"/>
        </w:rPr>
        <w:t xml:space="preserve">Factual </w:t>
      </w:r>
      <w:proofErr w:type="gramStart"/>
      <w:r w:rsidRPr="0D0463AD">
        <w:rPr>
          <w:rFonts w:ascii="Times New Roman" w:eastAsia="Times New Roman" w:hAnsi="Times New Roman" w:cs="Times New Roman"/>
          <w:i/>
          <w:iCs/>
          <w:sz w:val="24"/>
          <w:szCs w:val="24"/>
        </w:rPr>
        <w:t>research</w:t>
      </w:r>
      <w:proofErr w:type="gramEnd"/>
      <w:r w:rsidRPr="0D0463AD">
        <w:rPr>
          <w:rFonts w:ascii="Times New Roman" w:eastAsia="Times New Roman" w:hAnsi="Times New Roman" w:cs="Times New Roman"/>
          <w:i/>
          <w:iCs/>
          <w:sz w:val="24"/>
          <w:szCs w:val="24"/>
        </w:rPr>
        <w:t xml:space="preserve"> and public records: Introduction,</w:t>
      </w:r>
      <w:r w:rsidRPr="0D0463AD">
        <w:rPr>
          <w:rFonts w:ascii="Times New Roman" w:eastAsia="Times New Roman" w:hAnsi="Times New Roman" w:cs="Times New Roman"/>
          <w:sz w:val="24"/>
          <w:szCs w:val="24"/>
        </w:rPr>
        <w:t xml:space="preserve"> 2021.</w:t>
      </w:r>
    </w:p>
    <w:p w14:paraId="1702996C" w14:textId="26E9FBA8" w:rsidR="00585F87" w:rsidRDefault="2022A694"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It also pertains to the purpose of: </w:t>
      </w:r>
    </w:p>
    <w:p w14:paraId="072EC6F8" w14:textId="65C3AE07" w:rsidR="00585F87" w:rsidRDefault="2022A694"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b/>
          <w:bCs/>
          <w:sz w:val="24"/>
          <w:szCs w:val="24"/>
        </w:rPr>
        <w:t xml:space="preserve">Verifying </w:t>
      </w:r>
      <w:r w:rsidRPr="0D0463AD">
        <w:rPr>
          <w:rFonts w:ascii="Times New Roman" w:eastAsia="Times New Roman" w:hAnsi="Times New Roman" w:cs="Times New Roman"/>
          <w:sz w:val="24"/>
          <w:szCs w:val="24"/>
        </w:rPr>
        <w:t xml:space="preserve">information and data pertaining to the case, Rydin, </w:t>
      </w:r>
      <w:r w:rsidRPr="0D0463AD">
        <w:rPr>
          <w:rFonts w:ascii="Times New Roman" w:eastAsia="Times New Roman" w:hAnsi="Times New Roman" w:cs="Times New Roman"/>
          <w:i/>
          <w:iCs/>
          <w:sz w:val="24"/>
          <w:szCs w:val="24"/>
        </w:rPr>
        <w:t xml:space="preserve">Factual </w:t>
      </w:r>
      <w:proofErr w:type="gramStart"/>
      <w:r w:rsidRPr="0D0463AD">
        <w:rPr>
          <w:rFonts w:ascii="Times New Roman" w:eastAsia="Times New Roman" w:hAnsi="Times New Roman" w:cs="Times New Roman"/>
          <w:i/>
          <w:iCs/>
          <w:sz w:val="24"/>
          <w:szCs w:val="24"/>
        </w:rPr>
        <w:t>research</w:t>
      </w:r>
      <w:proofErr w:type="gramEnd"/>
      <w:r w:rsidRPr="0D0463AD">
        <w:rPr>
          <w:rFonts w:ascii="Times New Roman" w:eastAsia="Times New Roman" w:hAnsi="Times New Roman" w:cs="Times New Roman"/>
          <w:i/>
          <w:iCs/>
          <w:sz w:val="24"/>
          <w:szCs w:val="24"/>
        </w:rPr>
        <w:t xml:space="preserve"> and public records: Introduction,</w:t>
      </w:r>
      <w:r w:rsidRPr="0D0463AD">
        <w:rPr>
          <w:rFonts w:ascii="Times New Roman" w:eastAsia="Times New Roman" w:hAnsi="Times New Roman" w:cs="Times New Roman"/>
          <w:sz w:val="24"/>
          <w:szCs w:val="24"/>
        </w:rPr>
        <w:t xml:space="preserve"> 2021. </w:t>
      </w:r>
    </w:p>
    <w:p w14:paraId="76F77484" w14:textId="61B56E17" w:rsidR="00585F87" w:rsidRDefault="2022A694"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b/>
          <w:bCs/>
          <w:sz w:val="24"/>
          <w:szCs w:val="24"/>
        </w:rPr>
        <w:t>Client’s assets:</w:t>
      </w:r>
      <w:r w:rsidRPr="0D0463AD">
        <w:rPr>
          <w:rFonts w:ascii="Times New Roman" w:eastAsia="Times New Roman" w:hAnsi="Times New Roman" w:cs="Times New Roman"/>
          <w:sz w:val="24"/>
          <w:szCs w:val="24"/>
        </w:rPr>
        <w:t xml:space="preserve"> as well as they must be identified and </w:t>
      </w:r>
      <w:r w:rsidRPr="0D0463AD">
        <w:rPr>
          <w:rFonts w:ascii="Times New Roman" w:eastAsia="Times New Roman" w:hAnsi="Times New Roman" w:cs="Times New Roman"/>
          <w:b/>
          <w:bCs/>
          <w:sz w:val="24"/>
          <w:szCs w:val="24"/>
        </w:rPr>
        <w:t>evaluated</w:t>
      </w:r>
      <w:r w:rsidRPr="0D0463AD">
        <w:rPr>
          <w:rFonts w:ascii="Times New Roman" w:eastAsia="Times New Roman" w:hAnsi="Times New Roman" w:cs="Times New Roman"/>
          <w:sz w:val="24"/>
          <w:szCs w:val="24"/>
        </w:rPr>
        <w:t>. This information can be found through</w:t>
      </w:r>
      <w:r w:rsidRPr="0D0463AD">
        <w:rPr>
          <w:rFonts w:ascii="Times New Roman" w:eastAsia="Times New Roman" w:hAnsi="Times New Roman" w:cs="Times New Roman"/>
          <w:b/>
          <w:bCs/>
          <w:sz w:val="24"/>
          <w:szCs w:val="24"/>
        </w:rPr>
        <w:t xml:space="preserve"> </w:t>
      </w:r>
      <w:r w:rsidRPr="0D0463AD">
        <w:rPr>
          <w:rFonts w:ascii="Times New Roman" w:eastAsia="Times New Roman" w:hAnsi="Times New Roman" w:cs="Times New Roman"/>
          <w:sz w:val="24"/>
          <w:szCs w:val="24"/>
        </w:rPr>
        <w:t xml:space="preserve">social media, business records, professional licensing, criminal records, publicly traded companies, privately held companies, property records, public records, vital records, etc..., Rydin, </w:t>
      </w:r>
      <w:r w:rsidRPr="0D0463AD">
        <w:rPr>
          <w:rFonts w:ascii="Times New Roman" w:eastAsia="Times New Roman" w:hAnsi="Times New Roman" w:cs="Times New Roman"/>
          <w:i/>
          <w:iCs/>
          <w:sz w:val="24"/>
          <w:szCs w:val="24"/>
        </w:rPr>
        <w:t xml:space="preserve">Factual </w:t>
      </w:r>
      <w:proofErr w:type="gramStart"/>
      <w:r w:rsidRPr="0D0463AD">
        <w:rPr>
          <w:rFonts w:ascii="Times New Roman" w:eastAsia="Times New Roman" w:hAnsi="Times New Roman" w:cs="Times New Roman"/>
          <w:i/>
          <w:iCs/>
          <w:sz w:val="24"/>
          <w:szCs w:val="24"/>
        </w:rPr>
        <w:t>research</w:t>
      </w:r>
      <w:proofErr w:type="gramEnd"/>
      <w:r w:rsidRPr="0D0463AD">
        <w:rPr>
          <w:rFonts w:ascii="Times New Roman" w:eastAsia="Times New Roman" w:hAnsi="Times New Roman" w:cs="Times New Roman"/>
          <w:i/>
          <w:iCs/>
          <w:sz w:val="24"/>
          <w:szCs w:val="24"/>
        </w:rPr>
        <w:t xml:space="preserve"> and public records: Introduction,</w:t>
      </w:r>
      <w:r w:rsidRPr="0D0463AD">
        <w:rPr>
          <w:rFonts w:ascii="Times New Roman" w:eastAsia="Times New Roman" w:hAnsi="Times New Roman" w:cs="Times New Roman"/>
          <w:sz w:val="24"/>
          <w:szCs w:val="24"/>
        </w:rPr>
        <w:t xml:space="preserve"> 2021. This information will provide us with a clear background for both parties in the case. Which will reveal any information that could adversely affect us on the client’s side, and any information on the side of the opposition that may be to our advantage.</w:t>
      </w:r>
    </w:p>
    <w:p w14:paraId="58445991" w14:textId="178EF5DC" w:rsidR="00585F87" w:rsidRDefault="2022A694"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The client will benefit from a compiled list of </w:t>
      </w:r>
      <w:r w:rsidRPr="0D0463AD">
        <w:rPr>
          <w:rFonts w:ascii="Times New Roman" w:eastAsia="Times New Roman" w:hAnsi="Times New Roman" w:cs="Times New Roman"/>
          <w:b/>
          <w:bCs/>
          <w:sz w:val="24"/>
          <w:szCs w:val="24"/>
        </w:rPr>
        <w:t>Legal research terms</w:t>
      </w:r>
      <w:r w:rsidRPr="0D0463AD">
        <w:rPr>
          <w:rFonts w:ascii="Times New Roman" w:eastAsia="Times New Roman" w:hAnsi="Times New Roman" w:cs="Times New Roman"/>
          <w:sz w:val="24"/>
          <w:szCs w:val="24"/>
        </w:rPr>
        <w:t xml:space="preserve">. This will help her to understand and comprehend the legal terminology taking place.  </w:t>
      </w:r>
    </w:p>
    <w:p w14:paraId="2C0DC2B0" w14:textId="1A041224" w:rsidR="00585F87" w:rsidRDefault="2022A694"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b/>
          <w:bCs/>
          <w:sz w:val="24"/>
          <w:szCs w:val="24"/>
        </w:rPr>
        <w:lastRenderedPageBreak/>
        <w:t>Copyright</w:t>
      </w:r>
      <w:r w:rsidRPr="0D0463AD">
        <w:rPr>
          <w:rFonts w:ascii="Times New Roman" w:eastAsia="Times New Roman" w:hAnsi="Times New Roman" w:cs="Times New Roman"/>
          <w:sz w:val="24"/>
          <w:szCs w:val="24"/>
        </w:rPr>
        <w:t xml:space="preserve"> - “An intellectual property right that protects original works of authorship, such as writings, music, and works of art that have been tangibly expressed. This term is sometimes incorrectly used to refer to a trademark and vice versa”, </w:t>
      </w:r>
      <w:r w:rsidRPr="0D0463AD">
        <w:rPr>
          <w:rFonts w:ascii="Times New Roman" w:eastAsia="Times New Roman" w:hAnsi="Times New Roman" w:cs="Times New Roman"/>
          <w:i/>
          <w:iCs/>
          <w:sz w:val="24"/>
          <w:szCs w:val="24"/>
        </w:rPr>
        <w:t>Resources and Glossary,</w:t>
      </w:r>
      <w:r w:rsidRPr="0D0463AD">
        <w:rPr>
          <w:rFonts w:ascii="Times New Roman" w:eastAsia="Times New Roman" w:hAnsi="Times New Roman" w:cs="Times New Roman"/>
          <w:sz w:val="24"/>
          <w:szCs w:val="24"/>
        </w:rPr>
        <w:t xml:space="preserve"> 2020.</w:t>
      </w:r>
    </w:p>
    <w:p w14:paraId="4129BA2D" w14:textId="18DF01AA" w:rsidR="00585F87" w:rsidRDefault="2022A694"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b/>
          <w:bCs/>
          <w:sz w:val="24"/>
          <w:szCs w:val="24"/>
        </w:rPr>
        <w:t xml:space="preserve">Ex </w:t>
      </w:r>
      <w:proofErr w:type="spellStart"/>
      <w:r w:rsidRPr="0D0463AD">
        <w:rPr>
          <w:rFonts w:ascii="Times New Roman" w:eastAsia="Times New Roman" w:hAnsi="Times New Roman" w:cs="Times New Roman"/>
          <w:b/>
          <w:bCs/>
          <w:sz w:val="24"/>
          <w:szCs w:val="24"/>
        </w:rPr>
        <w:t>parte</w:t>
      </w:r>
      <w:proofErr w:type="spellEnd"/>
      <w:r w:rsidRPr="0D0463AD">
        <w:rPr>
          <w:rFonts w:ascii="Times New Roman" w:eastAsia="Times New Roman" w:hAnsi="Times New Roman" w:cs="Times New Roman"/>
          <w:sz w:val="24"/>
          <w:szCs w:val="24"/>
        </w:rPr>
        <w:t xml:space="preserve"> - “"Ex </w:t>
      </w:r>
      <w:proofErr w:type="spellStart"/>
      <w:r w:rsidRPr="0D0463AD">
        <w:rPr>
          <w:rFonts w:ascii="Times New Roman" w:eastAsia="Times New Roman" w:hAnsi="Times New Roman" w:cs="Times New Roman"/>
          <w:sz w:val="24"/>
          <w:szCs w:val="24"/>
        </w:rPr>
        <w:t>parte</w:t>
      </w:r>
      <w:proofErr w:type="spellEnd"/>
      <w:r w:rsidRPr="0D0463AD">
        <w:rPr>
          <w:rFonts w:ascii="Times New Roman" w:eastAsia="Times New Roman" w:hAnsi="Times New Roman" w:cs="Times New Roman"/>
          <w:sz w:val="24"/>
          <w:szCs w:val="24"/>
        </w:rPr>
        <w:t xml:space="preserve">" means "with respect to the interests of one side only." Ex </w:t>
      </w:r>
      <w:proofErr w:type="spellStart"/>
      <w:r w:rsidRPr="0D0463AD">
        <w:rPr>
          <w:rFonts w:ascii="Times New Roman" w:eastAsia="Times New Roman" w:hAnsi="Times New Roman" w:cs="Times New Roman"/>
          <w:sz w:val="24"/>
          <w:szCs w:val="24"/>
        </w:rPr>
        <w:t>parte</w:t>
      </w:r>
      <w:proofErr w:type="spellEnd"/>
      <w:r w:rsidRPr="0D0463AD">
        <w:rPr>
          <w:rFonts w:ascii="Times New Roman" w:eastAsia="Times New Roman" w:hAnsi="Times New Roman" w:cs="Times New Roman"/>
          <w:sz w:val="24"/>
          <w:szCs w:val="24"/>
        </w:rPr>
        <w:t xml:space="preserve"> proceedings before the USPTO are those involving the USPTO's examination of a party's own trademark or patent application or registration. Compare with the definition of inter </w:t>
      </w:r>
      <w:proofErr w:type="spellStart"/>
      <w:r w:rsidRPr="0D0463AD">
        <w:rPr>
          <w:rFonts w:ascii="Times New Roman" w:eastAsia="Times New Roman" w:hAnsi="Times New Roman" w:cs="Times New Roman"/>
          <w:sz w:val="24"/>
          <w:szCs w:val="24"/>
        </w:rPr>
        <w:t>partes</w:t>
      </w:r>
      <w:proofErr w:type="spellEnd"/>
      <w:r w:rsidRPr="0D0463AD">
        <w:rPr>
          <w:rFonts w:ascii="Times New Roman" w:eastAsia="Times New Roman" w:hAnsi="Times New Roman" w:cs="Times New Roman"/>
          <w:sz w:val="24"/>
          <w:szCs w:val="24"/>
        </w:rPr>
        <w:t xml:space="preserve"> below”, </w:t>
      </w:r>
      <w:r w:rsidRPr="0D0463AD">
        <w:rPr>
          <w:rFonts w:ascii="Times New Roman" w:eastAsia="Times New Roman" w:hAnsi="Times New Roman" w:cs="Times New Roman"/>
          <w:i/>
          <w:iCs/>
          <w:sz w:val="24"/>
          <w:szCs w:val="24"/>
        </w:rPr>
        <w:t>Resources and Glossary,</w:t>
      </w:r>
      <w:r w:rsidRPr="0D0463AD">
        <w:rPr>
          <w:rFonts w:ascii="Times New Roman" w:eastAsia="Times New Roman" w:hAnsi="Times New Roman" w:cs="Times New Roman"/>
          <w:sz w:val="24"/>
          <w:szCs w:val="24"/>
        </w:rPr>
        <w:t xml:space="preserve"> 2020.</w:t>
      </w:r>
    </w:p>
    <w:p w14:paraId="61FDB46E" w14:textId="29414E5A" w:rsidR="00585F87" w:rsidRDefault="2022A694"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b/>
          <w:bCs/>
          <w:sz w:val="24"/>
          <w:szCs w:val="24"/>
        </w:rPr>
        <w:t xml:space="preserve">Infringe (Infringing, Infringement) </w:t>
      </w:r>
      <w:r w:rsidRPr="0D0463AD">
        <w:rPr>
          <w:rFonts w:ascii="Times New Roman" w:eastAsia="Times New Roman" w:hAnsi="Times New Roman" w:cs="Times New Roman"/>
          <w:sz w:val="24"/>
          <w:szCs w:val="24"/>
        </w:rPr>
        <w:t xml:space="preserve">- “To interfere with or misappropriate the intellectual property rights of another. Also see the entry for trademark infringement below”, </w:t>
      </w:r>
      <w:r w:rsidRPr="0D0463AD">
        <w:rPr>
          <w:rFonts w:ascii="Times New Roman" w:eastAsia="Times New Roman" w:hAnsi="Times New Roman" w:cs="Times New Roman"/>
          <w:i/>
          <w:iCs/>
          <w:sz w:val="24"/>
          <w:szCs w:val="24"/>
        </w:rPr>
        <w:t>Resources and Glossary,</w:t>
      </w:r>
      <w:r w:rsidRPr="0D0463AD">
        <w:rPr>
          <w:rFonts w:ascii="Times New Roman" w:eastAsia="Times New Roman" w:hAnsi="Times New Roman" w:cs="Times New Roman"/>
          <w:sz w:val="24"/>
          <w:szCs w:val="24"/>
        </w:rPr>
        <w:t xml:space="preserve"> 2020.</w:t>
      </w:r>
    </w:p>
    <w:p w14:paraId="227FDAAD" w14:textId="665A422F" w:rsidR="00585F87" w:rsidRDefault="2022A694"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b/>
          <w:bCs/>
          <w:sz w:val="24"/>
          <w:szCs w:val="24"/>
        </w:rPr>
        <w:t xml:space="preserve">Injunction </w:t>
      </w:r>
      <w:r w:rsidRPr="0D0463AD">
        <w:rPr>
          <w:rFonts w:ascii="Times New Roman" w:eastAsia="Times New Roman" w:hAnsi="Times New Roman" w:cs="Times New Roman"/>
          <w:sz w:val="24"/>
          <w:szCs w:val="24"/>
        </w:rPr>
        <w:t xml:space="preserve">- “A court order prohibiting a party from performing, and/or requiring a party to perform, a particular action or actions,” </w:t>
      </w:r>
      <w:r w:rsidRPr="0D0463AD">
        <w:rPr>
          <w:rFonts w:ascii="Times New Roman" w:eastAsia="Times New Roman" w:hAnsi="Times New Roman" w:cs="Times New Roman"/>
          <w:i/>
          <w:iCs/>
          <w:sz w:val="24"/>
          <w:szCs w:val="24"/>
        </w:rPr>
        <w:t>Resources and Glossary,</w:t>
      </w:r>
      <w:r w:rsidRPr="0D0463AD">
        <w:rPr>
          <w:rFonts w:ascii="Times New Roman" w:eastAsia="Times New Roman" w:hAnsi="Times New Roman" w:cs="Times New Roman"/>
          <w:sz w:val="24"/>
          <w:szCs w:val="24"/>
        </w:rPr>
        <w:t xml:space="preserve"> 2020.</w:t>
      </w:r>
    </w:p>
    <w:p w14:paraId="59EAB045" w14:textId="73189F60" w:rsidR="00585F87" w:rsidRDefault="2022A694"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b/>
          <w:bCs/>
          <w:sz w:val="24"/>
          <w:szCs w:val="24"/>
        </w:rPr>
        <w:t>Intellectual property</w:t>
      </w:r>
      <w:r w:rsidRPr="0D0463AD">
        <w:rPr>
          <w:rFonts w:ascii="Times New Roman" w:eastAsia="Times New Roman" w:hAnsi="Times New Roman" w:cs="Times New Roman"/>
          <w:sz w:val="24"/>
          <w:szCs w:val="24"/>
        </w:rPr>
        <w:t xml:space="preserve"> - “Creations of the mind, such as a creative work, an invention, or a distinctive indicator of a product's source, that may be protected by certain intangible property rights. Four common types of intellectual property are patents, trademarks, copyrights, and trade secrets”, </w:t>
      </w:r>
      <w:r w:rsidRPr="0D0463AD">
        <w:rPr>
          <w:rFonts w:ascii="Times New Roman" w:eastAsia="Times New Roman" w:hAnsi="Times New Roman" w:cs="Times New Roman"/>
          <w:i/>
          <w:iCs/>
          <w:sz w:val="24"/>
          <w:szCs w:val="24"/>
        </w:rPr>
        <w:t>Resources and Glossary</w:t>
      </w:r>
      <w:r w:rsidRPr="0D0463AD">
        <w:rPr>
          <w:rFonts w:ascii="Times New Roman" w:eastAsia="Times New Roman" w:hAnsi="Times New Roman" w:cs="Times New Roman"/>
          <w:sz w:val="24"/>
          <w:szCs w:val="24"/>
        </w:rPr>
        <w:t xml:space="preserve"> 2020.</w:t>
      </w:r>
    </w:p>
    <w:p w14:paraId="6771A52F" w14:textId="1CD2E441" w:rsidR="00585F87" w:rsidRDefault="2022A694"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b/>
          <w:bCs/>
          <w:sz w:val="24"/>
          <w:szCs w:val="24"/>
        </w:rPr>
        <w:t xml:space="preserve">Inter </w:t>
      </w:r>
      <w:proofErr w:type="spellStart"/>
      <w:r w:rsidRPr="0D0463AD">
        <w:rPr>
          <w:rFonts w:ascii="Times New Roman" w:eastAsia="Times New Roman" w:hAnsi="Times New Roman" w:cs="Times New Roman"/>
          <w:b/>
          <w:bCs/>
          <w:sz w:val="24"/>
          <w:szCs w:val="24"/>
        </w:rPr>
        <w:t>partes</w:t>
      </w:r>
      <w:proofErr w:type="spellEnd"/>
      <w:r w:rsidRPr="0D0463AD">
        <w:rPr>
          <w:rFonts w:ascii="Times New Roman" w:eastAsia="Times New Roman" w:hAnsi="Times New Roman" w:cs="Times New Roman"/>
          <w:b/>
          <w:bCs/>
          <w:sz w:val="24"/>
          <w:szCs w:val="24"/>
        </w:rPr>
        <w:t xml:space="preserve"> </w:t>
      </w:r>
      <w:r w:rsidRPr="0D0463AD">
        <w:rPr>
          <w:rFonts w:ascii="Times New Roman" w:eastAsia="Times New Roman" w:hAnsi="Times New Roman" w:cs="Times New Roman"/>
          <w:sz w:val="24"/>
          <w:szCs w:val="24"/>
        </w:rPr>
        <w:t xml:space="preserve">- “Inter </w:t>
      </w:r>
      <w:proofErr w:type="spellStart"/>
      <w:r w:rsidRPr="0D0463AD">
        <w:rPr>
          <w:rFonts w:ascii="Times New Roman" w:eastAsia="Times New Roman" w:hAnsi="Times New Roman" w:cs="Times New Roman"/>
          <w:sz w:val="24"/>
          <w:szCs w:val="24"/>
        </w:rPr>
        <w:t>partes</w:t>
      </w:r>
      <w:proofErr w:type="spellEnd"/>
      <w:r w:rsidRPr="0D0463AD">
        <w:rPr>
          <w:rFonts w:ascii="Times New Roman" w:eastAsia="Times New Roman" w:hAnsi="Times New Roman" w:cs="Times New Roman"/>
          <w:sz w:val="24"/>
          <w:szCs w:val="24"/>
        </w:rPr>
        <w:t xml:space="preserve"> proceedings before the USPTO are adversarial proceedings between at least two parties, neither of which is the USPTO. For example, opposition and cancellation proceedings are types of inter </w:t>
      </w:r>
      <w:proofErr w:type="spellStart"/>
      <w:r w:rsidRPr="0D0463AD">
        <w:rPr>
          <w:rFonts w:ascii="Times New Roman" w:eastAsia="Times New Roman" w:hAnsi="Times New Roman" w:cs="Times New Roman"/>
          <w:sz w:val="24"/>
          <w:szCs w:val="24"/>
        </w:rPr>
        <w:t>partes</w:t>
      </w:r>
      <w:proofErr w:type="spellEnd"/>
      <w:r w:rsidRPr="0D0463AD">
        <w:rPr>
          <w:rFonts w:ascii="Times New Roman" w:eastAsia="Times New Roman" w:hAnsi="Times New Roman" w:cs="Times New Roman"/>
          <w:sz w:val="24"/>
          <w:szCs w:val="24"/>
        </w:rPr>
        <w:t xml:space="preserve"> proceedings”, </w:t>
      </w:r>
      <w:r w:rsidRPr="0D0463AD">
        <w:rPr>
          <w:rFonts w:ascii="Times New Roman" w:eastAsia="Times New Roman" w:hAnsi="Times New Roman" w:cs="Times New Roman"/>
          <w:i/>
          <w:iCs/>
          <w:sz w:val="24"/>
          <w:szCs w:val="24"/>
        </w:rPr>
        <w:t>Resources and Glossary,</w:t>
      </w:r>
      <w:r w:rsidRPr="0D0463AD">
        <w:rPr>
          <w:rFonts w:ascii="Times New Roman" w:eastAsia="Times New Roman" w:hAnsi="Times New Roman" w:cs="Times New Roman"/>
          <w:sz w:val="24"/>
          <w:szCs w:val="24"/>
        </w:rPr>
        <w:t xml:space="preserve"> 2020.</w:t>
      </w:r>
    </w:p>
    <w:p w14:paraId="7D05B04E" w14:textId="2EB21FC1" w:rsidR="00585F87" w:rsidRDefault="2022A694"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b/>
          <w:bCs/>
          <w:sz w:val="24"/>
          <w:szCs w:val="24"/>
        </w:rPr>
        <w:t>License</w:t>
      </w:r>
      <w:r w:rsidRPr="0D0463AD">
        <w:rPr>
          <w:rFonts w:ascii="Times New Roman" w:eastAsia="Times New Roman" w:hAnsi="Times New Roman" w:cs="Times New Roman"/>
          <w:sz w:val="24"/>
          <w:szCs w:val="24"/>
        </w:rPr>
        <w:t xml:space="preserve"> - “Permission to take certain actions or carry out particular activities that would otherwise be unlawful or infringing. For instance, a trademark owner may grant a license to </w:t>
      </w:r>
      <w:r w:rsidRPr="0D0463AD">
        <w:rPr>
          <w:rFonts w:ascii="Times New Roman" w:eastAsia="Times New Roman" w:hAnsi="Times New Roman" w:cs="Times New Roman"/>
          <w:sz w:val="24"/>
          <w:szCs w:val="24"/>
        </w:rPr>
        <w:lastRenderedPageBreak/>
        <w:t xml:space="preserve">another party, allowing that party to use the trademark owner's trademark”, </w:t>
      </w:r>
      <w:r w:rsidRPr="0D0463AD">
        <w:rPr>
          <w:rFonts w:ascii="Times New Roman" w:eastAsia="Times New Roman" w:hAnsi="Times New Roman" w:cs="Times New Roman"/>
          <w:i/>
          <w:iCs/>
          <w:sz w:val="24"/>
          <w:szCs w:val="24"/>
        </w:rPr>
        <w:t>Resources and Glossary,</w:t>
      </w:r>
      <w:r w:rsidRPr="0D0463AD">
        <w:rPr>
          <w:rFonts w:ascii="Times New Roman" w:eastAsia="Times New Roman" w:hAnsi="Times New Roman" w:cs="Times New Roman"/>
          <w:sz w:val="24"/>
          <w:szCs w:val="24"/>
        </w:rPr>
        <w:t xml:space="preserve"> 2020.</w:t>
      </w:r>
    </w:p>
    <w:p w14:paraId="5E2E90EC" w14:textId="254DEC94" w:rsidR="00585F87" w:rsidRDefault="2022A694"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b/>
          <w:bCs/>
          <w:sz w:val="24"/>
          <w:szCs w:val="24"/>
        </w:rPr>
        <w:t xml:space="preserve">Licensee </w:t>
      </w:r>
      <w:r w:rsidRPr="0D0463AD">
        <w:rPr>
          <w:rFonts w:ascii="Times New Roman" w:eastAsia="Times New Roman" w:hAnsi="Times New Roman" w:cs="Times New Roman"/>
          <w:sz w:val="24"/>
          <w:szCs w:val="24"/>
        </w:rPr>
        <w:t xml:space="preserve">- “A party who has obtained a license from another”, </w:t>
      </w:r>
      <w:r w:rsidRPr="0D0463AD">
        <w:rPr>
          <w:rFonts w:ascii="Times New Roman" w:eastAsia="Times New Roman" w:hAnsi="Times New Roman" w:cs="Times New Roman"/>
          <w:i/>
          <w:iCs/>
          <w:sz w:val="24"/>
          <w:szCs w:val="24"/>
        </w:rPr>
        <w:t>Resources and Glossary,</w:t>
      </w:r>
      <w:r w:rsidRPr="0D0463AD">
        <w:rPr>
          <w:rFonts w:ascii="Times New Roman" w:eastAsia="Times New Roman" w:hAnsi="Times New Roman" w:cs="Times New Roman"/>
          <w:sz w:val="24"/>
          <w:szCs w:val="24"/>
        </w:rPr>
        <w:t xml:space="preserve"> 2020.</w:t>
      </w:r>
    </w:p>
    <w:p w14:paraId="7EC1B483" w14:textId="03DA2B73" w:rsidR="00585F87" w:rsidRDefault="2022A694"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b/>
          <w:bCs/>
          <w:sz w:val="24"/>
          <w:szCs w:val="24"/>
        </w:rPr>
        <w:t>Licensor</w:t>
      </w:r>
      <w:r w:rsidRPr="0D0463AD">
        <w:rPr>
          <w:rFonts w:ascii="Times New Roman" w:eastAsia="Times New Roman" w:hAnsi="Times New Roman" w:cs="Times New Roman"/>
          <w:sz w:val="24"/>
          <w:szCs w:val="24"/>
        </w:rPr>
        <w:t xml:space="preserve"> - “A party who grants a license to another”, </w:t>
      </w:r>
      <w:r w:rsidRPr="0D0463AD">
        <w:rPr>
          <w:rFonts w:ascii="Times New Roman" w:eastAsia="Times New Roman" w:hAnsi="Times New Roman" w:cs="Times New Roman"/>
          <w:i/>
          <w:iCs/>
          <w:sz w:val="24"/>
          <w:szCs w:val="24"/>
        </w:rPr>
        <w:t>Resources and Glossary,</w:t>
      </w:r>
      <w:r w:rsidRPr="0D0463AD">
        <w:rPr>
          <w:rFonts w:ascii="Times New Roman" w:eastAsia="Times New Roman" w:hAnsi="Times New Roman" w:cs="Times New Roman"/>
          <w:sz w:val="24"/>
          <w:szCs w:val="24"/>
        </w:rPr>
        <w:t xml:space="preserve"> 2020.</w:t>
      </w:r>
    </w:p>
    <w:p w14:paraId="68F81452" w14:textId="5119365A" w:rsidR="00585F87" w:rsidRDefault="2022A694"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b/>
          <w:bCs/>
          <w:sz w:val="24"/>
          <w:szCs w:val="24"/>
        </w:rPr>
        <w:t>PACER</w:t>
      </w:r>
      <w:r w:rsidRPr="0D0463AD">
        <w:rPr>
          <w:rFonts w:ascii="Times New Roman" w:eastAsia="Times New Roman" w:hAnsi="Times New Roman" w:cs="Times New Roman"/>
          <w:sz w:val="24"/>
          <w:szCs w:val="24"/>
        </w:rPr>
        <w:t xml:space="preserve"> - “Acronym standing for Public Access to Court Electronic Records, which is a database run by the United States Courts. The public can use PACER to access electronic records that the federal district and appellate courts maintain, such as party filings and court orders in a lawsuit”, </w:t>
      </w:r>
      <w:r w:rsidRPr="0D0463AD">
        <w:rPr>
          <w:rFonts w:ascii="Times New Roman" w:eastAsia="Times New Roman" w:hAnsi="Times New Roman" w:cs="Times New Roman"/>
          <w:i/>
          <w:iCs/>
          <w:sz w:val="24"/>
          <w:szCs w:val="24"/>
        </w:rPr>
        <w:t>Resources and Glossary</w:t>
      </w:r>
      <w:r w:rsidRPr="0D0463AD">
        <w:rPr>
          <w:rFonts w:ascii="Times New Roman" w:eastAsia="Times New Roman" w:hAnsi="Times New Roman" w:cs="Times New Roman"/>
          <w:sz w:val="24"/>
          <w:szCs w:val="24"/>
        </w:rPr>
        <w:t xml:space="preserve"> 2020.</w:t>
      </w:r>
    </w:p>
    <w:p w14:paraId="0D580E8F" w14:textId="62D77AD7" w:rsidR="00585F87" w:rsidRDefault="2022A694"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b/>
          <w:bCs/>
          <w:sz w:val="24"/>
          <w:szCs w:val="24"/>
        </w:rPr>
        <w:t>Patent</w:t>
      </w:r>
      <w:r w:rsidRPr="0D0463AD">
        <w:rPr>
          <w:rFonts w:ascii="Times New Roman" w:eastAsia="Times New Roman" w:hAnsi="Times New Roman" w:cs="Times New Roman"/>
          <w:sz w:val="24"/>
          <w:szCs w:val="24"/>
        </w:rPr>
        <w:t xml:space="preserve"> - “A patent is a property right the Government of the United States of America grants to an inventor "to exclude others from making, using, offering for sale, or selling the invention throughout the United States or importing the invention into the United States" for a limited time in exchange for public disclosure of the invention when the patent is granted. There are three different types of patents - utility, design, and plant-each of which has distinct requirements”, </w:t>
      </w:r>
      <w:r w:rsidRPr="0D0463AD">
        <w:rPr>
          <w:rFonts w:ascii="Times New Roman" w:eastAsia="Times New Roman" w:hAnsi="Times New Roman" w:cs="Times New Roman"/>
          <w:i/>
          <w:iCs/>
          <w:sz w:val="24"/>
          <w:szCs w:val="24"/>
        </w:rPr>
        <w:t>Resources and Glossary,</w:t>
      </w:r>
      <w:r w:rsidRPr="0D0463AD">
        <w:rPr>
          <w:rFonts w:ascii="Times New Roman" w:eastAsia="Times New Roman" w:hAnsi="Times New Roman" w:cs="Times New Roman"/>
          <w:sz w:val="24"/>
          <w:szCs w:val="24"/>
        </w:rPr>
        <w:t xml:space="preserve"> 2020.</w:t>
      </w:r>
    </w:p>
    <w:p w14:paraId="6EB99338" w14:textId="1E75BC67" w:rsidR="00585F87" w:rsidRDefault="2022A694"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b/>
          <w:bCs/>
          <w:sz w:val="24"/>
          <w:szCs w:val="24"/>
        </w:rPr>
        <w:t>Principal Register</w:t>
      </w:r>
      <w:r w:rsidRPr="0D0463AD">
        <w:rPr>
          <w:rFonts w:ascii="Times New Roman" w:eastAsia="Times New Roman" w:hAnsi="Times New Roman" w:cs="Times New Roman"/>
          <w:sz w:val="24"/>
          <w:szCs w:val="24"/>
        </w:rPr>
        <w:t xml:space="preserve"> - “The USPTO's trademark register for marks found to distinguish an owner's goods or services, making the registered mark eligible for benefits including a legal presumption of ownership of the mark and the exclusive right to use the mark nationwide on or in connection with the goods and/or services for which the mark is registered”, </w:t>
      </w:r>
      <w:r w:rsidRPr="0D0463AD">
        <w:rPr>
          <w:rFonts w:ascii="Times New Roman" w:eastAsia="Times New Roman" w:hAnsi="Times New Roman" w:cs="Times New Roman"/>
          <w:i/>
          <w:iCs/>
          <w:sz w:val="24"/>
          <w:szCs w:val="24"/>
        </w:rPr>
        <w:t>Resources and Glossary,</w:t>
      </w:r>
      <w:r w:rsidRPr="0D0463AD">
        <w:rPr>
          <w:rFonts w:ascii="Times New Roman" w:eastAsia="Times New Roman" w:hAnsi="Times New Roman" w:cs="Times New Roman"/>
          <w:sz w:val="24"/>
          <w:szCs w:val="24"/>
        </w:rPr>
        <w:t xml:space="preserve"> 2020.</w:t>
      </w:r>
    </w:p>
    <w:p w14:paraId="0DD1B067" w14:textId="351F0EAE" w:rsidR="00585F87" w:rsidRDefault="2022A694"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b/>
          <w:bCs/>
          <w:sz w:val="24"/>
          <w:szCs w:val="24"/>
        </w:rPr>
        <w:t>PTRC</w:t>
      </w:r>
      <w:r w:rsidRPr="0D0463AD">
        <w:rPr>
          <w:rFonts w:ascii="Times New Roman" w:eastAsia="Times New Roman" w:hAnsi="Times New Roman" w:cs="Times New Roman"/>
          <w:sz w:val="24"/>
          <w:szCs w:val="24"/>
        </w:rPr>
        <w:t xml:space="preserve"> - “Acronym for </w:t>
      </w:r>
      <w:hyperlink r:id="rId6">
        <w:r w:rsidRPr="0D0463AD">
          <w:rPr>
            <w:rStyle w:val="Hyperlink"/>
            <w:rFonts w:ascii="Times New Roman" w:eastAsia="Times New Roman" w:hAnsi="Times New Roman" w:cs="Times New Roman"/>
            <w:sz w:val="24"/>
            <w:szCs w:val="24"/>
          </w:rPr>
          <w:t>Patent and Trademark Resource Center</w:t>
        </w:r>
      </w:hyperlink>
      <w:r w:rsidRPr="0D0463AD">
        <w:rPr>
          <w:rFonts w:ascii="Times New Roman" w:eastAsia="Times New Roman" w:hAnsi="Times New Roman" w:cs="Times New Roman"/>
          <w:sz w:val="24"/>
          <w:szCs w:val="24"/>
        </w:rPr>
        <w:t xml:space="preserve">, which is a library designated by the U.S. Patent and Trademark Office to receive and house copies of U.S. patents and patent and trademark materials, to make them freely available to the public, and to actively disseminate patent and trademark information”, </w:t>
      </w:r>
    </w:p>
    <w:p w14:paraId="24FBD3C5" w14:textId="450A656E" w:rsidR="00585F87" w:rsidRDefault="2022A694"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b/>
          <w:bCs/>
          <w:sz w:val="24"/>
          <w:szCs w:val="24"/>
        </w:rPr>
        <w:lastRenderedPageBreak/>
        <w:t xml:space="preserve">Service mark </w:t>
      </w:r>
      <w:r w:rsidRPr="0D0463AD">
        <w:rPr>
          <w:rFonts w:ascii="Times New Roman" w:eastAsia="Times New Roman" w:hAnsi="Times New Roman" w:cs="Times New Roman"/>
          <w:sz w:val="24"/>
          <w:szCs w:val="24"/>
        </w:rPr>
        <w:t xml:space="preserve">- “A word, phrase, symbol, or design, or a combination of these elements, that identifies and distinguishes the source of one party's services from those of others. The terms "trademark" or "mark" are commonly used to refer to both trademarks and service marks”, </w:t>
      </w:r>
      <w:r w:rsidRPr="0D0463AD">
        <w:rPr>
          <w:rFonts w:ascii="Times New Roman" w:eastAsia="Times New Roman" w:hAnsi="Times New Roman" w:cs="Times New Roman"/>
          <w:i/>
          <w:iCs/>
          <w:sz w:val="24"/>
          <w:szCs w:val="24"/>
        </w:rPr>
        <w:t>Resources and Glossary,</w:t>
      </w:r>
      <w:r w:rsidRPr="0D0463AD">
        <w:rPr>
          <w:rFonts w:ascii="Times New Roman" w:eastAsia="Times New Roman" w:hAnsi="Times New Roman" w:cs="Times New Roman"/>
          <w:sz w:val="24"/>
          <w:szCs w:val="24"/>
        </w:rPr>
        <w:t xml:space="preserve"> 2020.</w:t>
      </w:r>
    </w:p>
    <w:p w14:paraId="471DC3F6" w14:textId="5D100800" w:rsidR="00585F87" w:rsidRDefault="2022A694"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b/>
          <w:bCs/>
          <w:sz w:val="24"/>
          <w:szCs w:val="24"/>
        </w:rPr>
        <w:t>Trademark</w:t>
      </w:r>
      <w:r w:rsidRPr="0D0463AD">
        <w:rPr>
          <w:rFonts w:ascii="Times New Roman" w:eastAsia="Times New Roman" w:hAnsi="Times New Roman" w:cs="Times New Roman"/>
          <w:sz w:val="24"/>
          <w:szCs w:val="24"/>
        </w:rPr>
        <w:t xml:space="preserve"> - “A word, phrase, symbol, or design, or a combination of these elements, that identifies and distinguishes the source of one party's goods from those of others. The terms "trademark" or "mark" are commonly used to refer to both trademarks and service marks”, </w:t>
      </w:r>
      <w:r w:rsidRPr="0D0463AD">
        <w:rPr>
          <w:rFonts w:ascii="Times New Roman" w:eastAsia="Times New Roman" w:hAnsi="Times New Roman" w:cs="Times New Roman"/>
          <w:i/>
          <w:iCs/>
          <w:sz w:val="24"/>
          <w:szCs w:val="24"/>
        </w:rPr>
        <w:t>Resources and Glossary,</w:t>
      </w:r>
      <w:r w:rsidRPr="0D0463AD">
        <w:rPr>
          <w:rFonts w:ascii="Times New Roman" w:eastAsia="Times New Roman" w:hAnsi="Times New Roman" w:cs="Times New Roman"/>
          <w:sz w:val="24"/>
          <w:szCs w:val="24"/>
        </w:rPr>
        <w:t xml:space="preserve"> 2020.</w:t>
      </w:r>
    </w:p>
    <w:p w14:paraId="65948EE0" w14:textId="53F19B4F" w:rsidR="00585F87" w:rsidRDefault="2022A694"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b/>
          <w:bCs/>
          <w:sz w:val="24"/>
          <w:szCs w:val="24"/>
        </w:rPr>
        <w:t>Trademark infringement</w:t>
      </w:r>
      <w:r w:rsidRPr="0D0463AD">
        <w:rPr>
          <w:rFonts w:ascii="Times New Roman" w:eastAsia="Times New Roman" w:hAnsi="Times New Roman" w:cs="Times New Roman"/>
          <w:sz w:val="24"/>
          <w:szCs w:val="24"/>
        </w:rPr>
        <w:t xml:space="preserve"> - “The unauthorized use of a trademark or service mark on or in connection with goods and/or services in a manner that is likely to cause confusion, deception, or mistake about the source or sponsorship of the goods and/or services”, </w:t>
      </w:r>
      <w:r w:rsidRPr="0D0463AD">
        <w:rPr>
          <w:rFonts w:ascii="Times New Roman" w:eastAsia="Times New Roman" w:hAnsi="Times New Roman" w:cs="Times New Roman"/>
          <w:i/>
          <w:iCs/>
          <w:sz w:val="24"/>
          <w:szCs w:val="24"/>
        </w:rPr>
        <w:t>Resources and Glossary,</w:t>
      </w:r>
      <w:r w:rsidRPr="0D0463AD">
        <w:rPr>
          <w:rFonts w:ascii="Times New Roman" w:eastAsia="Times New Roman" w:hAnsi="Times New Roman" w:cs="Times New Roman"/>
          <w:sz w:val="24"/>
          <w:szCs w:val="24"/>
        </w:rPr>
        <w:t xml:space="preserve"> 2020.</w:t>
      </w:r>
    </w:p>
    <w:p w14:paraId="10D63718" w14:textId="4EB08CB3" w:rsidR="00585F87" w:rsidRDefault="2022A694"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b/>
          <w:bCs/>
          <w:sz w:val="24"/>
          <w:szCs w:val="24"/>
        </w:rPr>
        <w:t>TTAB</w:t>
      </w:r>
      <w:r w:rsidRPr="0D0463AD">
        <w:rPr>
          <w:rFonts w:ascii="Times New Roman" w:eastAsia="Times New Roman" w:hAnsi="Times New Roman" w:cs="Times New Roman"/>
          <w:sz w:val="24"/>
          <w:szCs w:val="24"/>
        </w:rPr>
        <w:t xml:space="preserve"> - “Acronym for the </w:t>
      </w:r>
      <w:hyperlink r:id="rId7">
        <w:r w:rsidRPr="0D0463AD">
          <w:rPr>
            <w:rStyle w:val="Hyperlink"/>
            <w:rFonts w:ascii="Times New Roman" w:eastAsia="Times New Roman" w:hAnsi="Times New Roman" w:cs="Times New Roman"/>
            <w:sz w:val="24"/>
            <w:szCs w:val="24"/>
          </w:rPr>
          <w:t>Trademark Trial and Appeal Board</w:t>
        </w:r>
      </w:hyperlink>
      <w:r w:rsidRPr="0D0463AD">
        <w:rPr>
          <w:rFonts w:ascii="Times New Roman" w:eastAsia="Times New Roman" w:hAnsi="Times New Roman" w:cs="Times New Roman"/>
          <w:sz w:val="24"/>
          <w:szCs w:val="24"/>
        </w:rPr>
        <w:t xml:space="preserve">, an independent administrative tribunal within the USPTO that is authorized to determine a party's right to register a trademark with the USPTO or, if the party already owns a registration, its right to maintain it. The TTAB is not authorized to determine whether a party has the right to use a trademark, just whether it has the right to register it”, </w:t>
      </w:r>
      <w:r w:rsidRPr="0D0463AD">
        <w:rPr>
          <w:rFonts w:ascii="Times New Roman" w:eastAsia="Times New Roman" w:hAnsi="Times New Roman" w:cs="Times New Roman"/>
          <w:i/>
          <w:iCs/>
          <w:sz w:val="24"/>
          <w:szCs w:val="24"/>
        </w:rPr>
        <w:t>Resources and Glossary,</w:t>
      </w:r>
      <w:r w:rsidRPr="0D0463AD">
        <w:rPr>
          <w:rFonts w:ascii="Times New Roman" w:eastAsia="Times New Roman" w:hAnsi="Times New Roman" w:cs="Times New Roman"/>
          <w:sz w:val="24"/>
          <w:szCs w:val="24"/>
        </w:rPr>
        <w:t xml:space="preserve"> 2020.</w:t>
      </w:r>
    </w:p>
    <w:p w14:paraId="7F0C0706" w14:textId="332F82C7" w:rsidR="00585F87" w:rsidRDefault="2022A694"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b/>
          <w:bCs/>
          <w:sz w:val="24"/>
          <w:szCs w:val="24"/>
        </w:rPr>
        <w:t>USPTO</w:t>
      </w:r>
      <w:r w:rsidRPr="0D0463AD">
        <w:rPr>
          <w:rFonts w:ascii="Times New Roman" w:eastAsia="Times New Roman" w:hAnsi="Times New Roman" w:cs="Times New Roman"/>
          <w:sz w:val="24"/>
          <w:szCs w:val="24"/>
        </w:rPr>
        <w:t xml:space="preserve"> - “The United States Patent and Trademark Office. The USPTO is the federal agency responsible for granting U.S. patents and registering U.S. trademarks”, </w:t>
      </w:r>
      <w:r w:rsidRPr="0D0463AD">
        <w:rPr>
          <w:rFonts w:ascii="Times New Roman" w:eastAsia="Times New Roman" w:hAnsi="Times New Roman" w:cs="Times New Roman"/>
          <w:i/>
          <w:iCs/>
          <w:sz w:val="24"/>
          <w:szCs w:val="24"/>
        </w:rPr>
        <w:t>Resources and Glossary,</w:t>
      </w:r>
      <w:r w:rsidRPr="0D0463AD">
        <w:rPr>
          <w:rFonts w:ascii="Times New Roman" w:eastAsia="Times New Roman" w:hAnsi="Times New Roman" w:cs="Times New Roman"/>
          <w:sz w:val="24"/>
          <w:szCs w:val="24"/>
        </w:rPr>
        <w:t xml:space="preserve"> 2020.</w:t>
      </w:r>
    </w:p>
    <w:p w14:paraId="43575970" w14:textId="364677A8" w:rsidR="00585F87" w:rsidRDefault="2022A694"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lastRenderedPageBreak/>
        <w:t>We also need to identify the legal issues that are in question in this case. This will help to give focus to the case, and to advise the client as to her expectations. She will have a clearer understanding of the issues in question, and a direction on which for research to concentrate.</w:t>
      </w:r>
    </w:p>
    <w:p w14:paraId="32349890" w14:textId="47E06559" w:rsidR="00585F87" w:rsidRDefault="2022A694"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1. Whether Mr. Sawyer would be likely to succeed on his claim of trademark infringement.</w:t>
      </w:r>
    </w:p>
    <w:p w14:paraId="1158E007" w14:textId="34672C0A" w:rsidR="00585F87" w:rsidRDefault="2022A694"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The legal issue here is “Does Mr. Sawyer have a case for trademark infringement?”</w:t>
      </w:r>
    </w:p>
    <w:p w14:paraId="402E3FB0" w14:textId="7DBD027E" w:rsidR="00585F87" w:rsidRDefault="2022A694"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2. What type of damages the client might face if Mr. Sawyer sues and wins (i.e., what is the worst-case scenario).</w:t>
      </w:r>
    </w:p>
    <w:p w14:paraId="09CA92C3" w14:textId="0B8246D9" w:rsidR="00585F87" w:rsidRDefault="2022A694"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What damages can be expected in a case of trademark infringement, if the client were to hold her position and resist Mr. Sawyer’s demands, and the case were to rule in his favor? </w:t>
      </w:r>
    </w:p>
    <w:p w14:paraId="4C314BAD" w14:textId="54A5BF4B" w:rsidR="00585F87" w:rsidRDefault="2022A694"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3. Whether </w:t>
      </w:r>
      <w:proofErr w:type="gramStart"/>
      <w:r w:rsidRPr="0D0463AD">
        <w:rPr>
          <w:rFonts w:ascii="Times New Roman" w:eastAsia="Times New Roman" w:hAnsi="Times New Roman" w:cs="Times New Roman"/>
          <w:sz w:val="24"/>
          <w:szCs w:val="24"/>
        </w:rPr>
        <w:t>in light of</w:t>
      </w:r>
      <w:proofErr w:type="gramEnd"/>
      <w:r w:rsidRPr="0D0463AD">
        <w:rPr>
          <w:rFonts w:ascii="Times New Roman" w:eastAsia="Times New Roman" w:hAnsi="Times New Roman" w:cs="Times New Roman"/>
          <w:sz w:val="24"/>
          <w:szCs w:val="24"/>
        </w:rPr>
        <w:t xml:space="preserve"> your analysis of the above questions, the client should change the name of her business or stand firm.</w:t>
      </w:r>
    </w:p>
    <w:p w14:paraId="73F8BA61" w14:textId="3F14EA00" w:rsidR="00585F87" w:rsidRDefault="2022A694"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Considering these questions, should the client hold firm in her position, or should she cave </w:t>
      </w:r>
      <w:proofErr w:type="gramStart"/>
      <w:r w:rsidRPr="0D0463AD">
        <w:rPr>
          <w:rFonts w:ascii="Times New Roman" w:eastAsia="Times New Roman" w:hAnsi="Times New Roman" w:cs="Times New Roman"/>
          <w:sz w:val="24"/>
          <w:szCs w:val="24"/>
        </w:rPr>
        <w:t>in to</w:t>
      </w:r>
      <w:proofErr w:type="gramEnd"/>
      <w:r w:rsidRPr="0D0463AD">
        <w:rPr>
          <w:rFonts w:ascii="Times New Roman" w:eastAsia="Times New Roman" w:hAnsi="Times New Roman" w:cs="Times New Roman"/>
          <w:sz w:val="24"/>
          <w:szCs w:val="24"/>
        </w:rPr>
        <w:t xml:space="preserve"> Mr. Sawyer’s demands?</w:t>
      </w:r>
    </w:p>
    <w:p w14:paraId="06908237" w14:textId="12A2D88C" w:rsidR="00585F87" w:rsidRPr="004D6B80" w:rsidRDefault="2022A694" w:rsidP="0D0463AD">
      <w:pPr>
        <w:pStyle w:val="Heading2"/>
        <w:spacing w:line="480" w:lineRule="auto"/>
        <w:rPr>
          <w:rFonts w:ascii="Times New Roman" w:eastAsia="Times New Roman" w:hAnsi="Times New Roman" w:cs="Times New Roman"/>
          <w:color w:val="auto"/>
          <w:sz w:val="24"/>
          <w:szCs w:val="24"/>
        </w:rPr>
      </w:pPr>
      <w:r w:rsidRPr="004D6B80">
        <w:rPr>
          <w:rFonts w:ascii="Times New Roman" w:eastAsia="Times New Roman" w:hAnsi="Times New Roman" w:cs="Times New Roman"/>
          <w:color w:val="auto"/>
          <w:sz w:val="24"/>
          <w:szCs w:val="24"/>
        </w:rPr>
        <w:lastRenderedPageBreak/>
        <w:t xml:space="preserve">It is advantageous to one's case to find cases that support the case, or that oppose the case. If the cases found oppose the case, this may mean that there may not be a positive outcome for the client. The case Janet Travis, Inc. v. </w:t>
      </w:r>
      <w:proofErr w:type="spellStart"/>
      <w:r w:rsidRPr="004D6B80">
        <w:rPr>
          <w:rFonts w:ascii="Times New Roman" w:eastAsia="Times New Roman" w:hAnsi="Times New Roman" w:cs="Times New Roman"/>
          <w:color w:val="auto"/>
          <w:sz w:val="24"/>
          <w:szCs w:val="24"/>
        </w:rPr>
        <w:t>Preka</w:t>
      </w:r>
      <w:proofErr w:type="spellEnd"/>
      <w:r w:rsidRPr="004D6B80">
        <w:rPr>
          <w:rFonts w:ascii="Times New Roman" w:eastAsia="Times New Roman" w:hAnsi="Times New Roman" w:cs="Times New Roman"/>
          <w:color w:val="auto"/>
          <w:sz w:val="24"/>
          <w:szCs w:val="24"/>
        </w:rPr>
        <w:t xml:space="preserve"> Holdings applies to this case as it also addresses trademark infringement, </w:t>
      </w:r>
      <w:r w:rsidRPr="004D6B80">
        <w:rPr>
          <w:rFonts w:ascii="Times New Roman" w:eastAsia="Times New Roman" w:hAnsi="Times New Roman" w:cs="Times New Roman"/>
          <w:i/>
          <w:iCs/>
          <w:color w:val="auto"/>
          <w:sz w:val="24"/>
          <w:szCs w:val="24"/>
        </w:rPr>
        <w:t xml:space="preserve">Janet Travis, Inc. v. </w:t>
      </w:r>
      <w:proofErr w:type="spellStart"/>
      <w:r w:rsidRPr="004D6B80">
        <w:rPr>
          <w:rFonts w:ascii="Times New Roman" w:eastAsia="Times New Roman" w:hAnsi="Times New Roman" w:cs="Times New Roman"/>
          <w:i/>
          <w:iCs/>
          <w:color w:val="auto"/>
          <w:sz w:val="24"/>
          <w:szCs w:val="24"/>
        </w:rPr>
        <w:t>Preka</w:t>
      </w:r>
      <w:proofErr w:type="spellEnd"/>
      <w:r w:rsidRPr="004D6B80">
        <w:rPr>
          <w:rFonts w:ascii="Times New Roman" w:eastAsia="Times New Roman" w:hAnsi="Times New Roman" w:cs="Times New Roman"/>
          <w:i/>
          <w:iCs/>
          <w:color w:val="auto"/>
          <w:sz w:val="24"/>
          <w:szCs w:val="24"/>
        </w:rPr>
        <w:t xml:space="preserve"> Holdings, L.L.C., 306 Mich. App. 266,</w:t>
      </w:r>
      <w:r w:rsidRPr="004D6B80">
        <w:rPr>
          <w:rFonts w:ascii="Times New Roman" w:eastAsia="Times New Roman" w:hAnsi="Times New Roman" w:cs="Times New Roman"/>
          <w:color w:val="auto"/>
          <w:sz w:val="24"/>
          <w:szCs w:val="24"/>
        </w:rPr>
        <w:t xml:space="preserve"> 2014. While the previous case has more similarities to the current case, there is another case, Movie Mania Metro, Inc. v. GZ DVD's Inc. that speaks to trademark infringement, </w:t>
      </w:r>
      <w:r w:rsidRPr="004D6B80">
        <w:rPr>
          <w:rFonts w:ascii="Times New Roman" w:eastAsia="Times New Roman" w:hAnsi="Times New Roman" w:cs="Times New Roman"/>
          <w:i/>
          <w:iCs/>
          <w:color w:val="auto"/>
          <w:sz w:val="24"/>
          <w:szCs w:val="24"/>
        </w:rPr>
        <w:t>Movie Mania Metro, Inc. v. GZ DVD's Inc., 306 Mich. App. 594,</w:t>
      </w:r>
      <w:r w:rsidRPr="004D6B80">
        <w:rPr>
          <w:rFonts w:ascii="Times New Roman" w:eastAsia="Times New Roman" w:hAnsi="Times New Roman" w:cs="Times New Roman"/>
          <w:color w:val="auto"/>
          <w:sz w:val="24"/>
          <w:szCs w:val="24"/>
        </w:rPr>
        <w:t xml:space="preserve"> 2014. Upon further research, another case was located that involves trademark infringement. The case of Interstate Brands Corp. v. Way Baking Co., while older, still relates to the current case by way of trademark infringement, </w:t>
      </w:r>
      <w:r w:rsidRPr="004D6B80">
        <w:rPr>
          <w:rFonts w:ascii="Times New Roman" w:eastAsia="Times New Roman" w:hAnsi="Times New Roman" w:cs="Times New Roman"/>
          <w:i/>
          <w:iCs/>
          <w:color w:val="auto"/>
          <w:sz w:val="24"/>
          <w:szCs w:val="24"/>
        </w:rPr>
        <w:t>Interstate Brands Corp. v. Way Baking Co., 403 Mich. 479</w:t>
      </w:r>
      <w:r w:rsidRPr="004D6B80">
        <w:rPr>
          <w:rFonts w:ascii="Times New Roman" w:eastAsia="Times New Roman" w:hAnsi="Times New Roman" w:cs="Times New Roman"/>
          <w:color w:val="auto"/>
          <w:sz w:val="24"/>
          <w:szCs w:val="24"/>
        </w:rPr>
        <w:t xml:space="preserve"> 1978. Statutes and legislation may also be prevalent outside of case law.</w:t>
      </w:r>
    </w:p>
    <w:p w14:paraId="65FF4E28" w14:textId="7E90EBFA" w:rsidR="00585F87" w:rsidRDefault="2022A694"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It is also important to have secondary sources to reinforce the case, and further research as to the laws in place. Secondary sources that may support this case or provide clear answers as to the legal issues may be legal articles or journals, cases outside of the jurisdiction, as well as statutes and legislation outside the jurisdiction. Statutes and legislation that is outside the jurisdiction may not be an exact representation of the case law, but it may help to persuade a judge or reinforce the case in question.</w:t>
      </w:r>
    </w:p>
    <w:p w14:paraId="03166E97" w14:textId="14D3CAC1" w:rsidR="00585F87" w:rsidRDefault="2022A694"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Based on experience, research on a topic for a may translate to a few hours for something like a memo. For a singular topic rather than a larger range of topics like a memo, it may be closer to half an hour to an hour. This estimation is based on prior experience and the work that has gone into this memo. This should help the client to know what costs to expect, as well as the services that she is being charged for. It is important to be accountable to our clients, and to be as open about our services and use of time as possible.</w:t>
      </w:r>
    </w:p>
    <w:p w14:paraId="36A19020" w14:textId="5F5A05BB" w:rsidR="00585F87" w:rsidRDefault="2022A694"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lastRenderedPageBreak/>
        <w:t xml:space="preserve">The client and owner of Sweet Lorraine’s Bakery requested our services to analyze her case and to evaluate if it was worth the time, effort, and money to stand firm by her position in refusing to change her business’ name. It is entirely understandable why she would not wish to do so, as she has quite a bit of money tied up in her business, which is associated with the current name. Conducting research as to factual research, legal research terms, identifying the legal issues, primary and secondary sources will lead to clarification and greater understanding for the client. The goal of this research plan is for the client to gain the answers she seeks </w:t>
      </w:r>
      <w:proofErr w:type="gramStart"/>
      <w:r w:rsidRPr="0D0463AD">
        <w:rPr>
          <w:rFonts w:ascii="Times New Roman" w:eastAsia="Times New Roman" w:hAnsi="Times New Roman" w:cs="Times New Roman"/>
          <w:sz w:val="24"/>
          <w:szCs w:val="24"/>
        </w:rPr>
        <w:t>in order to</w:t>
      </w:r>
      <w:proofErr w:type="gramEnd"/>
      <w:r w:rsidRPr="0D0463AD">
        <w:rPr>
          <w:rFonts w:ascii="Times New Roman" w:eastAsia="Times New Roman" w:hAnsi="Times New Roman" w:cs="Times New Roman"/>
          <w:sz w:val="24"/>
          <w:szCs w:val="24"/>
        </w:rPr>
        <w:t xml:space="preserve"> choose the path that would be most beneficial to her and her business.  </w:t>
      </w:r>
    </w:p>
    <w:p w14:paraId="565B00D0" w14:textId="2A9600E8" w:rsidR="00585F87" w:rsidRDefault="2022A694"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I hope this memorandum is to your satisfaction. Should you need anything further from me on this subject I would be more than happy to provide whatever assistance you might need.</w:t>
      </w:r>
    </w:p>
    <w:p w14:paraId="713611BC" w14:textId="0E76D653" w:rsidR="00585F87" w:rsidRDefault="2022A694"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Sincerely,</w:t>
      </w:r>
    </w:p>
    <w:p w14:paraId="76F72996" w14:textId="2F98A4AC" w:rsidR="00585F87" w:rsidRDefault="2022A694"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Danielle Pittman, A. Paralegal</w:t>
      </w:r>
    </w:p>
    <w:p w14:paraId="1AF0AFDF" w14:textId="07061EC2" w:rsidR="00585F87" w:rsidRDefault="00585F87" w:rsidP="0D0463AD">
      <w:pPr>
        <w:spacing w:line="480" w:lineRule="auto"/>
        <w:rPr>
          <w:rFonts w:ascii="Times New Roman" w:eastAsia="Times New Roman" w:hAnsi="Times New Roman" w:cs="Times New Roman"/>
          <w:sz w:val="24"/>
          <w:szCs w:val="24"/>
        </w:rPr>
      </w:pPr>
    </w:p>
    <w:p w14:paraId="28868BDB" w14:textId="4E13A690" w:rsidR="00585F87" w:rsidRDefault="00585F87" w:rsidP="0D0463AD">
      <w:pPr>
        <w:spacing w:line="480" w:lineRule="auto"/>
        <w:rPr>
          <w:rFonts w:ascii="Times New Roman" w:eastAsia="Times New Roman" w:hAnsi="Times New Roman" w:cs="Times New Roman"/>
          <w:sz w:val="24"/>
          <w:szCs w:val="24"/>
        </w:rPr>
      </w:pPr>
    </w:p>
    <w:p w14:paraId="625A1154" w14:textId="401CA626" w:rsidR="00585F87" w:rsidRDefault="00585F87" w:rsidP="0D0463AD">
      <w:pPr>
        <w:spacing w:line="480" w:lineRule="auto"/>
        <w:rPr>
          <w:rFonts w:ascii="Times New Roman" w:eastAsia="Times New Roman" w:hAnsi="Times New Roman" w:cs="Times New Roman"/>
          <w:sz w:val="24"/>
          <w:szCs w:val="24"/>
        </w:rPr>
      </w:pPr>
    </w:p>
    <w:p w14:paraId="66F72F48" w14:textId="20A696FC" w:rsidR="00585F87" w:rsidRDefault="00585F87" w:rsidP="0D0463AD">
      <w:pPr>
        <w:spacing w:line="480" w:lineRule="auto"/>
        <w:rPr>
          <w:rFonts w:ascii="Times New Roman" w:eastAsia="Times New Roman" w:hAnsi="Times New Roman" w:cs="Times New Roman"/>
          <w:sz w:val="24"/>
          <w:szCs w:val="24"/>
        </w:rPr>
      </w:pPr>
    </w:p>
    <w:p w14:paraId="78E80FF8" w14:textId="03B2C463" w:rsidR="00585F87" w:rsidRDefault="00585F87" w:rsidP="0D0463AD">
      <w:pPr>
        <w:spacing w:line="480" w:lineRule="auto"/>
        <w:rPr>
          <w:rFonts w:ascii="Times New Roman" w:eastAsia="Times New Roman" w:hAnsi="Times New Roman" w:cs="Times New Roman"/>
          <w:sz w:val="24"/>
          <w:szCs w:val="24"/>
        </w:rPr>
      </w:pPr>
    </w:p>
    <w:p w14:paraId="628AF77E" w14:textId="30B229E9" w:rsidR="00585F87" w:rsidRDefault="00585F87" w:rsidP="0D0463AD">
      <w:pPr>
        <w:spacing w:line="480" w:lineRule="auto"/>
        <w:rPr>
          <w:rFonts w:ascii="Times New Roman" w:eastAsia="Times New Roman" w:hAnsi="Times New Roman" w:cs="Times New Roman"/>
          <w:sz w:val="24"/>
          <w:szCs w:val="24"/>
        </w:rPr>
      </w:pPr>
    </w:p>
    <w:p w14:paraId="04825E98" w14:textId="1AE0B625" w:rsidR="00585F87" w:rsidRDefault="00585F87" w:rsidP="0D0463AD">
      <w:pPr>
        <w:spacing w:line="480" w:lineRule="auto"/>
        <w:rPr>
          <w:rFonts w:ascii="Times New Roman" w:eastAsia="Times New Roman" w:hAnsi="Times New Roman" w:cs="Times New Roman"/>
          <w:sz w:val="24"/>
          <w:szCs w:val="24"/>
        </w:rPr>
      </w:pPr>
    </w:p>
    <w:p w14:paraId="4BA8FF1F" w14:textId="77777777" w:rsidR="004D6B80" w:rsidRDefault="004D6B80" w:rsidP="0D0463AD">
      <w:pPr>
        <w:spacing w:line="480" w:lineRule="auto"/>
        <w:jc w:val="center"/>
        <w:rPr>
          <w:rFonts w:ascii="Times New Roman" w:eastAsia="Times New Roman" w:hAnsi="Times New Roman" w:cs="Times New Roman"/>
          <w:b/>
          <w:bCs/>
          <w:sz w:val="24"/>
          <w:szCs w:val="24"/>
        </w:rPr>
      </w:pPr>
    </w:p>
    <w:p w14:paraId="39E2410B" w14:textId="2D503895" w:rsidR="00585F87" w:rsidRDefault="31FB35C9" w:rsidP="0D0463AD">
      <w:pPr>
        <w:spacing w:line="480" w:lineRule="auto"/>
        <w:jc w:val="center"/>
        <w:rPr>
          <w:rFonts w:ascii="Times New Roman" w:eastAsia="Times New Roman" w:hAnsi="Times New Roman" w:cs="Times New Roman"/>
          <w:sz w:val="24"/>
          <w:szCs w:val="24"/>
        </w:rPr>
      </w:pPr>
      <w:r w:rsidRPr="0D0463AD">
        <w:rPr>
          <w:rFonts w:ascii="Times New Roman" w:eastAsia="Times New Roman" w:hAnsi="Times New Roman" w:cs="Times New Roman"/>
          <w:b/>
          <w:bCs/>
          <w:sz w:val="24"/>
          <w:szCs w:val="24"/>
        </w:rPr>
        <w:lastRenderedPageBreak/>
        <w:t>Week 6 PP Predictive Memo</w:t>
      </w:r>
    </w:p>
    <w:p w14:paraId="336B52DE" w14:textId="1D8C8F9B" w:rsidR="00585F87" w:rsidRDefault="00585F87" w:rsidP="0D0463AD">
      <w:pPr>
        <w:spacing w:line="480" w:lineRule="auto"/>
        <w:rPr>
          <w:rFonts w:ascii="Calibri" w:eastAsia="Calibri" w:hAnsi="Calibri" w:cs="Calibri"/>
        </w:rPr>
      </w:pPr>
    </w:p>
    <w:tbl>
      <w:tblPr>
        <w:tblW w:w="0" w:type="auto"/>
        <w:tblLayout w:type="fixed"/>
        <w:tblLook w:val="04A0" w:firstRow="1" w:lastRow="0" w:firstColumn="1" w:lastColumn="0" w:noHBand="0" w:noVBand="1"/>
      </w:tblPr>
      <w:tblGrid>
        <w:gridCol w:w="4680"/>
        <w:gridCol w:w="4680"/>
      </w:tblGrid>
      <w:tr w:rsidR="0D0463AD" w14:paraId="3CC97FD2" w14:textId="77777777" w:rsidTr="0D0463AD">
        <w:trPr>
          <w:trHeight w:val="990"/>
        </w:trPr>
        <w:tc>
          <w:tcPr>
            <w:tcW w:w="4680" w:type="dxa"/>
            <w:tcBorders>
              <w:top w:val="nil"/>
              <w:left w:val="nil"/>
              <w:bottom w:val="nil"/>
              <w:right w:val="nil"/>
            </w:tcBorders>
          </w:tcPr>
          <w:p w14:paraId="54BB91B8" w14:textId="2C52FA3E" w:rsidR="0D0463AD" w:rsidRDefault="0D0463AD" w:rsidP="0D0463AD">
            <w:pPr>
              <w:spacing w:beforeAutospacing="1" w:afterAutospacing="1" w:line="480" w:lineRule="auto"/>
              <w:rPr>
                <w:rFonts w:ascii="Arial Black" w:eastAsia="Arial Black" w:hAnsi="Arial Black" w:cs="Arial Black"/>
              </w:rPr>
            </w:pPr>
            <w:r w:rsidRPr="0D0463AD">
              <w:rPr>
                <w:rFonts w:ascii="Arial Black" w:eastAsia="Arial Black" w:hAnsi="Arial Black" w:cs="Arial Black"/>
              </w:rPr>
              <w:t> </w:t>
            </w:r>
          </w:p>
        </w:tc>
        <w:tc>
          <w:tcPr>
            <w:tcW w:w="4680" w:type="dxa"/>
            <w:tcBorders>
              <w:top w:val="nil"/>
              <w:left w:val="nil"/>
              <w:bottom w:val="nil"/>
              <w:right w:val="nil"/>
            </w:tcBorders>
            <w:shd w:val="clear" w:color="auto" w:fill="404040" w:themeFill="text1" w:themeFillTint="BF"/>
            <w:vAlign w:val="center"/>
          </w:tcPr>
          <w:p w14:paraId="3DCA570C" w14:textId="79FE998C" w:rsidR="0D0463AD" w:rsidRDefault="0D0463AD" w:rsidP="0D0463AD">
            <w:pPr>
              <w:spacing w:beforeAutospacing="1" w:afterAutospacing="1" w:line="480" w:lineRule="auto"/>
              <w:jc w:val="center"/>
              <w:rPr>
                <w:rFonts w:ascii="Book Antiqua" w:eastAsia="Book Antiqua" w:hAnsi="Book Antiqua" w:cs="Book Antiqua"/>
                <w:sz w:val="24"/>
                <w:szCs w:val="24"/>
              </w:rPr>
            </w:pPr>
            <w:r w:rsidRPr="0D0463AD">
              <w:rPr>
                <w:rFonts w:ascii="Book Antiqua" w:eastAsia="Book Antiqua" w:hAnsi="Book Antiqua" w:cs="Book Antiqua"/>
                <w:sz w:val="24"/>
                <w:szCs w:val="24"/>
              </w:rPr>
              <w:t>Howard &amp; Mills, P.C.</w:t>
            </w:r>
          </w:p>
        </w:tc>
      </w:tr>
    </w:tbl>
    <w:p w14:paraId="71125291" w14:textId="1FD303AE" w:rsidR="00585F87" w:rsidRDefault="31FB35C9" w:rsidP="0D0463AD">
      <w:pPr>
        <w:spacing w:beforeAutospacing="1" w:afterAutospacing="1" w:line="480" w:lineRule="auto"/>
        <w:jc w:val="right"/>
        <w:rPr>
          <w:rFonts w:ascii="Times New Roman" w:eastAsia="Times New Roman" w:hAnsi="Times New Roman" w:cs="Times New Roman"/>
          <w:color w:val="000000" w:themeColor="text1"/>
          <w:sz w:val="96"/>
          <w:szCs w:val="96"/>
        </w:rPr>
      </w:pPr>
      <w:r w:rsidRPr="0D0463AD">
        <w:rPr>
          <w:rFonts w:ascii="Times New Roman" w:eastAsia="Times New Roman" w:hAnsi="Times New Roman" w:cs="Times New Roman"/>
          <w:b/>
          <w:bCs/>
          <w:color w:val="000000" w:themeColor="text1"/>
          <w:sz w:val="96"/>
          <w:szCs w:val="96"/>
        </w:rPr>
        <w:t>  Memo</w:t>
      </w:r>
      <w:r w:rsidRPr="0D0463AD">
        <w:rPr>
          <w:rFonts w:ascii="Times New Roman" w:eastAsia="Times New Roman" w:hAnsi="Times New Roman" w:cs="Times New Roman"/>
          <w:color w:val="000000" w:themeColor="text1"/>
          <w:sz w:val="96"/>
          <w:szCs w:val="96"/>
        </w:rPr>
        <w:t> </w:t>
      </w:r>
    </w:p>
    <w:tbl>
      <w:tblPr>
        <w:tblW w:w="0" w:type="auto"/>
        <w:tblLayout w:type="fixed"/>
        <w:tblLook w:val="04A0" w:firstRow="1" w:lastRow="0" w:firstColumn="1" w:lastColumn="0" w:noHBand="0" w:noVBand="1"/>
      </w:tblPr>
      <w:tblGrid>
        <w:gridCol w:w="1245"/>
        <w:gridCol w:w="8100"/>
      </w:tblGrid>
      <w:tr w:rsidR="0D0463AD" w14:paraId="432AF753" w14:textId="77777777" w:rsidTr="0D0463AD">
        <w:trPr>
          <w:trHeight w:val="570"/>
        </w:trPr>
        <w:tc>
          <w:tcPr>
            <w:tcW w:w="1245" w:type="dxa"/>
            <w:tcBorders>
              <w:top w:val="nil"/>
              <w:left w:val="nil"/>
              <w:bottom w:val="nil"/>
              <w:right w:val="nil"/>
            </w:tcBorders>
            <w:vAlign w:val="bottom"/>
          </w:tcPr>
          <w:p w14:paraId="06EA3ABC" w14:textId="6292C588" w:rsidR="0D0463AD" w:rsidRDefault="0D0463AD" w:rsidP="0D0463AD">
            <w:pPr>
              <w:spacing w:beforeAutospacing="1" w:afterAutospacing="1" w:line="480" w:lineRule="auto"/>
              <w:rPr>
                <w:rFonts w:ascii="Times New Roman" w:eastAsia="Times New Roman" w:hAnsi="Times New Roman" w:cs="Times New Roman"/>
                <w:color w:val="2F5496" w:themeColor="accent1" w:themeShade="BF"/>
                <w:sz w:val="28"/>
                <w:szCs w:val="28"/>
              </w:rPr>
            </w:pPr>
            <w:r w:rsidRPr="0D0463AD">
              <w:rPr>
                <w:rFonts w:ascii="Times New Roman" w:eastAsia="Times New Roman" w:hAnsi="Times New Roman" w:cs="Times New Roman"/>
                <w:color w:val="2F5496" w:themeColor="accent1" w:themeShade="BF"/>
                <w:sz w:val="28"/>
                <w:szCs w:val="28"/>
              </w:rPr>
              <w:t>To: </w:t>
            </w:r>
          </w:p>
        </w:tc>
        <w:tc>
          <w:tcPr>
            <w:tcW w:w="8100" w:type="dxa"/>
            <w:tcBorders>
              <w:top w:val="nil"/>
              <w:left w:val="nil"/>
              <w:bottom w:val="nil"/>
              <w:right w:val="nil"/>
            </w:tcBorders>
            <w:vAlign w:val="bottom"/>
          </w:tcPr>
          <w:p w14:paraId="29EA8F13" w14:textId="3B9FBA67" w:rsidR="0D0463AD" w:rsidRDefault="0D0463AD" w:rsidP="0D0463AD">
            <w:pPr>
              <w:spacing w:beforeAutospacing="1" w:afterAutospacing="1" w:line="480" w:lineRule="auto"/>
              <w:rPr>
                <w:rFonts w:ascii="Times New Roman" w:eastAsia="Times New Roman" w:hAnsi="Times New Roman" w:cs="Times New Roman"/>
              </w:rPr>
            </w:pPr>
            <w:r w:rsidRPr="0D0463AD">
              <w:rPr>
                <w:rFonts w:ascii="Times New Roman" w:eastAsia="Times New Roman" w:hAnsi="Times New Roman" w:cs="Times New Roman"/>
              </w:rPr>
              <w:t>Lisa Howard (Managing Partner) </w:t>
            </w:r>
          </w:p>
        </w:tc>
      </w:tr>
      <w:tr w:rsidR="0D0463AD" w14:paraId="477E4E0D" w14:textId="77777777" w:rsidTr="0D0463AD">
        <w:trPr>
          <w:trHeight w:val="570"/>
        </w:trPr>
        <w:tc>
          <w:tcPr>
            <w:tcW w:w="1245" w:type="dxa"/>
            <w:tcBorders>
              <w:top w:val="nil"/>
              <w:left w:val="nil"/>
              <w:bottom w:val="nil"/>
              <w:right w:val="nil"/>
            </w:tcBorders>
            <w:vAlign w:val="bottom"/>
          </w:tcPr>
          <w:p w14:paraId="7D61EAC6" w14:textId="61FE9A40" w:rsidR="0D0463AD" w:rsidRDefault="0D0463AD" w:rsidP="0D0463AD">
            <w:pPr>
              <w:spacing w:beforeAutospacing="1" w:afterAutospacing="1" w:line="480" w:lineRule="auto"/>
              <w:rPr>
                <w:rFonts w:ascii="Times New Roman" w:eastAsia="Times New Roman" w:hAnsi="Times New Roman" w:cs="Times New Roman"/>
                <w:color w:val="2F5496" w:themeColor="accent1" w:themeShade="BF"/>
                <w:sz w:val="28"/>
                <w:szCs w:val="28"/>
              </w:rPr>
            </w:pPr>
            <w:r w:rsidRPr="0D0463AD">
              <w:rPr>
                <w:rFonts w:ascii="Times New Roman" w:eastAsia="Times New Roman" w:hAnsi="Times New Roman" w:cs="Times New Roman"/>
                <w:color w:val="2F5496" w:themeColor="accent1" w:themeShade="BF"/>
                <w:sz w:val="28"/>
                <w:szCs w:val="28"/>
              </w:rPr>
              <w:t>From: </w:t>
            </w:r>
          </w:p>
        </w:tc>
        <w:tc>
          <w:tcPr>
            <w:tcW w:w="8100" w:type="dxa"/>
            <w:tcBorders>
              <w:top w:val="nil"/>
              <w:left w:val="nil"/>
              <w:bottom w:val="nil"/>
              <w:right w:val="nil"/>
            </w:tcBorders>
            <w:vAlign w:val="bottom"/>
          </w:tcPr>
          <w:p w14:paraId="5DCE05B9" w14:textId="74FB4BD4" w:rsidR="0D0463AD" w:rsidRDefault="0D0463AD" w:rsidP="0D0463AD">
            <w:pPr>
              <w:spacing w:beforeAutospacing="1" w:afterAutospacing="1" w:line="480" w:lineRule="auto"/>
              <w:rPr>
                <w:rFonts w:ascii="Times New Roman" w:eastAsia="Times New Roman" w:hAnsi="Times New Roman" w:cs="Times New Roman"/>
              </w:rPr>
            </w:pPr>
            <w:r w:rsidRPr="0D0463AD">
              <w:rPr>
                <w:rFonts w:ascii="Times New Roman" w:eastAsia="Times New Roman" w:hAnsi="Times New Roman" w:cs="Times New Roman"/>
              </w:rPr>
              <w:t>Danielle Pittman</w:t>
            </w:r>
          </w:p>
        </w:tc>
      </w:tr>
      <w:tr w:rsidR="0D0463AD" w14:paraId="5A705B92" w14:textId="77777777" w:rsidTr="0D0463AD">
        <w:trPr>
          <w:trHeight w:val="570"/>
        </w:trPr>
        <w:tc>
          <w:tcPr>
            <w:tcW w:w="1245" w:type="dxa"/>
            <w:tcBorders>
              <w:top w:val="nil"/>
              <w:left w:val="nil"/>
              <w:bottom w:val="nil"/>
              <w:right w:val="nil"/>
            </w:tcBorders>
            <w:vAlign w:val="bottom"/>
          </w:tcPr>
          <w:p w14:paraId="5F84A642" w14:textId="15994A2D" w:rsidR="0D0463AD" w:rsidRDefault="0D0463AD" w:rsidP="0D0463AD">
            <w:pPr>
              <w:spacing w:beforeAutospacing="1" w:afterAutospacing="1" w:line="480" w:lineRule="auto"/>
              <w:rPr>
                <w:rFonts w:ascii="Times New Roman" w:eastAsia="Times New Roman" w:hAnsi="Times New Roman" w:cs="Times New Roman"/>
                <w:color w:val="2F5496" w:themeColor="accent1" w:themeShade="BF"/>
                <w:sz w:val="28"/>
                <w:szCs w:val="28"/>
              </w:rPr>
            </w:pPr>
            <w:r w:rsidRPr="0D0463AD">
              <w:rPr>
                <w:rFonts w:ascii="Times New Roman" w:eastAsia="Times New Roman" w:hAnsi="Times New Roman" w:cs="Times New Roman"/>
                <w:color w:val="2F5496" w:themeColor="accent1" w:themeShade="BF"/>
                <w:sz w:val="28"/>
                <w:szCs w:val="28"/>
              </w:rPr>
              <w:t>cc: </w:t>
            </w:r>
          </w:p>
        </w:tc>
        <w:tc>
          <w:tcPr>
            <w:tcW w:w="8100" w:type="dxa"/>
            <w:tcBorders>
              <w:top w:val="nil"/>
              <w:left w:val="nil"/>
              <w:bottom w:val="nil"/>
              <w:right w:val="nil"/>
            </w:tcBorders>
            <w:vAlign w:val="bottom"/>
          </w:tcPr>
          <w:p w14:paraId="79EA36D1" w14:textId="69AE4262" w:rsidR="0D0463AD" w:rsidRDefault="0D0463AD" w:rsidP="0D0463AD">
            <w:pPr>
              <w:spacing w:beforeAutospacing="1" w:afterAutospacing="1" w:line="480" w:lineRule="auto"/>
              <w:rPr>
                <w:rFonts w:ascii="Times New Roman" w:eastAsia="Times New Roman" w:hAnsi="Times New Roman" w:cs="Times New Roman"/>
              </w:rPr>
            </w:pPr>
            <w:r w:rsidRPr="0D0463AD">
              <w:rPr>
                <w:rFonts w:ascii="Times New Roman" w:eastAsia="Times New Roman" w:hAnsi="Times New Roman" w:cs="Times New Roman"/>
              </w:rPr>
              <w:t>Lisa Howard, Managing Partner</w:t>
            </w:r>
          </w:p>
        </w:tc>
      </w:tr>
      <w:tr w:rsidR="0D0463AD" w14:paraId="1CC06A37" w14:textId="77777777" w:rsidTr="0D0463AD">
        <w:trPr>
          <w:trHeight w:val="570"/>
        </w:trPr>
        <w:tc>
          <w:tcPr>
            <w:tcW w:w="1245" w:type="dxa"/>
            <w:tcBorders>
              <w:top w:val="nil"/>
              <w:left w:val="nil"/>
              <w:bottom w:val="nil"/>
              <w:right w:val="nil"/>
            </w:tcBorders>
            <w:vAlign w:val="bottom"/>
          </w:tcPr>
          <w:p w14:paraId="0B4B24E4" w14:textId="7393BE18" w:rsidR="0D0463AD" w:rsidRDefault="0D0463AD" w:rsidP="0D0463AD">
            <w:pPr>
              <w:spacing w:beforeAutospacing="1" w:afterAutospacing="1" w:line="480" w:lineRule="auto"/>
              <w:rPr>
                <w:rFonts w:ascii="Times New Roman" w:eastAsia="Times New Roman" w:hAnsi="Times New Roman" w:cs="Times New Roman"/>
                <w:color w:val="2F5496" w:themeColor="accent1" w:themeShade="BF"/>
                <w:sz w:val="28"/>
                <w:szCs w:val="28"/>
              </w:rPr>
            </w:pPr>
            <w:r w:rsidRPr="0D0463AD">
              <w:rPr>
                <w:rFonts w:ascii="Times New Roman" w:eastAsia="Times New Roman" w:hAnsi="Times New Roman" w:cs="Times New Roman"/>
                <w:color w:val="2F5496" w:themeColor="accent1" w:themeShade="BF"/>
                <w:sz w:val="28"/>
                <w:szCs w:val="28"/>
              </w:rPr>
              <w:t>Date: </w:t>
            </w:r>
          </w:p>
        </w:tc>
        <w:tc>
          <w:tcPr>
            <w:tcW w:w="8100" w:type="dxa"/>
            <w:tcBorders>
              <w:top w:val="nil"/>
              <w:left w:val="nil"/>
              <w:bottom w:val="nil"/>
              <w:right w:val="nil"/>
            </w:tcBorders>
            <w:vAlign w:val="bottom"/>
          </w:tcPr>
          <w:p w14:paraId="05C2AD01" w14:textId="04ED1CDE" w:rsidR="0D0463AD" w:rsidRDefault="0D0463AD" w:rsidP="0D0463AD">
            <w:pPr>
              <w:spacing w:beforeAutospacing="1" w:afterAutospacing="1" w:line="480" w:lineRule="auto"/>
              <w:rPr>
                <w:rFonts w:ascii="Times New Roman" w:eastAsia="Times New Roman" w:hAnsi="Times New Roman" w:cs="Times New Roman"/>
              </w:rPr>
            </w:pPr>
            <w:r w:rsidRPr="0D0463AD">
              <w:rPr>
                <w:rFonts w:ascii="Times New Roman" w:eastAsia="Times New Roman" w:hAnsi="Times New Roman" w:cs="Times New Roman"/>
              </w:rPr>
              <w:t>04/215/2021</w:t>
            </w:r>
          </w:p>
        </w:tc>
      </w:tr>
      <w:tr w:rsidR="0D0463AD" w14:paraId="094098B7" w14:textId="77777777" w:rsidTr="0D0463AD">
        <w:trPr>
          <w:trHeight w:val="570"/>
        </w:trPr>
        <w:tc>
          <w:tcPr>
            <w:tcW w:w="1245" w:type="dxa"/>
            <w:tcBorders>
              <w:top w:val="nil"/>
              <w:left w:val="nil"/>
              <w:bottom w:val="nil"/>
              <w:right w:val="nil"/>
            </w:tcBorders>
            <w:vAlign w:val="bottom"/>
          </w:tcPr>
          <w:p w14:paraId="68BB4A5F" w14:textId="45AB6BA3" w:rsidR="0D0463AD" w:rsidRDefault="0D0463AD" w:rsidP="0D0463AD">
            <w:pPr>
              <w:spacing w:beforeAutospacing="1" w:afterAutospacing="1" w:line="480" w:lineRule="auto"/>
              <w:rPr>
                <w:rFonts w:ascii="Times New Roman" w:eastAsia="Times New Roman" w:hAnsi="Times New Roman" w:cs="Times New Roman"/>
                <w:color w:val="2F5496" w:themeColor="accent1" w:themeShade="BF"/>
                <w:sz w:val="28"/>
                <w:szCs w:val="28"/>
              </w:rPr>
            </w:pPr>
            <w:r w:rsidRPr="0D0463AD">
              <w:rPr>
                <w:rFonts w:ascii="Times New Roman" w:eastAsia="Times New Roman" w:hAnsi="Times New Roman" w:cs="Times New Roman"/>
                <w:color w:val="2F5496" w:themeColor="accent1" w:themeShade="BF"/>
                <w:sz w:val="28"/>
                <w:szCs w:val="28"/>
              </w:rPr>
              <w:t>Re: </w:t>
            </w:r>
          </w:p>
        </w:tc>
        <w:tc>
          <w:tcPr>
            <w:tcW w:w="8100" w:type="dxa"/>
            <w:tcBorders>
              <w:top w:val="nil"/>
              <w:left w:val="nil"/>
              <w:bottom w:val="nil"/>
              <w:right w:val="nil"/>
            </w:tcBorders>
            <w:vAlign w:val="bottom"/>
          </w:tcPr>
          <w:p w14:paraId="14694AE5" w14:textId="735F1EB6" w:rsidR="0D0463AD" w:rsidRDefault="0D0463AD" w:rsidP="0D0463AD">
            <w:pPr>
              <w:spacing w:beforeAutospacing="1" w:afterAutospacing="1" w:line="480" w:lineRule="auto"/>
              <w:rPr>
                <w:rFonts w:ascii="Times New Roman" w:eastAsia="Times New Roman" w:hAnsi="Times New Roman" w:cs="Times New Roman"/>
              </w:rPr>
            </w:pPr>
            <w:r w:rsidRPr="0D0463AD">
              <w:rPr>
                <w:rFonts w:ascii="Times New Roman" w:eastAsia="Times New Roman" w:hAnsi="Times New Roman" w:cs="Times New Roman"/>
              </w:rPr>
              <w:t>Predictive Memo</w:t>
            </w:r>
          </w:p>
        </w:tc>
      </w:tr>
      <w:tr w:rsidR="0D0463AD" w14:paraId="656432CE" w14:textId="77777777" w:rsidTr="0D0463AD">
        <w:trPr>
          <w:trHeight w:val="300"/>
        </w:trPr>
        <w:tc>
          <w:tcPr>
            <w:tcW w:w="1245" w:type="dxa"/>
            <w:tcBorders>
              <w:top w:val="nil"/>
              <w:left w:val="nil"/>
              <w:bottom w:val="single" w:sz="6" w:space="0" w:color="auto"/>
              <w:right w:val="nil"/>
            </w:tcBorders>
            <w:vAlign w:val="center"/>
          </w:tcPr>
          <w:p w14:paraId="7D609857" w14:textId="4261355F" w:rsidR="0D0463AD" w:rsidRDefault="0D0463AD" w:rsidP="0D0463AD">
            <w:pPr>
              <w:spacing w:beforeAutospacing="1" w:afterAutospacing="1" w:line="480" w:lineRule="auto"/>
              <w:rPr>
                <w:rFonts w:ascii="Times New Roman" w:eastAsia="Times New Roman" w:hAnsi="Times New Roman" w:cs="Times New Roman"/>
              </w:rPr>
            </w:pPr>
            <w:r w:rsidRPr="0D0463AD">
              <w:rPr>
                <w:rFonts w:ascii="Times New Roman" w:eastAsia="Times New Roman" w:hAnsi="Times New Roman" w:cs="Times New Roman"/>
              </w:rPr>
              <w:t>  </w:t>
            </w:r>
          </w:p>
        </w:tc>
        <w:tc>
          <w:tcPr>
            <w:tcW w:w="8100" w:type="dxa"/>
            <w:tcBorders>
              <w:top w:val="nil"/>
              <w:left w:val="nil"/>
              <w:bottom w:val="single" w:sz="6" w:space="0" w:color="auto"/>
              <w:right w:val="nil"/>
            </w:tcBorders>
            <w:vAlign w:val="center"/>
          </w:tcPr>
          <w:p w14:paraId="52BF9E53" w14:textId="3BAFD4AA" w:rsidR="0D0463AD" w:rsidRDefault="0D0463AD" w:rsidP="0D0463AD">
            <w:pPr>
              <w:spacing w:beforeAutospacing="1" w:afterAutospacing="1" w:line="480" w:lineRule="auto"/>
              <w:rPr>
                <w:rFonts w:ascii="Times New Roman" w:eastAsia="Times New Roman" w:hAnsi="Times New Roman" w:cs="Times New Roman"/>
              </w:rPr>
            </w:pPr>
            <w:r w:rsidRPr="0D0463AD">
              <w:rPr>
                <w:rFonts w:ascii="Times New Roman" w:eastAsia="Times New Roman" w:hAnsi="Times New Roman" w:cs="Times New Roman"/>
              </w:rPr>
              <w:t> </w:t>
            </w:r>
          </w:p>
        </w:tc>
      </w:tr>
    </w:tbl>
    <w:p w14:paraId="6FED6A37" w14:textId="47FA33F1" w:rsidR="00585F87" w:rsidRDefault="00585F87" w:rsidP="0D0463AD">
      <w:pPr>
        <w:spacing w:line="480" w:lineRule="auto"/>
        <w:rPr>
          <w:rFonts w:ascii="Times New Roman" w:eastAsia="Times New Roman" w:hAnsi="Times New Roman" w:cs="Times New Roman"/>
          <w:sz w:val="24"/>
          <w:szCs w:val="24"/>
        </w:rPr>
      </w:pPr>
    </w:p>
    <w:p w14:paraId="08CE6AC5" w14:textId="30B208F6" w:rsidR="00585F87" w:rsidRDefault="31FB35C9"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Dear Managing Partner, Lisa Howard</w:t>
      </w:r>
    </w:p>
    <w:p w14:paraId="7F7B0544" w14:textId="7D5694DB" w:rsidR="00585F87" w:rsidRDefault="31FB35C9"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b/>
          <w:bCs/>
          <w:sz w:val="24"/>
          <w:szCs w:val="24"/>
        </w:rPr>
        <w:t>Statement of Facts</w:t>
      </w:r>
    </w:p>
    <w:p w14:paraId="0357A181" w14:textId="520ED19A" w:rsidR="00585F87" w:rsidRDefault="31FB35C9"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The defendant, Christine Donnelly, opened her business, Sweet Lorraine’s Bakery six months ago. The client received an email from a Mr. Greg Sawyer, who lives in Detroit, Michigan. Mr. Sawyer owns a business by the name of </w:t>
      </w:r>
      <w:r w:rsidRPr="0D0463AD">
        <w:rPr>
          <w:rFonts w:ascii="Times New Roman" w:eastAsia="Times New Roman" w:hAnsi="Times New Roman" w:cs="Times New Roman"/>
        </w:rPr>
        <w:t xml:space="preserve">Sweet Lorraine’s, LLC d/b/a Sweet Lorraine’s Café and Bar. </w:t>
      </w:r>
      <w:r w:rsidRPr="0D0463AD">
        <w:rPr>
          <w:rFonts w:ascii="Times New Roman" w:eastAsia="Times New Roman" w:hAnsi="Times New Roman" w:cs="Times New Roman"/>
          <w:sz w:val="24"/>
          <w:szCs w:val="24"/>
        </w:rPr>
        <w:lastRenderedPageBreak/>
        <w:t xml:space="preserve">Mr. Sawyer and his wife have a trademark on the phrase “Sweet Lorraine’s” in the food service industry in the U.S. They have demanded that Ms. Donnelly change the name of her business and have threatened legal action if she refuses to do so. </w:t>
      </w:r>
    </w:p>
    <w:p w14:paraId="3274CE47" w14:textId="728F376E" w:rsidR="00585F87" w:rsidRDefault="31FB35C9"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b/>
          <w:bCs/>
          <w:sz w:val="24"/>
          <w:szCs w:val="24"/>
        </w:rPr>
        <w:t>Question Presented</w:t>
      </w:r>
    </w:p>
    <w:p w14:paraId="528840FD" w14:textId="52E35DDB" w:rsidR="00585F87" w:rsidRDefault="31FB35C9"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Does the plaintiff, Greg Sawyer, have a valid claim under The Lanham Act for trademark infringement?</w:t>
      </w:r>
    </w:p>
    <w:p w14:paraId="7E6F1106" w14:textId="589E5550" w:rsidR="00585F87" w:rsidRDefault="31FB35C9"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Should the defendant, Christine Donnelly, change the name of her business?</w:t>
      </w:r>
    </w:p>
    <w:p w14:paraId="10DAACC4" w14:textId="17724E99" w:rsidR="00585F87" w:rsidRDefault="31FB35C9"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b/>
          <w:bCs/>
          <w:sz w:val="24"/>
          <w:szCs w:val="24"/>
        </w:rPr>
        <w:t xml:space="preserve">Short Answer </w:t>
      </w:r>
    </w:p>
    <w:p w14:paraId="16A73374" w14:textId="449AF069" w:rsidR="00585F87" w:rsidRDefault="31FB35C9"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Mr. Sawyer looks to have a valid claim under The Lanham Act, part (a), sub-section (3), sub-section of that part (A). We can also refer to The Lanham Act sub-section (a), (3), (D).</w:t>
      </w:r>
    </w:p>
    <w:p w14:paraId="470FC39D" w14:textId="4EC7ADDC" w:rsidR="00585F87" w:rsidRDefault="31FB35C9"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We can surmise that it would be to the benefit of the defendant to consider changing the name of her business, which is supported by various primary sources.</w:t>
      </w:r>
    </w:p>
    <w:p w14:paraId="7656457E" w14:textId="06E93892" w:rsidR="00585F87" w:rsidRDefault="31FB35C9"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b/>
          <w:bCs/>
          <w:sz w:val="24"/>
          <w:szCs w:val="24"/>
        </w:rPr>
        <w:t>Analysis</w:t>
      </w:r>
    </w:p>
    <w:p w14:paraId="1C9CCFF9" w14:textId="04C01C6D" w:rsidR="00585F87" w:rsidRDefault="31FB35C9"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When considering which is the best direction in which to guide Ms. Donnelly as to whether Mr. Sawyer has a valid claim, we must observe the Lanham Act.</w:t>
      </w:r>
    </w:p>
    <w:p w14:paraId="36BED974" w14:textId="421E9EEF" w:rsidR="00585F87" w:rsidRDefault="31FB35C9"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The Lanham Act, part (a), sub-section (3)</w:t>
      </w:r>
    </w:p>
    <w:p w14:paraId="6996AC1C" w14:textId="6A7FA49B" w:rsidR="00585F87" w:rsidRDefault="31FB35C9"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This section states that no one has the right to use a trademark other than the trademark owner. In no manner that is identical, or is </w:t>
      </w:r>
      <w:proofErr w:type="gramStart"/>
      <w:r w:rsidRPr="0D0463AD">
        <w:rPr>
          <w:rFonts w:ascii="Times New Roman" w:eastAsia="Times New Roman" w:hAnsi="Times New Roman" w:cs="Times New Roman"/>
          <w:sz w:val="24"/>
          <w:szCs w:val="24"/>
        </w:rPr>
        <w:t>similar to</w:t>
      </w:r>
      <w:proofErr w:type="gramEnd"/>
      <w:r w:rsidRPr="0D0463AD">
        <w:rPr>
          <w:rFonts w:ascii="Times New Roman" w:eastAsia="Times New Roman" w:hAnsi="Times New Roman" w:cs="Times New Roman"/>
          <w:sz w:val="24"/>
          <w:szCs w:val="24"/>
        </w:rPr>
        <w:t xml:space="preserve"> it in any way acceptable, </w:t>
      </w:r>
      <w:r w:rsidRPr="0D0463AD">
        <w:rPr>
          <w:rFonts w:ascii="Times New Roman" w:eastAsia="Times New Roman" w:hAnsi="Times New Roman" w:cs="Times New Roman"/>
          <w:i/>
          <w:iCs/>
          <w:sz w:val="24"/>
          <w:szCs w:val="24"/>
        </w:rPr>
        <w:t>15 USCS § 1051,</w:t>
      </w:r>
      <w:r w:rsidRPr="0D0463AD">
        <w:rPr>
          <w:rFonts w:ascii="Times New Roman" w:eastAsia="Times New Roman" w:hAnsi="Times New Roman" w:cs="Times New Roman"/>
          <w:sz w:val="24"/>
          <w:szCs w:val="24"/>
        </w:rPr>
        <w:t xml:space="preserve"> 2021.</w:t>
      </w:r>
    </w:p>
    <w:p w14:paraId="510DEEC0" w14:textId="3BD383E6" w:rsidR="00585F87" w:rsidRDefault="31FB35C9"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We can also refer to the sub-section of (a), (3), (D); in the case of every application attempting to make use of the trademark the applicant must, </w:t>
      </w:r>
      <w:r w:rsidRPr="0D0463AD">
        <w:rPr>
          <w:rFonts w:ascii="Times New Roman" w:eastAsia="Times New Roman" w:hAnsi="Times New Roman" w:cs="Times New Roman"/>
          <w:i/>
          <w:iCs/>
          <w:sz w:val="24"/>
          <w:szCs w:val="24"/>
        </w:rPr>
        <w:t>15 USCS § 1051,</w:t>
      </w:r>
      <w:r w:rsidRPr="0D0463AD">
        <w:rPr>
          <w:rFonts w:ascii="Times New Roman" w:eastAsia="Times New Roman" w:hAnsi="Times New Roman" w:cs="Times New Roman"/>
          <w:sz w:val="24"/>
          <w:szCs w:val="24"/>
        </w:rPr>
        <w:t xml:space="preserve"> 2021.</w:t>
      </w:r>
    </w:p>
    <w:p w14:paraId="4E7B7C62" w14:textId="16612676" w:rsidR="00585F87" w:rsidRDefault="31FB35C9"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lastRenderedPageBreak/>
        <w:t xml:space="preserve">“(I)state exceptions to the claim of exclusive use: </w:t>
      </w:r>
    </w:p>
    <w:p w14:paraId="4F3A191A" w14:textId="5E0D9ED1" w:rsidR="00585F87" w:rsidRDefault="31FB35C9"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(ii) shall specify, to the extent of the verifier’s knowledge—</w:t>
      </w:r>
    </w:p>
    <w:p w14:paraId="3F0101A9" w14:textId="3A3DDE21" w:rsidR="00585F87" w:rsidRDefault="31FB35C9" w:rsidP="0D0463AD">
      <w:pPr>
        <w:spacing w:line="480" w:lineRule="auto"/>
        <w:ind w:firstLine="720"/>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(I) any concurrent use by </w:t>
      </w:r>
      <w:proofErr w:type="gramStart"/>
      <w:r w:rsidRPr="0D0463AD">
        <w:rPr>
          <w:rFonts w:ascii="Times New Roman" w:eastAsia="Times New Roman" w:hAnsi="Times New Roman" w:cs="Times New Roman"/>
          <w:sz w:val="24"/>
          <w:szCs w:val="24"/>
        </w:rPr>
        <w:t>others;</w:t>
      </w:r>
      <w:proofErr w:type="gramEnd"/>
    </w:p>
    <w:p w14:paraId="1967EDC9" w14:textId="5B2C5494" w:rsidR="00585F87" w:rsidRDefault="31FB35C9" w:rsidP="0D0463AD">
      <w:pPr>
        <w:spacing w:line="480" w:lineRule="auto"/>
        <w:ind w:firstLine="720"/>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(II) the goods on or in connection with which and the areas in which each concurrent use </w:t>
      </w:r>
      <w:r w:rsidR="00776A3C">
        <w:tab/>
      </w:r>
      <w:proofErr w:type="gramStart"/>
      <w:r w:rsidRPr="0D0463AD">
        <w:rPr>
          <w:rFonts w:ascii="Times New Roman" w:eastAsia="Times New Roman" w:hAnsi="Times New Roman" w:cs="Times New Roman"/>
          <w:sz w:val="24"/>
          <w:szCs w:val="24"/>
        </w:rPr>
        <w:t>exists;</w:t>
      </w:r>
      <w:proofErr w:type="gramEnd"/>
    </w:p>
    <w:p w14:paraId="49943C3F" w14:textId="2C05E961" w:rsidR="00585F87" w:rsidRDefault="31FB35C9" w:rsidP="0D0463AD">
      <w:pPr>
        <w:spacing w:line="480" w:lineRule="auto"/>
        <w:ind w:firstLine="720"/>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(III) the periods of each use; and</w:t>
      </w:r>
    </w:p>
    <w:p w14:paraId="0C46095E" w14:textId="72173538" w:rsidR="00585F87" w:rsidRDefault="31FB35C9" w:rsidP="0D0463AD">
      <w:pPr>
        <w:spacing w:line="480" w:lineRule="auto"/>
        <w:ind w:firstLine="720"/>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(IV) the goods and area for which the applicant desires registration”, </w:t>
      </w:r>
      <w:r w:rsidRPr="0D0463AD">
        <w:rPr>
          <w:rFonts w:ascii="Times New Roman" w:eastAsia="Times New Roman" w:hAnsi="Times New Roman" w:cs="Times New Roman"/>
          <w:i/>
          <w:iCs/>
          <w:sz w:val="24"/>
          <w:szCs w:val="24"/>
        </w:rPr>
        <w:t>15 USCS § 1051,</w:t>
      </w:r>
      <w:r w:rsidRPr="0D0463AD">
        <w:rPr>
          <w:rFonts w:ascii="Times New Roman" w:eastAsia="Times New Roman" w:hAnsi="Times New Roman" w:cs="Times New Roman"/>
          <w:sz w:val="24"/>
          <w:szCs w:val="24"/>
        </w:rPr>
        <w:t xml:space="preserve"> </w:t>
      </w:r>
      <w:r w:rsidR="00776A3C">
        <w:tab/>
      </w:r>
      <w:r w:rsidRPr="0D0463AD">
        <w:rPr>
          <w:rFonts w:ascii="Times New Roman" w:eastAsia="Times New Roman" w:hAnsi="Times New Roman" w:cs="Times New Roman"/>
          <w:sz w:val="24"/>
          <w:szCs w:val="24"/>
        </w:rPr>
        <w:t>2021.</w:t>
      </w:r>
    </w:p>
    <w:p w14:paraId="670EFE83" w14:textId="533D921E" w:rsidR="00585F87" w:rsidRDefault="31FB35C9"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“(4) The applicant shall comply with such rules or regulations as may be prescribed by the Director. The Director shall promulgate rules prescribing the requirements for the application and for obtaining a filing date herein”, </w:t>
      </w:r>
      <w:r w:rsidRPr="0D0463AD">
        <w:rPr>
          <w:rFonts w:ascii="Times New Roman" w:eastAsia="Times New Roman" w:hAnsi="Times New Roman" w:cs="Times New Roman"/>
          <w:i/>
          <w:iCs/>
          <w:sz w:val="24"/>
          <w:szCs w:val="24"/>
        </w:rPr>
        <w:t>15 USCS § 1051,</w:t>
      </w:r>
      <w:r w:rsidRPr="0D0463AD">
        <w:rPr>
          <w:rFonts w:ascii="Times New Roman" w:eastAsia="Times New Roman" w:hAnsi="Times New Roman" w:cs="Times New Roman"/>
          <w:sz w:val="24"/>
          <w:szCs w:val="24"/>
        </w:rPr>
        <w:t xml:space="preserve"> 2021.</w:t>
      </w:r>
    </w:p>
    <w:p w14:paraId="25F867D7" w14:textId="7A4F01EA" w:rsidR="00585F87" w:rsidRDefault="31FB35C9"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When determining whether the client should change the name of her business, we will examine these different cases:</w:t>
      </w:r>
    </w:p>
    <w:p w14:paraId="7D346ECA" w14:textId="41EC475C" w:rsidR="00585F87" w:rsidRDefault="31FB35C9"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U.S. Supreme Court case </w:t>
      </w:r>
      <w:r w:rsidRPr="0D0463AD">
        <w:rPr>
          <w:rFonts w:ascii="Times New Roman" w:eastAsia="Times New Roman" w:hAnsi="Times New Roman" w:cs="Times New Roman"/>
          <w:b/>
          <w:bCs/>
          <w:sz w:val="24"/>
          <w:szCs w:val="24"/>
        </w:rPr>
        <w:t>Hamilton-Brown Shoe Co. v. Wolf Bros. &amp; Co.</w:t>
      </w:r>
      <w:r w:rsidRPr="0D0463AD">
        <w:rPr>
          <w:rFonts w:ascii="Times New Roman" w:eastAsia="Times New Roman" w:hAnsi="Times New Roman" w:cs="Times New Roman"/>
          <w:sz w:val="24"/>
          <w:szCs w:val="24"/>
        </w:rPr>
        <w:t>, 240 U.S. 251</w:t>
      </w:r>
    </w:p>
    <w:p w14:paraId="01CB3932" w14:textId="15DFC6D1" w:rsidR="00585F87" w:rsidRDefault="31FB35C9"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The claimant held the rights to the trademark name </w:t>
      </w:r>
      <w:proofErr w:type="gramStart"/>
      <w:r w:rsidRPr="0D0463AD">
        <w:rPr>
          <w:rFonts w:ascii="Times New Roman" w:eastAsia="Times New Roman" w:hAnsi="Times New Roman" w:cs="Times New Roman"/>
          <w:sz w:val="24"/>
          <w:szCs w:val="24"/>
        </w:rPr>
        <w:t>of  “</w:t>
      </w:r>
      <w:proofErr w:type="gramEnd"/>
      <w:r w:rsidRPr="0D0463AD">
        <w:rPr>
          <w:rFonts w:ascii="Times New Roman" w:eastAsia="Times New Roman" w:hAnsi="Times New Roman" w:cs="Times New Roman"/>
          <w:sz w:val="24"/>
          <w:szCs w:val="24"/>
        </w:rPr>
        <w:t xml:space="preserve">American Girl” which was a title used by the shoe manufacturer to designate their product. The trademark owner has exclusive rights to the use of the title. An infringer must give up the profits made by its use to the original owner. The shoe manufacturer that misused the title, used a name by “American Lady” as a similar label of the trademark owner's product name. The lower court based the decree on the profits gained by the defendant. The decree was affirmed as to the claimant recovering profits made by the defendant. The claimant was not limited in his recovery of the profits. He was also not obligated </w:t>
      </w:r>
      <w:r w:rsidRPr="0D0463AD">
        <w:rPr>
          <w:rFonts w:ascii="Times New Roman" w:eastAsia="Times New Roman" w:hAnsi="Times New Roman" w:cs="Times New Roman"/>
          <w:sz w:val="24"/>
          <w:szCs w:val="24"/>
        </w:rPr>
        <w:lastRenderedPageBreak/>
        <w:t xml:space="preserve">to prove what portion of the profits he was entitled to as he was entitled to all. It is just that he be entitled to </w:t>
      </w:r>
      <w:proofErr w:type="gramStart"/>
      <w:r w:rsidRPr="0D0463AD">
        <w:rPr>
          <w:rFonts w:ascii="Times New Roman" w:eastAsia="Times New Roman" w:hAnsi="Times New Roman" w:cs="Times New Roman"/>
          <w:sz w:val="24"/>
          <w:szCs w:val="24"/>
        </w:rPr>
        <w:t>all of</w:t>
      </w:r>
      <w:proofErr w:type="gramEnd"/>
      <w:r w:rsidRPr="0D0463AD">
        <w:rPr>
          <w:rFonts w:ascii="Times New Roman" w:eastAsia="Times New Roman" w:hAnsi="Times New Roman" w:cs="Times New Roman"/>
          <w:sz w:val="24"/>
          <w:szCs w:val="24"/>
        </w:rPr>
        <w:t xml:space="preserve"> the profits than that some or any be withheld, </w:t>
      </w:r>
      <w:r w:rsidRPr="0D0463AD">
        <w:rPr>
          <w:rFonts w:ascii="Times New Roman" w:eastAsia="Times New Roman" w:hAnsi="Times New Roman" w:cs="Times New Roman"/>
          <w:i/>
          <w:iCs/>
          <w:sz w:val="24"/>
          <w:szCs w:val="24"/>
        </w:rPr>
        <w:t>Hamilton-Brown Shoe Co. v. Wolf Bros. &amp; Co., 240 U.S. 251,</w:t>
      </w:r>
      <w:r w:rsidRPr="0D0463AD">
        <w:rPr>
          <w:rFonts w:ascii="Times New Roman" w:eastAsia="Times New Roman" w:hAnsi="Times New Roman" w:cs="Times New Roman"/>
          <w:sz w:val="24"/>
          <w:szCs w:val="24"/>
        </w:rPr>
        <w:t xml:space="preserve"> 1916.</w:t>
      </w:r>
    </w:p>
    <w:p w14:paraId="57DA2023" w14:textId="2E43BBF1" w:rsidR="00585F87" w:rsidRDefault="31FB35C9"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Sixth Circuit case, </w:t>
      </w:r>
      <w:r w:rsidRPr="0D0463AD">
        <w:rPr>
          <w:rFonts w:ascii="Times New Roman" w:eastAsia="Times New Roman" w:hAnsi="Times New Roman" w:cs="Times New Roman"/>
          <w:b/>
          <w:bCs/>
          <w:sz w:val="24"/>
          <w:szCs w:val="24"/>
        </w:rPr>
        <w:t>Audi AG v. D'Amato</w:t>
      </w:r>
      <w:r w:rsidRPr="0D0463AD">
        <w:rPr>
          <w:rFonts w:ascii="Times New Roman" w:eastAsia="Times New Roman" w:hAnsi="Times New Roman" w:cs="Times New Roman"/>
          <w:sz w:val="24"/>
          <w:szCs w:val="24"/>
        </w:rPr>
        <w:t>, 381 F. Supp. 2d 644</w:t>
      </w:r>
    </w:p>
    <w:p w14:paraId="4C703149" w14:textId="54DF1A13" w:rsidR="00585F87" w:rsidRDefault="31FB35C9"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The plaintiff, Audi </w:t>
      </w:r>
      <w:proofErr w:type="gramStart"/>
      <w:r w:rsidRPr="0D0463AD">
        <w:rPr>
          <w:rFonts w:ascii="Times New Roman" w:eastAsia="Times New Roman" w:hAnsi="Times New Roman" w:cs="Times New Roman"/>
          <w:sz w:val="24"/>
          <w:szCs w:val="24"/>
        </w:rPr>
        <w:t>AG</w:t>
      </w:r>
      <w:proofErr w:type="gramEnd"/>
      <w:r w:rsidRPr="0D0463AD">
        <w:rPr>
          <w:rFonts w:ascii="Times New Roman" w:eastAsia="Times New Roman" w:hAnsi="Times New Roman" w:cs="Times New Roman"/>
          <w:sz w:val="24"/>
          <w:szCs w:val="24"/>
        </w:rPr>
        <w:t xml:space="preserve"> and Volkswagen of America, have filed a claim against defendant, Bob D’Amato for a claim of trademark infringement associated with their name, logo, and product names. The defendant claimed to have permission from members of the Audi corporation to make use of the trademark registrations. The defendant alleged that as he had altered his website to be transparent as to not be linked or directly associated with the Audi corporation, therefore he should be absolved of any guilt. The court held that the plaintiff was entitled to summary judgement on all claims filed against the defendant. The defendant clearly was using the marks to make a profit. As both the plaintiff and defendant were selling online using the marks this caused a sense of confusion, </w:t>
      </w:r>
      <w:r w:rsidRPr="0D0463AD">
        <w:rPr>
          <w:rFonts w:ascii="Times New Roman" w:eastAsia="Times New Roman" w:hAnsi="Times New Roman" w:cs="Times New Roman"/>
          <w:i/>
          <w:iCs/>
          <w:sz w:val="24"/>
          <w:szCs w:val="24"/>
        </w:rPr>
        <w:t>Audi AG v. D'Amato, 381 F. Supp. 2d 644,</w:t>
      </w:r>
      <w:r w:rsidRPr="0D0463AD">
        <w:rPr>
          <w:rFonts w:ascii="Times New Roman" w:eastAsia="Times New Roman" w:hAnsi="Times New Roman" w:cs="Times New Roman"/>
          <w:sz w:val="24"/>
          <w:szCs w:val="24"/>
        </w:rPr>
        <w:t xml:space="preserve"> 2005.</w:t>
      </w:r>
    </w:p>
    <w:p w14:paraId="5EFF9DF6" w14:textId="264FE47C" w:rsidR="00585F87" w:rsidRDefault="31FB35C9" w:rsidP="0D0463AD">
      <w:pPr>
        <w:pStyle w:val="Heading1"/>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Sixth Circuit case </w:t>
      </w:r>
      <w:r w:rsidRPr="0D0463AD">
        <w:rPr>
          <w:rFonts w:ascii="Times New Roman" w:eastAsia="Times New Roman" w:hAnsi="Times New Roman" w:cs="Times New Roman"/>
          <w:b/>
          <w:bCs/>
          <w:sz w:val="24"/>
          <w:szCs w:val="24"/>
        </w:rPr>
        <w:t xml:space="preserve">Worsley Restaurants, Inc. v. </w:t>
      </w:r>
      <w:proofErr w:type="spellStart"/>
      <w:r w:rsidRPr="0D0463AD">
        <w:rPr>
          <w:rFonts w:ascii="Times New Roman" w:eastAsia="Times New Roman" w:hAnsi="Times New Roman" w:cs="Times New Roman"/>
          <w:b/>
          <w:bCs/>
          <w:sz w:val="24"/>
          <w:szCs w:val="24"/>
        </w:rPr>
        <w:t>Speedy's</w:t>
      </w:r>
      <w:proofErr w:type="spellEnd"/>
      <w:r w:rsidRPr="0D0463AD">
        <w:rPr>
          <w:rFonts w:ascii="Times New Roman" w:eastAsia="Times New Roman" w:hAnsi="Times New Roman" w:cs="Times New Roman"/>
          <w:b/>
          <w:bCs/>
          <w:sz w:val="24"/>
          <w:szCs w:val="24"/>
        </w:rPr>
        <w:t xml:space="preserve"> Hamburgers</w:t>
      </w:r>
      <w:r w:rsidRPr="0D0463AD">
        <w:rPr>
          <w:rFonts w:ascii="Times New Roman" w:eastAsia="Times New Roman" w:hAnsi="Times New Roman" w:cs="Times New Roman"/>
          <w:sz w:val="24"/>
          <w:szCs w:val="24"/>
        </w:rPr>
        <w:t>, Inc., 783 F. Supp. 347</w:t>
      </w:r>
    </w:p>
    <w:p w14:paraId="64C6B690" w14:textId="79C5D368" w:rsidR="00585F87" w:rsidRDefault="31FB35C9"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The defendant initiated their own restaurant business, opening several fast-food restaurants using the name “</w:t>
      </w:r>
      <w:proofErr w:type="spellStart"/>
      <w:r w:rsidRPr="0D0463AD">
        <w:rPr>
          <w:rFonts w:ascii="Times New Roman" w:eastAsia="Times New Roman" w:hAnsi="Times New Roman" w:cs="Times New Roman"/>
          <w:sz w:val="24"/>
          <w:szCs w:val="24"/>
        </w:rPr>
        <w:t>Speedy’s</w:t>
      </w:r>
      <w:proofErr w:type="spellEnd"/>
      <w:r w:rsidRPr="0D0463AD">
        <w:rPr>
          <w:rFonts w:ascii="Times New Roman" w:eastAsia="Times New Roman" w:hAnsi="Times New Roman" w:cs="Times New Roman"/>
          <w:sz w:val="24"/>
          <w:szCs w:val="24"/>
        </w:rPr>
        <w:t xml:space="preserve"> Hamburgers”. The plaintiff opened their own restaurant business in another part of the country several days later. The plaintiff filed a claim for trademark infringement against the defendant, and both the plaintiff and defendant filed motions for summary judgement. The court allowed the defendant’s summary judgment and denied the plaintiff’s motion for summary judgement. The court denied the plaintiff’s request as the defendant was unaware of the plaintiff’s use of the mark, and their business locations were not in the same part of the country, so there was no concern for confusion, </w:t>
      </w:r>
      <w:r w:rsidRPr="0D0463AD">
        <w:rPr>
          <w:rFonts w:ascii="Times New Roman" w:eastAsia="Times New Roman" w:hAnsi="Times New Roman" w:cs="Times New Roman"/>
          <w:i/>
          <w:iCs/>
          <w:sz w:val="24"/>
          <w:szCs w:val="24"/>
        </w:rPr>
        <w:t xml:space="preserve">Worsley Restaurants, Inc. v. </w:t>
      </w:r>
      <w:proofErr w:type="spellStart"/>
      <w:r w:rsidRPr="0D0463AD">
        <w:rPr>
          <w:rFonts w:ascii="Times New Roman" w:eastAsia="Times New Roman" w:hAnsi="Times New Roman" w:cs="Times New Roman"/>
          <w:i/>
          <w:iCs/>
          <w:sz w:val="24"/>
          <w:szCs w:val="24"/>
        </w:rPr>
        <w:t>Speedy's</w:t>
      </w:r>
      <w:proofErr w:type="spellEnd"/>
      <w:r w:rsidRPr="0D0463AD">
        <w:rPr>
          <w:rFonts w:ascii="Times New Roman" w:eastAsia="Times New Roman" w:hAnsi="Times New Roman" w:cs="Times New Roman"/>
          <w:i/>
          <w:iCs/>
          <w:sz w:val="24"/>
          <w:szCs w:val="24"/>
        </w:rPr>
        <w:t xml:space="preserve"> </w:t>
      </w:r>
      <w:r w:rsidRPr="0D0463AD">
        <w:rPr>
          <w:rFonts w:ascii="Times New Roman" w:eastAsia="Times New Roman" w:hAnsi="Times New Roman" w:cs="Times New Roman"/>
          <w:i/>
          <w:iCs/>
          <w:sz w:val="24"/>
          <w:szCs w:val="24"/>
        </w:rPr>
        <w:lastRenderedPageBreak/>
        <w:t>Hamburgers, Inc., 783 F. Supp. 347,</w:t>
      </w:r>
      <w:r w:rsidRPr="0D0463AD">
        <w:rPr>
          <w:rFonts w:ascii="Times New Roman" w:eastAsia="Times New Roman" w:hAnsi="Times New Roman" w:cs="Times New Roman"/>
          <w:sz w:val="24"/>
          <w:szCs w:val="24"/>
        </w:rPr>
        <w:t xml:space="preserve"> 1991. When determining what </w:t>
      </w:r>
      <w:proofErr w:type="gramStart"/>
      <w:r w:rsidRPr="0D0463AD">
        <w:rPr>
          <w:rFonts w:ascii="Times New Roman" w:eastAsia="Times New Roman" w:hAnsi="Times New Roman" w:cs="Times New Roman"/>
          <w:sz w:val="24"/>
          <w:szCs w:val="24"/>
        </w:rPr>
        <w:t>damages</w:t>
      </w:r>
      <w:proofErr w:type="gramEnd"/>
      <w:r w:rsidRPr="0D0463AD">
        <w:rPr>
          <w:rFonts w:ascii="Times New Roman" w:eastAsia="Times New Roman" w:hAnsi="Times New Roman" w:cs="Times New Roman"/>
          <w:sz w:val="24"/>
          <w:szCs w:val="24"/>
        </w:rPr>
        <w:t xml:space="preserve"> the client could be expected to pay, we can use this information to compare. Mr. Sawyer has not at this time accrued any losses, nor can he account for a loss of profits because of Sweet Lorraine’s Bakery. The business markets are not closely connected so there is no concern for confusion. The only damages that could be awarded may be attorney fees and court costs, should the judge consider it necessary.</w:t>
      </w:r>
    </w:p>
    <w:p w14:paraId="1F45C2E9" w14:textId="28724A82" w:rsidR="00585F87" w:rsidRDefault="31FB35C9" w:rsidP="0D0463AD">
      <w:pPr>
        <w:pStyle w:val="Heading1"/>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District Court case </w:t>
      </w:r>
      <w:r w:rsidRPr="0D0463AD">
        <w:rPr>
          <w:rFonts w:ascii="Times New Roman" w:eastAsia="Times New Roman" w:hAnsi="Times New Roman" w:cs="Times New Roman"/>
          <w:b/>
          <w:bCs/>
          <w:sz w:val="24"/>
          <w:szCs w:val="24"/>
        </w:rPr>
        <w:t xml:space="preserve">Janet Travis, Inc. v. </w:t>
      </w:r>
      <w:proofErr w:type="spellStart"/>
      <w:r w:rsidRPr="0D0463AD">
        <w:rPr>
          <w:rFonts w:ascii="Times New Roman" w:eastAsia="Times New Roman" w:hAnsi="Times New Roman" w:cs="Times New Roman"/>
          <w:b/>
          <w:bCs/>
          <w:sz w:val="24"/>
          <w:szCs w:val="24"/>
        </w:rPr>
        <w:t>Preka</w:t>
      </w:r>
      <w:proofErr w:type="spellEnd"/>
      <w:r w:rsidRPr="0D0463AD">
        <w:rPr>
          <w:rFonts w:ascii="Times New Roman" w:eastAsia="Times New Roman" w:hAnsi="Times New Roman" w:cs="Times New Roman"/>
          <w:b/>
          <w:bCs/>
          <w:sz w:val="24"/>
          <w:szCs w:val="24"/>
        </w:rPr>
        <w:t xml:space="preserve"> Holdings, L.L.C.</w:t>
      </w:r>
      <w:r w:rsidRPr="0D0463AD">
        <w:rPr>
          <w:rFonts w:ascii="Times New Roman" w:eastAsia="Times New Roman" w:hAnsi="Times New Roman" w:cs="Times New Roman"/>
          <w:sz w:val="24"/>
          <w:szCs w:val="24"/>
        </w:rPr>
        <w:t>, 306 Mich. App. 266</w:t>
      </w:r>
    </w:p>
    <w:p w14:paraId="6DD69D5D" w14:textId="537C97EF" w:rsidR="00585F87" w:rsidRDefault="31FB35C9"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The plaintiff owns a restaurant with a surname as a mark with a connection to the food service industry since the 1940’s. The defendant opened a restaurant with a name </w:t>
      </w:r>
      <w:proofErr w:type="gramStart"/>
      <w:r w:rsidRPr="0D0463AD">
        <w:rPr>
          <w:rFonts w:ascii="Times New Roman" w:eastAsia="Times New Roman" w:hAnsi="Times New Roman" w:cs="Times New Roman"/>
          <w:sz w:val="24"/>
          <w:szCs w:val="24"/>
        </w:rPr>
        <w:t>similar to</w:t>
      </w:r>
      <w:proofErr w:type="gramEnd"/>
      <w:r w:rsidRPr="0D0463AD">
        <w:rPr>
          <w:rFonts w:ascii="Times New Roman" w:eastAsia="Times New Roman" w:hAnsi="Times New Roman" w:cs="Times New Roman"/>
          <w:sz w:val="24"/>
          <w:szCs w:val="24"/>
        </w:rPr>
        <w:t xml:space="preserve"> the name of the mark held by the plaintiff. It is in the same general area as the plaintiff and likely to be confused with the surname used by the plaintiff. The lower court granted an injunction against the defendant’s use of the mark. The defendant held that the injunction should be overturned because the plaintiff’s trademark is invalid. The plaintiff’s trademark was registered; this means that the defendant was obligated to prove that the surname was not utilized by the defendant and not associated with the plaintiff’s restaurant, </w:t>
      </w:r>
      <w:r w:rsidRPr="0D0463AD">
        <w:rPr>
          <w:rFonts w:ascii="Times New Roman" w:eastAsia="Times New Roman" w:hAnsi="Times New Roman" w:cs="Times New Roman"/>
          <w:i/>
          <w:iCs/>
          <w:sz w:val="24"/>
          <w:szCs w:val="24"/>
        </w:rPr>
        <w:t xml:space="preserve">Janet Travis, Inc. v. </w:t>
      </w:r>
      <w:proofErr w:type="spellStart"/>
      <w:r w:rsidRPr="0D0463AD">
        <w:rPr>
          <w:rFonts w:ascii="Times New Roman" w:eastAsia="Times New Roman" w:hAnsi="Times New Roman" w:cs="Times New Roman"/>
          <w:i/>
          <w:iCs/>
          <w:sz w:val="24"/>
          <w:szCs w:val="24"/>
        </w:rPr>
        <w:t>Preka</w:t>
      </w:r>
      <w:proofErr w:type="spellEnd"/>
      <w:r w:rsidRPr="0D0463AD">
        <w:rPr>
          <w:rFonts w:ascii="Times New Roman" w:eastAsia="Times New Roman" w:hAnsi="Times New Roman" w:cs="Times New Roman"/>
          <w:i/>
          <w:iCs/>
          <w:sz w:val="24"/>
          <w:szCs w:val="24"/>
        </w:rPr>
        <w:t xml:space="preserve"> Holdings, L.L.C., 306 Mich. App. 266,</w:t>
      </w:r>
      <w:r w:rsidRPr="0D0463AD">
        <w:rPr>
          <w:rFonts w:ascii="Times New Roman" w:eastAsia="Times New Roman" w:hAnsi="Times New Roman" w:cs="Times New Roman"/>
          <w:sz w:val="24"/>
          <w:szCs w:val="24"/>
        </w:rPr>
        <w:t xml:space="preserve"> 2014.</w:t>
      </w:r>
    </w:p>
    <w:p w14:paraId="741D501C" w14:textId="02D17C83" w:rsidR="00585F87" w:rsidRDefault="31FB35C9"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These cases suggest that the client, Christine Donnelly, would be prudent in deciding to change the name of her business. The only one that suggests the client may have a case is a sixth circuit case which is outside of the jurisdiction of the current case. The plaintiff and the defendant are also more closely associated, thus leaving room for confusion.</w:t>
      </w:r>
    </w:p>
    <w:p w14:paraId="6B3ECE70" w14:textId="5931EAC5" w:rsidR="00585F87" w:rsidRDefault="31FB35C9"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b/>
          <w:bCs/>
          <w:sz w:val="24"/>
          <w:szCs w:val="24"/>
        </w:rPr>
        <w:t>Conclusion</w:t>
      </w:r>
    </w:p>
    <w:p w14:paraId="417DCB65" w14:textId="22CD4DEE" w:rsidR="00585F87" w:rsidRDefault="31FB35C9" w:rsidP="0D0463AD">
      <w:pPr>
        <w:spacing w:line="480" w:lineRule="auto"/>
        <w:rPr>
          <w:rFonts w:ascii="Times New Roman" w:eastAsia="Times New Roman" w:hAnsi="Times New Roman" w:cs="Times New Roman"/>
          <w:sz w:val="24"/>
          <w:szCs w:val="24"/>
        </w:rPr>
      </w:pPr>
      <w:proofErr w:type="gramStart"/>
      <w:r w:rsidRPr="0D0463AD">
        <w:rPr>
          <w:rFonts w:ascii="Times New Roman" w:eastAsia="Times New Roman" w:hAnsi="Times New Roman" w:cs="Times New Roman"/>
          <w:sz w:val="24"/>
          <w:szCs w:val="24"/>
        </w:rPr>
        <w:lastRenderedPageBreak/>
        <w:t>It would seem that it</w:t>
      </w:r>
      <w:proofErr w:type="gramEnd"/>
      <w:r w:rsidRPr="0D0463AD">
        <w:rPr>
          <w:rFonts w:ascii="Times New Roman" w:eastAsia="Times New Roman" w:hAnsi="Times New Roman" w:cs="Times New Roman"/>
          <w:sz w:val="24"/>
          <w:szCs w:val="24"/>
        </w:rPr>
        <w:t xml:space="preserve"> would behoove the client to consider acquiescing to Mr. Sawyers demands. The Lanham Act part (a), sub-section (3), sub-section of that part (A), and sub-section (a), (3), (D) both clearly state the terms for trademark infringement. These suggest Mr. Sawyer has more than sufficient grounds to prove a case for trademark infringement. Mr. Sawyer is not likely to be awarded much in the way of damages, considering there is not an accountable loss at this point. Through the evidence presented by the primary sources provided, it appears obvious that it would be to Ms. Donnelly’s benefit to change the name of her business. It could be that she will face negative repercussions if she proceeds with litigation. As it is the objective of the firm to guide the client towards the path most beneficial to her, we would like to advise that she give in to Mr. Sawyer’s demands and change the name of her business. </w:t>
      </w:r>
    </w:p>
    <w:p w14:paraId="70277697" w14:textId="7A9C88E0" w:rsidR="00585F87" w:rsidRDefault="31FB35C9"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I hope this memo serves the intended purpose. Should you need anything further from me on this subject, I’d be happy to offer any assistance I may.</w:t>
      </w:r>
    </w:p>
    <w:p w14:paraId="5543E93F" w14:textId="60B42F21" w:rsidR="00585F87" w:rsidRDefault="31FB35C9"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Sincerely,</w:t>
      </w:r>
    </w:p>
    <w:p w14:paraId="1FE4B404" w14:textId="2087AC57" w:rsidR="00585F87" w:rsidRDefault="31FB35C9"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Danielle Pittman, A. Paralegal</w:t>
      </w:r>
    </w:p>
    <w:p w14:paraId="2C078E63" w14:textId="067E6DEE" w:rsidR="00585F87" w:rsidRDefault="00585F87" w:rsidP="0D0463AD"/>
    <w:p w14:paraId="50B3A754" w14:textId="50251A09" w:rsidR="0D0463AD" w:rsidRDefault="0D0463AD" w:rsidP="0D0463AD"/>
    <w:p w14:paraId="2B0BF1E1" w14:textId="0A40E5CF" w:rsidR="0D0463AD" w:rsidRDefault="0D0463AD" w:rsidP="0D0463AD"/>
    <w:p w14:paraId="2ABF2ECD" w14:textId="27FB520A" w:rsidR="0D0463AD" w:rsidRDefault="0D0463AD" w:rsidP="0D0463AD"/>
    <w:p w14:paraId="53DA51AC" w14:textId="141B2E60" w:rsidR="0D0463AD" w:rsidRDefault="0D0463AD" w:rsidP="0D0463AD"/>
    <w:p w14:paraId="2D5508A5" w14:textId="0B347A0E" w:rsidR="0D0463AD" w:rsidRDefault="0D0463AD" w:rsidP="0D0463AD"/>
    <w:p w14:paraId="5D7A9FBD" w14:textId="7BDA2A06" w:rsidR="0D0463AD" w:rsidRDefault="0D0463AD" w:rsidP="0D0463AD"/>
    <w:p w14:paraId="67884E12" w14:textId="14F1A841" w:rsidR="0D0463AD" w:rsidRDefault="0D0463AD" w:rsidP="0D0463AD"/>
    <w:p w14:paraId="028B6015" w14:textId="3A3AF64C" w:rsidR="0D0463AD" w:rsidRDefault="0D0463AD" w:rsidP="0D0463AD"/>
    <w:p w14:paraId="369EF9DF" w14:textId="6B3A92F4" w:rsidR="0D0463AD" w:rsidRDefault="0D0463AD" w:rsidP="0D0463AD"/>
    <w:p w14:paraId="463EEB8A" w14:textId="6AA40832" w:rsidR="26C0EFE3" w:rsidRDefault="00776A3C" w:rsidP="0D0463AD">
      <w:pPr>
        <w:spacing w:before="40" w:after="0" w:line="480" w:lineRule="auto"/>
        <w:jc w:val="center"/>
        <w:rPr>
          <w:rFonts w:ascii="Times New Roman" w:eastAsia="Times New Roman" w:hAnsi="Times New Roman" w:cs="Times New Roman"/>
          <w:color w:val="1F3763"/>
          <w:sz w:val="24"/>
          <w:szCs w:val="24"/>
        </w:rPr>
      </w:pPr>
      <w:hyperlink r:id="rId8">
        <w:r w:rsidR="26C0EFE3" w:rsidRPr="0D0463AD">
          <w:rPr>
            <w:rStyle w:val="Hyperlink"/>
            <w:rFonts w:ascii="Times New Roman" w:eastAsia="Times New Roman" w:hAnsi="Times New Roman" w:cs="Times New Roman"/>
            <w:b/>
            <w:bCs/>
            <w:sz w:val="24"/>
            <w:szCs w:val="24"/>
          </w:rPr>
          <w:t>W4: Midterm Exam</w:t>
        </w:r>
      </w:hyperlink>
    </w:p>
    <w:p w14:paraId="40A90AAA" w14:textId="1B30D690" w:rsidR="0D0463AD" w:rsidRDefault="0D0463AD" w:rsidP="0D0463AD">
      <w:pPr>
        <w:spacing w:before="40" w:after="0" w:line="480" w:lineRule="auto"/>
        <w:jc w:val="center"/>
        <w:rPr>
          <w:rFonts w:ascii="Times New Roman" w:eastAsia="Times New Roman" w:hAnsi="Times New Roman" w:cs="Times New Roman"/>
          <w:b/>
          <w:bCs/>
          <w:sz w:val="24"/>
          <w:szCs w:val="24"/>
        </w:rPr>
      </w:pPr>
    </w:p>
    <w:tbl>
      <w:tblPr>
        <w:tblW w:w="0" w:type="auto"/>
        <w:tblLayout w:type="fixed"/>
        <w:tblLook w:val="04A0" w:firstRow="1" w:lastRow="0" w:firstColumn="1" w:lastColumn="0" w:noHBand="0" w:noVBand="1"/>
      </w:tblPr>
      <w:tblGrid>
        <w:gridCol w:w="4680"/>
        <w:gridCol w:w="4680"/>
      </w:tblGrid>
      <w:tr w:rsidR="0D0463AD" w14:paraId="4BC81C99" w14:textId="77777777" w:rsidTr="0D0463AD">
        <w:trPr>
          <w:trHeight w:val="990"/>
        </w:trPr>
        <w:tc>
          <w:tcPr>
            <w:tcW w:w="4680" w:type="dxa"/>
            <w:tcBorders>
              <w:top w:val="nil"/>
              <w:left w:val="nil"/>
              <w:bottom w:val="nil"/>
              <w:right w:val="nil"/>
            </w:tcBorders>
          </w:tcPr>
          <w:p w14:paraId="745EEF9E" w14:textId="2C52FA3E" w:rsidR="0D0463AD" w:rsidRDefault="0D0463AD" w:rsidP="0D0463AD">
            <w:pPr>
              <w:spacing w:beforeAutospacing="1" w:afterAutospacing="1" w:line="480" w:lineRule="auto"/>
              <w:rPr>
                <w:rFonts w:ascii="Arial Black" w:eastAsia="Arial Black" w:hAnsi="Arial Black" w:cs="Arial Black"/>
              </w:rPr>
            </w:pPr>
            <w:r w:rsidRPr="0D0463AD">
              <w:rPr>
                <w:rFonts w:ascii="Arial Black" w:eastAsia="Arial Black" w:hAnsi="Arial Black" w:cs="Arial Black"/>
              </w:rPr>
              <w:t> </w:t>
            </w:r>
          </w:p>
        </w:tc>
        <w:tc>
          <w:tcPr>
            <w:tcW w:w="4680" w:type="dxa"/>
            <w:tcBorders>
              <w:top w:val="nil"/>
              <w:left w:val="nil"/>
              <w:bottom w:val="nil"/>
              <w:right w:val="nil"/>
            </w:tcBorders>
            <w:shd w:val="clear" w:color="auto" w:fill="404040" w:themeFill="text1" w:themeFillTint="BF"/>
            <w:vAlign w:val="center"/>
          </w:tcPr>
          <w:p w14:paraId="3F6096CD" w14:textId="79FE998C" w:rsidR="0D0463AD" w:rsidRDefault="0D0463AD" w:rsidP="0D0463AD">
            <w:pPr>
              <w:spacing w:beforeAutospacing="1" w:afterAutospacing="1" w:line="480" w:lineRule="auto"/>
              <w:jc w:val="center"/>
              <w:rPr>
                <w:rFonts w:ascii="Book Antiqua" w:eastAsia="Book Antiqua" w:hAnsi="Book Antiqua" w:cs="Book Antiqua"/>
                <w:sz w:val="24"/>
                <w:szCs w:val="24"/>
              </w:rPr>
            </w:pPr>
            <w:r w:rsidRPr="0D0463AD">
              <w:rPr>
                <w:rFonts w:ascii="Book Antiqua" w:eastAsia="Book Antiqua" w:hAnsi="Book Antiqua" w:cs="Book Antiqua"/>
                <w:sz w:val="24"/>
                <w:szCs w:val="24"/>
              </w:rPr>
              <w:t>Howard &amp; Mills, P.C.</w:t>
            </w:r>
          </w:p>
        </w:tc>
      </w:tr>
    </w:tbl>
    <w:p w14:paraId="7515E3CC" w14:textId="1FD303AE" w:rsidR="0C648F68" w:rsidRDefault="0C648F68" w:rsidP="0D0463AD">
      <w:pPr>
        <w:spacing w:beforeAutospacing="1" w:afterAutospacing="1" w:line="480" w:lineRule="auto"/>
        <w:jc w:val="right"/>
        <w:rPr>
          <w:rFonts w:ascii="Times New Roman" w:eastAsia="Times New Roman" w:hAnsi="Times New Roman" w:cs="Times New Roman"/>
          <w:color w:val="000000" w:themeColor="text1"/>
          <w:sz w:val="96"/>
          <w:szCs w:val="96"/>
        </w:rPr>
      </w:pPr>
      <w:r w:rsidRPr="0D0463AD">
        <w:rPr>
          <w:rFonts w:ascii="Times New Roman" w:eastAsia="Times New Roman" w:hAnsi="Times New Roman" w:cs="Times New Roman"/>
          <w:b/>
          <w:bCs/>
          <w:color w:val="000000" w:themeColor="text1"/>
          <w:sz w:val="96"/>
          <w:szCs w:val="96"/>
        </w:rPr>
        <w:t>  Memo</w:t>
      </w:r>
      <w:r w:rsidRPr="0D0463AD">
        <w:rPr>
          <w:rFonts w:ascii="Times New Roman" w:eastAsia="Times New Roman" w:hAnsi="Times New Roman" w:cs="Times New Roman"/>
          <w:color w:val="000000" w:themeColor="text1"/>
          <w:sz w:val="96"/>
          <w:szCs w:val="96"/>
        </w:rPr>
        <w:t> </w:t>
      </w:r>
    </w:p>
    <w:tbl>
      <w:tblPr>
        <w:tblW w:w="0" w:type="auto"/>
        <w:tblLayout w:type="fixed"/>
        <w:tblLook w:val="04A0" w:firstRow="1" w:lastRow="0" w:firstColumn="1" w:lastColumn="0" w:noHBand="0" w:noVBand="1"/>
      </w:tblPr>
      <w:tblGrid>
        <w:gridCol w:w="1245"/>
        <w:gridCol w:w="8100"/>
      </w:tblGrid>
      <w:tr w:rsidR="0D0463AD" w14:paraId="3351EC57" w14:textId="77777777" w:rsidTr="0D0463AD">
        <w:trPr>
          <w:trHeight w:val="570"/>
        </w:trPr>
        <w:tc>
          <w:tcPr>
            <w:tcW w:w="1245" w:type="dxa"/>
            <w:tcBorders>
              <w:top w:val="nil"/>
              <w:left w:val="nil"/>
              <w:bottom w:val="nil"/>
              <w:right w:val="nil"/>
            </w:tcBorders>
            <w:vAlign w:val="bottom"/>
          </w:tcPr>
          <w:p w14:paraId="46E75F9B" w14:textId="6292C588" w:rsidR="0D0463AD" w:rsidRDefault="0D0463AD" w:rsidP="0D0463AD">
            <w:pPr>
              <w:spacing w:beforeAutospacing="1" w:afterAutospacing="1" w:line="480" w:lineRule="auto"/>
              <w:rPr>
                <w:rFonts w:ascii="Times New Roman" w:eastAsia="Times New Roman" w:hAnsi="Times New Roman" w:cs="Times New Roman"/>
                <w:color w:val="2F5496" w:themeColor="accent1" w:themeShade="BF"/>
                <w:sz w:val="28"/>
                <w:szCs w:val="28"/>
              </w:rPr>
            </w:pPr>
            <w:r w:rsidRPr="0D0463AD">
              <w:rPr>
                <w:rFonts w:ascii="Times New Roman" w:eastAsia="Times New Roman" w:hAnsi="Times New Roman" w:cs="Times New Roman"/>
                <w:color w:val="2F5496" w:themeColor="accent1" w:themeShade="BF"/>
                <w:sz w:val="28"/>
                <w:szCs w:val="28"/>
              </w:rPr>
              <w:t>To: </w:t>
            </w:r>
          </w:p>
        </w:tc>
        <w:tc>
          <w:tcPr>
            <w:tcW w:w="8100" w:type="dxa"/>
            <w:tcBorders>
              <w:top w:val="nil"/>
              <w:left w:val="nil"/>
              <w:bottom w:val="nil"/>
              <w:right w:val="nil"/>
            </w:tcBorders>
            <w:vAlign w:val="bottom"/>
          </w:tcPr>
          <w:p w14:paraId="5976C009" w14:textId="3B9FBA67" w:rsidR="0D0463AD" w:rsidRDefault="0D0463AD" w:rsidP="0D0463AD">
            <w:pPr>
              <w:spacing w:beforeAutospacing="1" w:afterAutospacing="1" w:line="480" w:lineRule="auto"/>
              <w:rPr>
                <w:rFonts w:ascii="Times New Roman" w:eastAsia="Times New Roman" w:hAnsi="Times New Roman" w:cs="Times New Roman"/>
              </w:rPr>
            </w:pPr>
            <w:r w:rsidRPr="0D0463AD">
              <w:rPr>
                <w:rFonts w:ascii="Times New Roman" w:eastAsia="Times New Roman" w:hAnsi="Times New Roman" w:cs="Times New Roman"/>
              </w:rPr>
              <w:t>Lisa Howard (Managing Partner) </w:t>
            </w:r>
          </w:p>
        </w:tc>
      </w:tr>
      <w:tr w:rsidR="0D0463AD" w14:paraId="1ADED9C4" w14:textId="77777777" w:rsidTr="0D0463AD">
        <w:trPr>
          <w:trHeight w:val="570"/>
        </w:trPr>
        <w:tc>
          <w:tcPr>
            <w:tcW w:w="1245" w:type="dxa"/>
            <w:tcBorders>
              <w:top w:val="nil"/>
              <w:left w:val="nil"/>
              <w:bottom w:val="nil"/>
              <w:right w:val="nil"/>
            </w:tcBorders>
            <w:vAlign w:val="bottom"/>
          </w:tcPr>
          <w:p w14:paraId="69BB99B4" w14:textId="61FE9A40" w:rsidR="0D0463AD" w:rsidRDefault="0D0463AD" w:rsidP="0D0463AD">
            <w:pPr>
              <w:spacing w:beforeAutospacing="1" w:afterAutospacing="1" w:line="480" w:lineRule="auto"/>
              <w:rPr>
                <w:rFonts w:ascii="Times New Roman" w:eastAsia="Times New Roman" w:hAnsi="Times New Roman" w:cs="Times New Roman"/>
                <w:color w:val="2F5496" w:themeColor="accent1" w:themeShade="BF"/>
                <w:sz w:val="28"/>
                <w:szCs w:val="28"/>
              </w:rPr>
            </w:pPr>
            <w:r w:rsidRPr="0D0463AD">
              <w:rPr>
                <w:rFonts w:ascii="Times New Roman" w:eastAsia="Times New Roman" w:hAnsi="Times New Roman" w:cs="Times New Roman"/>
                <w:color w:val="2F5496" w:themeColor="accent1" w:themeShade="BF"/>
                <w:sz w:val="28"/>
                <w:szCs w:val="28"/>
              </w:rPr>
              <w:t>From: </w:t>
            </w:r>
          </w:p>
        </w:tc>
        <w:tc>
          <w:tcPr>
            <w:tcW w:w="8100" w:type="dxa"/>
            <w:tcBorders>
              <w:top w:val="nil"/>
              <w:left w:val="nil"/>
              <w:bottom w:val="nil"/>
              <w:right w:val="nil"/>
            </w:tcBorders>
            <w:vAlign w:val="bottom"/>
          </w:tcPr>
          <w:p w14:paraId="05CF5D45" w14:textId="74FB4BD4" w:rsidR="0D0463AD" w:rsidRDefault="0D0463AD" w:rsidP="0D0463AD">
            <w:pPr>
              <w:spacing w:beforeAutospacing="1" w:afterAutospacing="1" w:line="480" w:lineRule="auto"/>
              <w:rPr>
                <w:rFonts w:ascii="Times New Roman" w:eastAsia="Times New Roman" w:hAnsi="Times New Roman" w:cs="Times New Roman"/>
              </w:rPr>
            </w:pPr>
            <w:r w:rsidRPr="0D0463AD">
              <w:rPr>
                <w:rFonts w:ascii="Times New Roman" w:eastAsia="Times New Roman" w:hAnsi="Times New Roman" w:cs="Times New Roman"/>
              </w:rPr>
              <w:t>Danielle Pittman</w:t>
            </w:r>
          </w:p>
        </w:tc>
      </w:tr>
      <w:tr w:rsidR="0D0463AD" w14:paraId="78BC2E0F" w14:textId="77777777" w:rsidTr="0D0463AD">
        <w:trPr>
          <w:trHeight w:val="570"/>
        </w:trPr>
        <w:tc>
          <w:tcPr>
            <w:tcW w:w="1245" w:type="dxa"/>
            <w:tcBorders>
              <w:top w:val="nil"/>
              <w:left w:val="nil"/>
              <w:bottom w:val="nil"/>
              <w:right w:val="nil"/>
            </w:tcBorders>
            <w:vAlign w:val="bottom"/>
          </w:tcPr>
          <w:p w14:paraId="3D526165" w14:textId="15994A2D" w:rsidR="0D0463AD" w:rsidRDefault="0D0463AD" w:rsidP="0D0463AD">
            <w:pPr>
              <w:spacing w:beforeAutospacing="1" w:afterAutospacing="1" w:line="480" w:lineRule="auto"/>
              <w:rPr>
                <w:rFonts w:ascii="Times New Roman" w:eastAsia="Times New Roman" w:hAnsi="Times New Roman" w:cs="Times New Roman"/>
                <w:color w:val="2F5496" w:themeColor="accent1" w:themeShade="BF"/>
                <w:sz w:val="28"/>
                <w:szCs w:val="28"/>
              </w:rPr>
            </w:pPr>
            <w:r w:rsidRPr="0D0463AD">
              <w:rPr>
                <w:rFonts w:ascii="Times New Roman" w:eastAsia="Times New Roman" w:hAnsi="Times New Roman" w:cs="Times New Roman"/>
                <w:color w:val="2F5496" w:themeColor="accent1" w:themeShade="BF"/>
                <w:sz w:val="28"/>
                <w:szCs w:val="28"/>
              </w:rPr>
              <w:t>cc: </w:t>
            </w:r>
          </w:p>
        </w:tc>
        <w:tc>
          <w:tcPr>
            <w:tcW w:w="8100" w:type="dxa"/>
            <w:tcBorders>
              <w:top w:val="nil"/>
              <w:left w:val="nil"/>
              <w:bottom w:val="nil"/>
              <w:right w:val="nil"/>
            </w:tcBorders>
            <w:vAlign w:val="bottom"/>
          </w:tcPr>
          <w:p w14:paraId="27AB4D55" w14:textId="69AE4262" w:rsidR="0D0463AD" w:rsidRDefault="0D0463AD" w:rsidP="0D0463AD">
            <w:pPr>
              <w:spacing w:beforeAutospacing="1" w:afterAutospacing="1" w:line="480" w:lineRule="auto"/>
              <w:rPr>
                <w:rFonts w:ascii="Times New Roman" w:eastAsia="Times New Roman" w:hAnsi="Times New Roman" w:cs="Times New Roman"/>
              </w:rPr>
            </w:pPr>
            <w:r w:rsidRPr="0D0463AD">
              <w:rPr>
                <w:rFonts w:ascii="Times New Roman" w:eastAsia="Times New Roman" w:hAnsi="Times New Roman" w:cs="Times New Roman"/>
              </w:rPr>
              <w:t>Lisa Howard, Managing Partner</w:t>
            </w:r>
          </w:p>
        </w:tc>
      </w:tr>
      <w:tr w:rsidR="0D0463AD" w14:paraId="1C7676F2" w14:textId="77777777" w:rsidTr="0D0463AD">
        <w:trPr>
          <w:trHeight w:val="570"/>
        </w:trPr>
        <w:tc>
          <w:tcPr>
            <w:tcW w:w="1245" w:type="dxa"/>
            <w:tcBorders>
              <w:top w:val="nil"/>
              <w:left w:val="nil"/>
              <w:bottom w:val="nil"/>
              <w:right w:val="nil"/>
            </w:tcBorders>
            <w:vAlign w:val="bottom"/>
          </w:tcPr>
          <w:p w14:paraId="1329B2A2" w14:textId="7393BE18" w:rsidR="0D0463AD" w:rsidRDefault="0D0463AD" w:rsidP="0D0463AD">
            <w:pPr>
              <w:spacing w:beforeAutospacing="1" w:afterAutospacing="1" w:line="480" w:lineRule="auto"/>
              <w:rPr>
                <w:rFonts w:ascii="Times New Roman" w:eastAsia="Times New Roman" w:hAnsi="Times New Roman" w:cs="Times New Roman"/>
                <w:color w:val="2F5496" w:themeColor="accent1" w:themeShade="BF"/>
                <w:sz w:val="28"/>
                <w:szCs w:val="28"/>
              </w:rPr>
            </w:pPr>
            <w:r w:rsidRPr="0D0463AD">
              <w:rPr>
                <w:rFonts w:ascii="Times New Roman" w:eastAsia="Times New Roman" w:hAnsi="Times New Roman" w:cs="Times New Roman"/>
                <w:color w:val="2F5496" w:themeColor="accent1" w:themeShade="BF"/>
                <w:sz w:val="28"/>
                <w:szCs w:val="28"/>
              </w:rPr>
              <w:t>Date: </w:t>
            </w:r>
          </w:p>
        </w:tc>
        <w:tc>
          <w:tcPr>
            <w:tcW w:w="8100" w:type="dxa"/>
            <w:tcBorders>
              <w:top w:val="nil"/>
              <w:left w:val="nil"/>
              <w:bottom w:val="nil"/>
              <w:right w:val="nil"/>
            </w:tcBorders>
            <w:vAlign w:val="bottom"/>
          </w:tcPr>
          <w:p w14:paraId="67E30343" w14:textId="1F7DB752" w:rsidR="0D0463AD" w:rsidRDefault="0D0463AD" w:rsidP="0D0463AD">
            <w:pPr>
              <w:spacing w:beforeAutospacing="1" w:afterAutospacing="1" w:line="480" w:lineRule="auto"/>
              <w:rPr>
                <w:rFonts w:ascii="Times New Roman" w:eastAsia="Times New Roman" w:hAnsi="Times New Roman" w:cs="Times New Roman"/>
              </w:rPr>
            </w:pPr>
            <w:r w:rsidRPr="0D0463AD">
              <w:rPr>
                <w:rFonts w:ascii="Times New Roman" w:eastAsia="Times New Roman" w:hAnsi="Times New Roman" w:cs="Times New Roman"/>
              </w:rPr>
              <w:t>0</w:t>
            </w:r>
            <w:r w:rsidR="45271057" w:rsidRPr="0D0463AD">
              <w:rPr>
                <w:rFonts w:ascii="Times New Roman" w:eastAsia="Times New Roman" w:hAnsi="Times New Roman" w:cs="Times New Roman"/>
              </w:rPr>
              <w:t>3</w:t>
            </w:r>
            <w:r w:rsidRPr="0D0463AD">
              <w:rPr>
                <w:rFonts w:ascii="Times New Roman" w:eastAsia="Times New Roman" w:hAnsi="Times New Roman" w:cs="Times New Roman"/>
              </w:rPr>
              <w:t>/</w:t>
            </w:r>
            <w:r w:rsidR="30A7FBCD" w:rsidRPr="0D0463AD">
              <w:rPr>
                <w:rFonts w:ascii="Times New Roman" w:eastAsia="Times New Roman" w:hAnsi="Times New Roman" w:cs="Times New Roman"/>
              </w:rPr>
              <w:t>21</w:t>
            </w:r>
            <w:r w:rsidRPr="0D0463AD">
              <w:rPr>
                <w:rFonts w:ascii="Times New Roman" w:eastAsia="Times New Roman" w:hAnsi="Times New Roman" w:cs="Times New Roman"/>
              </w:rPr>
              <w:t>/2021</w:t>
            </w:r>
          </w:p>
        </w:tc>
      </w:tr>
      <w:tr w:rsidR="0D0463AD" w14:paraId="754CF015" w14:textId="77777777" w:rsidTr="0D0463AD">
        <w:trPr>
          <w:trHeight w:val="570"/>
        </w:trPr>
        <w:tc>
          <w:tcPr>
            <w:tcW w:w="1245" w:type="dxa"/>
            <w:tcBorders>
              <w:top w:val="nil"/>
              <w:left w:val="nil"/>
              <w:bottom w:val="nil"/>
              <w:right w:val="nil"/>
            </w:tcBorders>
            <w:vAlign w:val="bottom"/>
          </w:tcPr>
          <w:p w14:paraId="291BECB4" w14:textId="45AB6BA3" w:rsidR="0D0463AD" w:rsidRDefault="0D0463AD" w:rsidP="0D0463AD">
            <w:pPr>
              <w:spacing w:beforeAutospacing="1" w:afterAutospacing="1" w:line="480" w:lineRule="auto"/>
              <w:rPr>
                <w:rFonts w:ascii="Times New Roman" w:eastAsia="Times New Roman" w:hAnsi="Times New Roman" w:cs="Times New Roman"/>
                <w:color w:val="2F5496" w:themeColor="accent1" w:themeShade="BF"/>
                <w:sz w:val="28"/>
                <w:szCs w:val="28"/>
              </w:rPr>
            </w:pPr>
            <w:r w:rsidRPr="0D0463AD">
              <w:rPr>
                <w:rFonts w:ascii="Times New Roman" w:eastAsia="Times New Roman" w:hAnsi="Times New Roman" w:cs="Times New Roman"/>
                <w:color w:val="2F5496" w:themeColor="accent1" w:themeShade="BF"/>
                <w:sz w:val="28"/>
                <w:szCs w:val="28"/>
              </w:rPr>
              <w:t>Re: </w:t>
            </w:r>
          </w:p>
        </w:tc>
        <w:tc>
          <w:tcPr>
            <w:tcW w:w="8100" w:type="dxa"/>
            <w:tcBorders>
              <w:top w:val="nil"/>
              <w:left w:val="nil"/>
              <w:bottom w:val="nil"/>
              <w:right w:val="nil"/>
            </w:tcBorders>
            <w:vAlign w:val="bottom"/>
          </w:tcPr>
          <w:p w14:paraId="37319FCB" w14:textId="79CCB660" w:rsidR="0F21F563" w:rsidRDefault="0F21F563" w:rsidP="0D0463AD">
            <w:pPr>
              <w:spacing w:beforeAutospacing="1" w:afterAutospacing="1" w:line="480" w:lineRule="auto"/>
              <w:rPr>
                <w:rFonts w:ascii="Times New Roman" w:eastAsia="Times New Roman" w:hAnsi="Times New Roman" w:cs="Times New Roman"/>
              </w:rPr>
            </w:pPr>
            <w:r w:rsidRPr="0D0463AD">
              <w:rPr>
                <w:rFonts w:ascii="Times New Roman" w:eastAsia="Times New Roman" w:hAnsi="Times New Roman" w:cs="Times New Roman"/>
              </w:rPr>
              <w:t>Conducting Research Memo</w:t>
            </w:r>
          </w:p>
        </w:tc>
      </w:tr>
      <w:tr w:rsidR="0D0463AD" w14:paraId="7774BD08" w14:textId="77777777" w:rsidTr="0D0463AD">
        <w:trPr>
          <w:trHeight w:val="300"/>
        </w:trPr>
        <w:tc>
          <w:tcPr>
            <w:tcW w:w="1245" w:type="dxa"/>
            <w:tcBorders>
              <w:top w:val="nil"/>
              <w:left w:val="nil"/>
              <w:bottom w:val="single" w:sz="6" w:space="0" w:color="auto"/>
              <w:right w:val="nil"/>
            </w:tcBorders>
            <w:vAlign w:val="center"/>
          </w:tcPr>
          <w:p w14:paraId="1657F120" w14:textId="4261355F" w:rsidR="0D0463AD" w:rsidRDefault="0D0463AD" w:rsidP="0D0463AD">
            <w:pPr>
              <w:spacing w:beforeAutospacing="1" w:afterAutospacing="1" w:line="480" w:lineRule="auto"/>
              <w:rPr>
                <w:rFonts w:ascii="Times New Roman" w:eastAsia="Times New Roman" w:hAnsi="Times New Roman" w:cs="Times New Roman"/>
              </w:rPr>
            </w:pPr>
            <w:r w:rsidRPr="0D0463AD">
              <w:rPr>
                <w:rFonts w:ascii="Times New Roman" w:eastAsia="Times New Roman" w:hAnsi="Times New Roman" w:cs="Times New Roman"/>
              </w:rPr>
              <w:t>  </w:t>
            </w:r>
          </w:p>
        </w:tc>
        <w:tc>
          <w:tcPr>
            <w:tcW w:w="8100" w:type="dxa"/>
            <w:tcBorders>
              <w:top w:val="nil"/>
              <w:left w:val="nil"/>
              <w:bottom w:val="single" w:sz="6" w:space="0" w:color="auto"/>
              <w:right w:val="nil"/>
            </w:tcBorders>
            <w:vAlign w:val="center"/>
          </w:tcPr>
          <w:p w14:paraId="2AE99EE2" w14:textId="3BAFD4AA" w:rsidR="0D0463AD" w:rsidRDefault="0D0463AD" w:rsidP="0D0463AD">
            <w:pPr>
              <w:spacing w:beforeAutospacing="1" w:afterAutospacing="1" w:line="480" w:lineRule="auto"/>
              <w:rPr>
                <w:rFonts w:ascii="Times New Roman" w:eastAsia="Times New Roman" w:hAnsi="Times New Roman" w:cs="Times New Roman"/>
              </w:rPr>
            </w:pPr>
            <w:r w:rsidRPr="0D0463AD">
              <w:rPr>
                <w:rFonts w:ascii="Times New Roman" w:eastAsia="Times New Roman" w:hAnsi="Times New Roman" w:cs="Times New Roman"/>
              </w:rPr>
              <w:t> </w:t>
            </w:r>
          </w:p>
        </w:tc>
      </w:tr>
    </w:tbl>
    <w:p w14:paraId="5FD137DB" w14:textId="5C6C314D" w:rsidR="0D0463AD" w:rsidRDefault="0D0463AD" w:rsidP="0D0463AD">
      <w:pPr>
        <w:rPr>
          <w:rFonts w:ascii="Calibri" w:eastAsia="Calibri" w:hAnsi="Calibri" w:cs="Calibri"/>
        </w:rPr>
      </w:pPr>
    </w:p>
    <w:p w14:paraId="6FC447F0" w14:textId="5C6FC955"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Dear Ms. Howard, Managing Partner</w:t>
      </w:r>
    </w:p>
    <w:p w14:paraId="3724AE5B" w14:textId="253F37FD"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As the client has approved the research plan, we must now follow through with conducting the research necessary to the case. We must determine the likelihood of Mr. Sawyer being successful in his claim of trademark infringement, what type of damages the client will face if Mr. Sawyer wins his claim, and whether the client should change the name of her business or stand firm. We will analyze “The Lanham Act”, a relevant United States Supreme Court Case, two Sixth Circuit </w:t>
      </w:r>
      <w:r w:rsidRPr="0D0463AD">
        <w:rPr>
          <w:rFonts w:ascii="Times New Roman" w:eastAsia="Times New Roman" w:hAnsi="Times New Roman" w:cs="Times New Roman"/>
          <w:sz w:val="24"/>
          <w:szCs w:val="24"/>
        </w:rPr>
        <w:lastRenderedPageBreak/>
        <w:t>Cases and a District Court Case. These sources will provide us with the necessary information to give our client the answers she’s searching for.</w:t>
      </w:r>
    </w:p>
    <w:p w14:paraId="10C8D22E" w14:textId="7D64059F"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We intend to refer to The Lanham Act, part (a), sub-section (3), sub-section of that part (A), to obtain clear answers to our client’s questions. This section states that no one has the right to use a trademark other than the trademark owner. In no manner that is identical, or </w:t>
      </w:r>
      <w:proofErr w:type="gramStart"/>
      <w:r w:rsidRPr="0D0463AD">
        <w:rPr>
          <w:rFonts w:ascii="Times New Roman" w:eastAsia="Times New Roman" w:hAnsi="Times New Roman" w:cs="Times New Roman"/>
          <w:sz w:val="24"/>
          <w:szCs w:val="24"/>
        </w:rPr>
        <w:t>similar to</w:t>
      </w:r>
      <w:proofErr w:type="gramEnd"/>
      <w:r w:rsidRPr="0D0463AD">
        <w:rPr>
          <w:rFonts w:ascii="Times New Roman" w:eastAsia="Times New Roman" w:hAnsi="Times New Roman" w:cs="Times New Roman"/>
          <w:sz w:val="24"/>
          <w:szCs w:val="24"/>
        </w:rPr>
        <w:t xml:space="preserve"> is it in any way acceptable, </w:t>
      </w:r>
      <w:r w:rsidRPr="0D0463AD">
        <w:rPr>
          <w:rFonts w:ascii="Times New Roman" w:eastAsia="Times New Roman" w:hAnsi="Times New Roman" w:cs="Times New Roman"/>
          <w:i/>
          <w:iCs/>
          <w:sz w:val="24"/>
          <w:szCs w:val="24"/>
        </w:rPr>
        <w:t>15 USCS § 1051,</w:t>
      </w:r>
      <w:r w:rsidRPr="0D0463AD">
        <w:rPr>
          <w:rFonts w:ascii="Times New Roman" w:eastAsia="Times New Roman" w:hAnsi="Times New Roman" w:cs="Times New Roman"/>
          <w:sz w:val="24"/>
          <w:szCs w:val="24"/>
        </w:rPr>
        <w:t xml:space="preserve"> 2021. </w:t>
      </w:r>
    </w:p>
    <w:p w14:paraId="362AAB5E" w14:textId="434E63C8"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We can also refer to the sub-section of (a), (3), (D); in the case of every application attempting to make use of the trademark the applicant must, </w:t>
      </w:r>
      <w:r w:rsidRPr="0D0463AD">
        <w:rPr>
          <w:rFonts w:ascii="Times New Roman" w:eastAsia="Times New Roman" w:hAnsi="Times New Roman" w:cs="Times New Roman"/>
          <w:i/>
          <w:iCs/>
          <w:sz w:val="24"/>
          <w:szCs w:val="24"/>
        </w:rPr>
        <w:t>15 USCS § 1051,</w:t>
      </w:r>
      <w:r w:rsidRPr="0D0463AD">
        <w:rPr>
          <w:rFonts w:ascii="Times New Roman" w:eastAsia="Times New Roman" w:hAnsi="Times New Roman" w:cs="Times New Roman"/>
          <w:sz w:val="24"/>
          <w:szCs w:val="24"/>
        </w:rPr>
        <w:t xml:space="preserve"> 2021.</w:t>
      </w:r>
    </w:p>
    <w:p w14:paraId="1348751D" w14:textId="36CD1B6F"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“(I)state exceptions to the claim of exclusive use: </w:t>
      </w:r>
    </w:p>
    <w:p w14:paraId="00FFA683" w14:textId="4757F1E3"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(ii) shall specify, to the extent of the verifier’s knowledge—</w:t>
      </w:r>
    </w:p>
    <w:p w14:paraId="196BC1DF" w14:textId="036554D0" w:rsidR="26C0EFE3" w:rsidRDefault="26C0EFE3" w:rsidP="0D0463AD">
      <w:pPr>
        <w:spacing w:line="480" w:lineRule="auto"/>
        <w:ind w:firstLine="720"/>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(I) any concurrent use by </w:t>
      </w:r>
      <w:proofErr w:type="gramStart"/>
      <w:r w:rsidRPr="0D0463AD">
        <w:rPr>
          <w:rFonts w:ascii="Times New Roman" w:eastAsia="Times New Roman" w:hAnsi="Times New Roman" w:cs="Times New Roman"/>
          <w:sz w:val="24"/>
          <w:szCs w:val="24"/>
        </w:rPr>
        <w:t>others;</w:t>
      </w:r>
      <w:proofErr w:type="gramEnd"/>
    </w:p>
    <w:p w14:paraId="0914A117" w14:textId="2ACA209C" w:rsidR="26C0EFE3" w:rsidRDefault="26C0EFE3" w:rsidP="0D0463AD">
      <w:pPr>
        <w:spacing w:line="480" w:lineRule="auto"/>
        <w:ind w:firstLine="720"/>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(II) the goods on or in connection with which and the areas in which each concurrent use </w:t>
      </w:r>
      <w:r>
        <w:tab/>
      </w:r>
      <w:proofErr w:type="gramStart"/>
      <w:r w:rsidRPr="0D0463AD">
        <w:rPr>
          <w:rFonts w:ascii="Times New Roman" w:eastAsia="Times New Roman" w:hAnsi="Times New Roman" w:cs="Times New Roman"/>
          <w:sz w:val="24"/>
          <w:szCs w:val="24"/>
        </w:rPr>
        <w:t>exists;</w:t>
      </w:r>
      <w:proofErr w:type="gramEnd"/>
    </w:p>
    <w:p w14:paraId="2AC6EEE8" w14:textId="66311CF1" w:rsidR="26C0EFE3" w:rsidRDefault="26C0EFE3" w:rsidP="0D0463AD">
      <w:pPr>
        <w:spacing w:line="480" w:lineRule="auto"/>
        <w:ind w:firstLine="720"/>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(III) the periods of each use; and</w:t>
      </w:r>
    </w:p>
    <w:p w14:paraId="6C9293F8" w14:textId="2C1745D3" w:rsidR="26C0EFE3" w:rsidRDefault="26C0EFE3" w:rsidP="0D0463AD">
      <w:pPr>
        <w:spacing w:line="480" w:lineRule="auto"/>
        <w:ind w:firstLine="720"/>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(IV) the goods and area for which the applicant desires registration”, </w:t>
      </w:r>
      <w:r w:rsidRPr="0D0463AD">
        <w:rPr>
          <w:rFonts w:ascii="Times New Roman" w:eastAsia="Times New Roman" w:hAnsi="Times New Roman" w:cs="Times New Roman"/>
          <w:i/>
          <w:iCs/>
          <w:sz w:val="24"/>
          <w:szCs w:val="24"/>
        </w:rPr>
        <w:t>15 USCS § 1051,</w:t>
      </w:r>
      <w:r w:rsidRPr="0D0463AD">
        <w:rPr>
          <w:rFonts w:ascii="Times New Roman" w:eastAsia="Times New Roman" w:hAnsi="Times New Roman" w:cs="Times New Roman"/>
          <w:sz w:val="24"/>
          <w:szCs w:val="24"/>
        </w:rPr>
        <w:t xml:space="preserve"> </w:t>
      </w:r>
      <w:r>
        <w:tab/>
      </w:r>
      <w:r w:rsidRPr="0D0463AD">
        <w:rPr>
          <w:rFonts w:ascii="Times New Roman" w:eastAsia="Times New Roman" w:hAnsi="Times New Roman" w:cs="Times New Roman"/>
          <w:sz w:val="24"/>
          <w:szCs w:val="24"/>
        </w:rPr>
        <w:t>2021.</w:t>
      </w:r>
    </w:p>
    <w:p w14:paraId="78751CB8" w14:textId="040DAE84"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“(4) The applicant shall comply with such rules or regulations as may be prescribed by the Director. The Director shall promulgate rules prescribing the requirements for the application and for obtaining a filing date herein”, </w:t>
      </w:r>
      <w:r w:rsidRPr="0D0463AD">
        <w:rPr>
          <w:rFonts w:ascii="Times New Roman" w:eastAsia="Times New Roman" w:hAnsi="Times New Roman" w:cs="Times New Roman"/>
          <w:i/>
          <w:iCs/>
          <w:sz w:val="24"/>
          <w:szCs w:val="24"/>
        </w:rPr>
        <w:t>15 USCS § 1051,</w:t>
      </w:r>
      <w:r w:rsidRPr="0D0463AD">
        <w:rPr>
          <w:rFonts w:ascii="Times New Roman" w:eastAsia="Times New Roman" w:hAnsi="Times New Roman" w:cs="Times New Roman"/>
          <w:sz w:val="24"/>
          <w:szCs w:val="24"/>
        </w:rPr>
        <w:t xml:space="preserve"> 2021. This will be useful in clarifying the trademark owner’s exclusivity to the title “Sweet Lorraine’s”.  </w:t>
      </w:r>
    </w:p>
    <w:p w14:paraId="55370016" w14:textId="7A40BE97"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lastRenderedPageBreak/>
        <w:t>The Lanham ACT under 15 USCS § 1051 is a primary source of law. A primary source is a statute, case law, or constitutions within the proper jurisdiction as it relates to the current case. The Lanham Act qualifies as a mandatory authority as it is binding and must be followed by the courts.</w:t>
      </w:r>
    </w:p>
    <w:p w14:paraId="435B2F20" w14:textId="77777777" w:rsidR="004D6B80"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A U.S. Supreme Court case has been located that is </w:t>
      </w:r>
      <w:proofErr w:type="gramStart"/>
      <w:r w:rsidRPr="0D0463AD">
        <w:rPr>
          <w:rFonts w:ascii="Times New Roman" w:eastAsia="Times New Roman" w:hAnsi="Times New Roman" w:cs="Times New Roman"/>
          <w:sz w:val="24"/>
          <w:szCs w:val="24"/>
        </w:rPr>
        <w:t>similar to</w:t>
      </w:r>
      <w:proofErr w:type="gramEnd"/>
      <w:r w:rsidRPr="0D0463AD">
        <w:rPr>
          <w:rFonts w:ascii="Times New Roman" w:eastAsia="Times New Roman" w:hAnsi="Times New Roman" w:cs="Times New Roman"/>
          <w:sz w:val="24"/>
          <w:szCs w:val="24"/>
        </w:rPr>
        <w:t xml:space="preserve"> the case being analyzed. Regarding the case</w:t>
      </w:r>
      <w:r w:rsidR="004D6B80">
        <w:rPr>
          <w:rFonts w:ascii="Times New Roman" w:eastAsia="Times New Roman" w:hAnsi="Times New Roman" w:cs="Times New Roman"/>
          <w:sz w:val="24"/>
          <w:szCs w:val="24"/>
        </w:rPr>
        <w:t>:</w:t>
      </w:r>
      <w:r w:rsidRPr="0D0463AD">
        <w:rPr>
          <w:rFonts w:ascii="Times New Roman" w:eastAsia="Times New Roman" w:hAnsi="Times New Roman" w:cs="Times New Roman"/>
          <w:sz w:val="24"/>
          <w:szCs w:val="24"/>
        </w:rPr>
        <w:t xml:space="preserve"> </w:t>
      </w:r>
    </w:p>
    <w:p w14:paraId="54DD5890" w14:textId="4AD527DC" w:rsidR="004D6B80" w:rsidRPr="004D6B80" w:rsidRDefault="26C0EFE3" w:rsidP="0D0463AD">
      <w:pPr>
        <w:spacing w:line="480" w:lineRule="auto"/>
        <w:rPr>
          <w:rFonts w:ascii="Times New Roman" w:eastAsia="Times New Roman" w:hAnsi="Times New Roman" w:cs="Times New Roman"/>
          <w:b/>
          <w:bCs/>
          <w:sz w:val="24"/>
          <w:szCs w:val="24"/>
        </w:rPr>
      </w:pPr>
      <w:r w:rsidRPr="004D6B80">
        <w:rPr>
          <w:rFonts w:ascii="Times New Roman" w:eastAsia="Times New Roman" w:hAnsi="Times New Roman" w:cs="Times New Roman"/>
          <w:b/>
          <w:bCs/>
          <w:sz w:val="24"/>
          <w:szCs w:val="24"/>
        </w:rPr>
        <w:t>Hamilton-Brown Shoe Co. v. Wolf Bros. &amp; Co., 240 U.S. 251</w:t>
      </w:r>
    </w:p>
    <w:p w14:paraId="3CEFA509" w14:textId="00C1ED98" w:rsidR="26C0EFE3" w:rsidRDefault="004D6B80" w:rsidP="0D0463AD">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w:t>
      </w:r>
      <w:r w:rsidR="26C0EFE3" w:rsidRPr="0D0463AD">
        <w:rPr>
          <w:rFonts w:ascii="Times New Roman" w:eastAsia="Times New Roman" w:hAnsi="Times New Roman" w:cs="Times New Roman"/>
          <w:sz w:val="24"/>
          <w:szCs w:val="24"/>
        </w:rPr>
        <w:t xml:space="preserve">he petitioner initiated a claim against the defendant for trademark infringement due to their use of a name of a type of shoe for which the claimant held the rights to manufacture. As it is a U.S. Supreme Court case it is a primary source, as </w:t>
      </w:r>
      <w:proofErr w:type="gramStart"/>
      <w:r w:rsidR="26C0EFE3" w:rsidRPr="0D0463AD">
        <w:rPr>
          <w:rFonts w:ascii="Times New Roman" w:eastAsia="Times New Roman" w:hAnsi="Times New Roman" w:cs="Times New Roman"/>
          <w:sz w:val="24"/>
          <w:szCs w:val="24"/>
        </w:rPr>
        <w:t>all of</w:t>
      </w:r>
      <w:proofErr w:type="gramEnd"/>
      <w:r w:rsidR="26C0EFE3" w:rsidRPr="0D0463AD">
        <w:rPr>
          <w:rFonts w:ascii="Times New Roman" w:eastAsia="Times New Roman" w:hAnsi="Times New Roman" w:cs="Times New Roman"/>
          <w:sz w:val="24"/>
          <w:szCs w:val="24"/>
        </w:rPr>
        <w:t xml:space="preserve"> the lower courts are obligated to abide by the case law set forth by the U.S. Supreme Court. It is considered a mandatory authority as court decisions made by the U.S. Supreme Court is considered binding and must be followed by all other courts, </w:t>
      </w:r>
      <w:r w:rsidR="26C0EFE3" w:rsidRPr="0D0463AD">
        <w:rPr>
          <w:rFonts w:ascii="Times New Roman" w:eastAsia="Times New Roman" w:hAnsi="Times New Roman" w:cs="Times New Roman"/>
          <w:i/>
          <w:iCs/>
          <w:sz w:val="24"/>
          <w:szCs w:val="24"/>
        </w:rPr>
        <w:t>Hamilton-Brown Shoe Co. v. Wolf Bros. &amp; Co., 240 U.S. 251,</w:t>
      </w:r>
      <w:r w:rsidR="26C0EFE3" w:rsidRPr="0D0463AD">
        <w:rPr>
          <w:rFonts w:ascii="Times New Roman" w:eastAsia="Times New Roman" w:hAnsi="Times New Roman" w:cs="Times New Roman"/>
          <w:sz w:val="24"/>
          <w:szCs w:val="24"/>
        </w:rPr>
        <w:t xml:space="preserve"> 1916.</w:t>
      </w:r>
    </w:p>
    <w:p w14:paraId="0239C631" w14:textId="4C505EED" w:rsidR="26C0EFE3" w:rsidRDefault="26C0EFE3" w:rsidP="0D0463AD">
      <w:pPr>
        <w:rPr>
          <w:rFonts w:ascii="Times New Roman" w:eastAsia="Times New Roman" w:hAnsi="Times New Roman" w:cs="Times New Roman"/>
          <w:sz w:val="24"/>
          <w:szCs w:val="24"/>
        </w:rPr>
      </w:pPr>
      <w:r w:rsidRPr="0D0463AD">
        <w:rPr>
          <w:rFonts w:ascii="Times New Roman" w:eastAsia="Times New Roman" w:hAnsi="Times New Roman" w:cs="Times New Roman"/>
          <w:b/>
          <w:bCs/>
          <w:sz w:val="24"/>
          <w:szCs w:val="24"/>
        </w:rPr>
        <w:t>Facts:</w:t>
      </w:r>
    </w:p>
    <w:p w14:paraId="5259DF53" w14:textId="69464A0F"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The claimant held the rights to the trademark name </w:t>
      </w:r>
      <w:proofErr w:type="gramStart"/>
      <w:r w:rsidRPr="0D0463AD">
        <w:rPr>
          <w:rFonts w:ascii="Times New Roman" w:eastAsia="Times New Roman" w:hAnsi="Times New Roman" w:cs="Times New Roman"/>
          <w:sz w:val="24"/>
          <w:szCs w:val="24"/>
        </w:rPr>
        <w:t>of  “</w:t>
      </w:r>
      <w:proofErr w:type="gramEnd"/>
      <w:r w:rsidRPr="0D0463AD">
        <w:rPr>
          <w:rFonts w:ascii="Times New Roman" w:eastAsia="Times New Roman" w:hAnsi="Times New Roman" w:cs="Times New Roman"/>
          <w:sz w:val="24"/>
          <w:szCs w:val="24"/>
        </w:rPr>
        <w:t xml:space="preserve">American Girl” which was a title used by the shoe manufacturer to designate their product. The trademark owner has exclusive rights to the use of the title. An infringer must give up the profits made by its use to the original owner. The shoe manufacturer that misused the title, used a name by “American Lady” as a similar label of the trademark owner's product name. The lower court based the decree on the profits gained by the defendant. The decree was affirmed as to the claimant recovering profits made by the defendant. The claimant was not limited in his recovery of the profits. He was also not obligated to prove what portion of the profits he was entitled to as he was entitled to all. It is just that he be </w:t>
      </w:r>
      <w:r w:rsidRPr="0D0463AD">
        <w:rPr>
          <w:rFonts w:ascii="Times New Roman" w:eastAsia="Times New Roman" w:hAnsi="Times New Roman" w:cs="Times New Roman"/>
          <w:sz w:val="24"/>
          <w:szCs w:val="24"/>
        </w:rPr>
        <w:lastRenderedPageBreak/>
        <w:t xml:space="preserve">entitled to </w:t>
      </w:r>
      <w:proofErr w:type="gramStart"/>
      <w:r w:rsidRPr="0D0463AD">
        <w:rPr>
          <w:rFonts w:ascii="Times New Roman" w:eastAsia="Times New Roman" w:hAnsi="Times New Roman" w:cs="Times New Roman"/>
          <w:sz w:val="24"/>
          <w:szCs w:val="24"/>
        </w:rPr>
        <w:t>all of</w:t>
      </w:r>
      <w:proofErr w:type="gramEnd"/>
      <w:r w:rsidRPr="0D0463AD">
        <w:rPr>
          <w:rFonts w:ascii="Times New Roman" w:eastAsia="Times New Roman" w:hAnsi="Times New Roman" w:cs="Times New Roman"/>
          <w:sz w:val="24"/>
          <w:szCs w:val="24"/>
        </w:rPr>
        <w:t xml:space="preserve"> the profits than that some or any be withheld, </w:t>
      </w:r>
      <w:r w:rsidRPr="0D0463AD">
        <w:rPr>
          <w:rFonts w:ascii="Times New Roman" w:eastAsia="Times New Roman" w:hAnsi="Times New Roman" w:cs="Times New Roman"/>
          <w:i/>
          <w:iCs/>
          <w:sz w:val="24"/>
          <w:szCs w:val="24"/>
        </w:rPr>
        <w:t>Hamilton-Brown Shoe Co. v. Wolf Bros. &amp; Co., 240 U.S. 251,</w:t>
      </w:r>
      <w:r w:rsidRPr="0D0463AD">
        <w:rPr>
          <w:rFonts w:ascii="Times New Roman" w:eastAsia="Times New Roman" w:hAnsi="Times New Roman" w:cs="Times New Roman"/>
          <w:sz w:val="24"/>
          <w:szCs w:val="24"/>
        </w:rPr>
        <w:t xml:space="preserve"> 1916.</w:t>
      </w:r>
    </w:p>
    <w:p w14:paraId="118F4F7E" w14:textId="6C73F20D"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b/>
          <w:bCs/>
          <w:sz w:val="24"/>
          <w:szCs w:val="24"/>
        </w:rPr>
        <w:t>Issue:</w:t>
      </w:r>
    </w:p>
    <w:p w14:paraId="2CBC15DC" w14:textId="6A9FC1A4"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Is it a violation of law to use a name or title similar or identical to that of a name held by another company that is exclusively held by them? </w:t>
      </w:r>
      <w:r w:rsidRPr="0D0463AD">
        <w:rPr>
          <w:rFonts w:ascii="Times New Roman" w:eastAsia="Times New Roman" w:hAnsi="Times New Roman" w:cs="Times New Roman"/>
          <w:i/>
          <w:iCs/>
          <w:sz w:val="24"/>
          <w:szCs w:val="24"/>
        </w:rPr>
        <w:t>Hamilton-Brown Shoe Co. v. Wolf Bros. &amp; Co., 240 U.S. 251,</w:t>
      </w:r>
      <w:r w:rsidRPr="0D0463AD">
        <w:rPr>
          <w:rFonts w:ascii="Times New Roman" w:eastAsia="Times New Roman" w:hAnsi="Times New Roman" w:cs="Times New Roman"/>
          <w:sz w:val="24"/>
          <w:szCs w:val="24"/>
        </w:rPr>
        <w:t xml:space="preserve"> 1916</w:t>
      </w:r>
    </w:p>
    <w:p w14:paraId="7D4B8D50" w14:textId="1B1383B8"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Is it a Trademark Infringement to use a name or appropriation employed by another company? </w:t>
      </w:r>
      <w:r w:rsidRPr="0D0463AD">
        <w:rPr>
          <w:rFonts w:ascii="Times New Roman" w:eastAsia="Times New Roman" w:hAnsi="Times New Roman" w:cs="Times New Roman"/>
          <w:i/>
          <w:iCs/>
          <w:sz w:val="24"/>
          <w:szCs w:val="24"/>
        </w:rPr>
        <w:t>Hamilton-Brown Shoe Co. v. Wolf Bros. &amp; Co., 240 U.S. 251,</w:t>
      </w:r>
      <w:r w:rsidRPr="0D0463AD">
        <w:rPr>
          <w:rFonts w:ascii="Times New Roman" w:eastAsia="Times New Roman" w:hAnsi="Times New Roman" w:cs="Times New Roman"/>
          <w:sz w:val="24"/>
          <w:szCs w:val="24"/>
        </w:rPr>
        <w:t xml:space="preserve"> 1916.</w:t>
      </w:r>
    </w:p>
    <w:p w14:paraId="3D0449DF" w14:textId="6A389AF1"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b/>
          <w:bCs/>
          <w:sz w:val="24"/>
          <w:szCs w:val="24"/>
        </w:rPr>
        <w:t>Rule:</w:t>
      </w:r>
    </w:p>
    <w:p w14:paraId="51AA0560" w14:textId="455C3E82" w:rsidR="26C0EFE3" w:rsidRDefault="00776A3C" w:rsidP="0D0463AD">
      <w:pPr>
        <w:spacing w:line="480" w:lineRule="auto"/>
        <w:rPr>
          <w:rFonts w:ascii="Times New Roman" w:eastAsia="Times New Roman" w:hAnsi="Times New Roman" w:cs="Times New Roman"/>
          <w:sz w:val="24"/>
          <w:szCs w:val="24"/>
        </w:rPr>
      </w:pPr>
      <w:hyperlink r:id="rId9">
        <w:r w:rsidR="26C0EFE3" w:rsidRPr="0D0463AD">
          <w:rPr>
            <w:rStyle w:val="Hyperlink"/>
            <w:rFonts w:ascii="Times New Roman" w:eastAsia="Times New Roman" w:hAnsi="Times New Roman" w:cs="Times New Roman"/>
            <w:sz w:val="24"/>
            <w:szCs w:val="24"/>
          </w:rPr>
          <w:t>McLean v. Fleming, 96 U.S. 245, 252</w:t>
        </w:r>
      </w:hyperlink>
      <w:r w:rsidR="26C0EFE3" w:rsidRPr="0D0463AD">
        <w:rPr>
          <w:rFonts w:ascii="Times New Roman" w:eastAsia="Times New Roman" w:hAnsi="Times New Roman" w:cs="Times New Roman"/>
          <w:sz w:val="24"/>
          <w:szCs w:val="24"/>
        </w:rPr>
        <w:t xml:space="preserve">; </w:t>
      </w:r>
    </w:p>
    <w:p w14:paraId="45F8499B" w14:textId="37FD5139" w:rsidR="26C0EFE3" w:rsidRDefault="00776A3C" w:rsidP="0D0463AD">
      <w:pPr>
        <w:spacing w:line="480" w:lineRule="auto"/>
        <w:rPr>
          <w:rFonts w:ascii="Calibri" w:eastAsia="Calibri" w:hAnsi="Calibri" w:cs="Calibri"/>
        </w:rPr>
      </w:pPr>
      <w:hyperlink r:id="rId10">
        <w:r w:rsidR="26C0EFE3" w:rsidRPr="0D0463AD">
          <w:rPr>
            <w:rStyle w:val="Hyperlink"/>
            <w:rFonts w:ascii="Times New Roman" w:eastAsia="Times New Roman" w:hAnsi="Times New Roman" w:cs="Times New Roman"/>
            <w:sz w:val="24"/>
            <w:szCs w:val="24"/>
          </w:rPr>
          <w:t>Manhattan Medicine Co. v. Wood, 108 U.S. 218, 224</w:t>
        </w:r>
      </w:hyperlink>
    </w:p>
    <w:p w14:paraId="1AAF7609" w14:textId="5AED71C3"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The cited cases made the case that a trademark is a sort of property, for which profits are gained by which the true owner is entitled to, </w:t>
      </w:r>
      <w:r w:rsidRPr="0D0463AD">
        <w:rPr>
          <w:rFonts w:ascii="Times New Roman" w:eastAsia="Times New Roman" w:hAnsi="Times New Roman" w:cs="Times New Roman"/>
          <w:i/>
          <w:iCs/>
          <w:sz w:val="24"/>
          <w:szCs w:val="24"/>
        </w:rPr>
        <w:t>Hamilton-Brown Shoe Co. v. Wolf Bros. &amp; Co., 240 U.S. 251,</w:t>
      </w:r>
      <w:r w:rsidRPr="0D0463AD">
        <w:rPr>
          <w:rFonts w:ascii="Times New Roman" w:eastAsia="Times New Roman" w:hAnsi="Times New Roman" w:cs="Times New Roman"/>
          <w:sz w:val="24"/>
          <w:szCs w:val="24"/>
        </w:rPr>
        <w:t xml:space="preserve"> 1916.</w:t>
      </w:r>
    </w:p>
    <w:p w14:paraId="1865FA53" w14:textId="1972FFCE" w:rsidR="26C0EFE3" w:rsidRDefault="00776A3C" w:rsidP="0D0463AD">
      <w:pPr>
        <w:spacing w:line="480" w:lineRule="auto"/>
        <w:rPr>
          <w:rFonts w:ascii="Times New Roman" w:eastAsia="Times New Roman" w:hAnsi="Times New Roman" w:cs="Times New Roman"/>
          <w:sz w:val="24"/>
          <w:szCs w:val="24"/>
        </w:rPr>
      </w:pPr>
      <w:hyperlink r:id="rId11">
        <w:r w:rsidR="26C0EFE3" w:rsidRPr="0D0463AD">
          <w:rPr>
            <w:rStyle w:val="Hyperlink"/>
            <w:rFonts w:ascii="Times New Roman" w:eastAsia="Times New Roman" w:hAnsi="Times New Roman" w:cs="Times New Roman"/>
            <w:sz w:val="24"/>
            <w:szCs w:val="24"/>
          </w:rPr>
          <w:t>Root v. Railway, 105 U.S. 189, 214</w:t>
        </w:r>
      </w:hyperlink>
      <w:r w:rsidR="26C0EFE3" w:rsidRPr="0D0463AD">
        <w:rPr>
          <w:rFonts w:ascii="Times New Roman" w:eastAsia="Times New Roman" w:hAnsi="Times New Roman" w:cs="Times New Roman"/>
          <w:sz w:val="24"/>
          <w:szCs w:val="24"/>
        </w:rPr>
        <w:t xml:space="preserve">,  </w:t>
      </w:r>
    </w:p>
    <w:p w14:paraId="346F0946" w14:textId="75AD8D33" w:rsidR="26C0EFE3" w:rsidRDefault="00776A3C" w:rsidP="0D0463AD">
      <w:pPr>
        <w:spacing w:line="480" w:lineRule="auto"/>
        <w:rPr>
          <w:rFonts w:ascii="Calibri" w:eastAsia="Calibri" w:hAnsi="Calibri" w:cs="Calibri"/>
        </w:rPr>
      </w:pPr>
      <w:hyperlink r:id="rId12">
        <w:r w:rsidR="26C0EFE3" w:rsidRPr="0D0463AD">
          <w:rPr>
            <w:rStyle w:val="Hyperlink"/>
            <w:rFonts w:ascii="Times New Roman" w:eastAsia="Times New Roman" w:hAnsi="Times New Roman" w:cs="Times New Roman"/>
            <w:sz w:val="24"/>
            <w:szCs w:val="24"/>
          </w:rPr>
          <w:t>Tilghman v. Proctor, 125 U.S. 136, 148</w:t>
        </w:r>
      </w:hyperlink>
    </w:p>
    <w:p w14:paraId="19FFBD13" w14:textId="2839A24D"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The above cited cases argued that </w:t>
      </w:r>
      <w:proofErr w:type="gramStart"/>
      <w:r w:rsidRPr="0D0463AD">
        <w:rPr>
          <w:rFonts w:ascii="Times New Roman" w:eastAsia="Times New Roman" w:hAnsi="Times New Roman" w:cs="Times New Roman"/>
          <w:sz w:val="24"/>
          <w:szCs w:val="24"/>
        </w:rPr>
        <w:t>in order for</w:t>
      </w:r>
      <w:proofErr w:type="gramEnd"/>
      <w:r w:rsidRPr="0D0463AD">
        <w:rPr>
          <w:rFonts w:ascii="Times New Roman" w:eastAsia="Times New Roman" w:hAnsi="Times New Roman" w:cs="Times New Roman"/>
          <w:sz w:val="24"/>
          <w:szCs w:val="24"/>
        </w:rPr>
        <w:t xml:space="preserve"> there to be an equitable ruling the claimant was entitled to full restitution of profits gained by the defendant, </w:t>
      </w:r>
      <w:r w:rsidRPr="0D0463AD">
        <w:rPr>
          <w:rFonts w:ascii="Times New Roman" w:eastAsia="Times New Roman" w:hAnsi="Times New Roman" w:cs="Times New Roman"/>
          <w:i/>
          <w:iCs/>
          <w:sz w:val="24"/>
          <w:szCs w:val="24"/>
        </w:rPr>
        <w:t>Hamilton-Brown Shoe Co. v. Wolf Bros. &amp; Co., 240 U.S. 251,</w:t>
      </w:r>
      <w:r w:rsidRPr="0D0463AD">
        <w:rPr>
          <w:rFonts w:ascii="Times New Roman" w:eastAsia="Times New Roman" w:hAnsi="Times New Roman" w:cs="Times New Roman"/>
          <w:sz w:val="24"/>
          <w:szCs w:val="24"/>
        </w:rPr>
        <w:t xml:space="preserve"> 1916.</w:t>
      </w:r>
    </w:p>
    <w:p w14:paraId="280A8DC9" w14:textId="00075BFA"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b/>
          <w:bCs/>
          <w:sz w:val="24"/>
          <w:szCs w:val="24"/>
        </w:rPr>
        <w:t>Analysis:</w:t>
      </w:r>
    </w:p>
    <w:p w14:paraId="1FB99B66" w14:textId="52F697A2"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lastRenderedPageBreak/>
        <w:t xml:space="preserve">Upon analysis of the cases cited in which the court used when making their ruling, it is plausible that the court would rule in favor of the claimant. As we apply the other cases, we see that the judgement correlates with the time and regarding the statutes and other judgements in place at the time. The defendant misused a similar label to that of the defendant’s property and was not entitled to the profits gained by their unlawful act, </w:t>
      </w:r>
      <w:r w:rsidRPr="0D0463AD">
        <w:rPr>
          <w:rFonts w:ascii="Times New Roman" w:eastAsia="Times New Roman" w:hAnsi="Times New Roman" w:cs="Times New Roman"/>
          <w:i/>
          <w:iCs/>
          <w:sz w:val="24"/>
          <w:szCs w:val="24"/>
        </w:rPr>
        <w:t>Hamilton-Brown Shoe Co. v. Wolf Bros. &amp; Co., 240 U.S. 251,</w:t>
      </w:r>
      <w:r w:rsidRPr="0D0463AD">
        <w:rPr>
          <w:rFonts w:ascii="Times New Roman" w:eastAsia="Times New Roman" w:hAnsi="Times New Roman" w:cs="Times New Roman"/>
          <w:sz w:val="24"/>
          <w:szCs w:val="24"/>
        </w:rPr>
        <w:t xml:space="preserve"> 1916.</w:t>
      </w:r>
    </w:p>
    <w:p w14:paraId="35C2B92D" w14:textId="6CED2302"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b/>
          <w:bCs/>
          <w:sz w:val="24"/>
          <w:szCs w:val="24"/>
        </w:rPr>
        <w:t>Conclusion:</w:t>
      </w:r>
    </w:p>
    <w:p w14:paraId="30444024" w14:textId="4D7C671C"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The Supreme Court affirmed the lower court's decision and ruled that the defendant’s use of the name was an infringement of the petitioner's property and had no right to the profits gained by the fraudulent act. The court ruled that the petitioner was entitled to </w:t>
      </w:r>
      <w:proofErr w:type="gramStart"/>
      <w:r w:rsidRPr="0D0463AD">
        <w:rPr>
          <w:rFonts w:ascii="Times New Roman" w:eastAsia="Times New Roman" w:hAnsi="Times New Roman" w:cs="Times New Roman"/>
          <w:sz w:val="24"/>
          <w:szCs w:val="24"/>
        </w:rPr>
        <w:t>all of</w:t>
      </w:r>
      <w:proofErr w:type="gramEnd"/>
      <w:r w:rsidRPr="0D0463AD">
        <w:rPr>
          <w:rFonts w:ascii="Times New Roman" w:eastAsia="Times New Roman" w:hAnsi="Times New Roman" w:cs="Times New Roman"/>
          <w:sz w:val="24"/>
          <w:szCs w:val="24"/>
        </w:rPr>
        <w:t xml:space="preserve"> the profits gained by the defendant as they could not divide between the value held by the shoes themselves and the gain realized by the misappropriation of the plaintiff’s property, </w:t>
      </w:r>
      <w:r w:rsidRPr="0D0463AD">
        <w:rPr>
          <w:rFonts w:ascii="Times New Roman" w:eastAsia="Times New Roman" w:hAnsi="Times New Roman" w:cs="Times New Roman"/>
          <w:i/>
          <w:iCs/>
          <w:sz w:val="24"/>
          <w:szCs w:val="24"/>
        </w:rPr>
        <w:t>Hamilton-Brown Shoe Co. v. Wolf Bros. &amp; Co., 240 U.S. 251,</w:t>
      </w:r>
      <w:r w:rsidRPr="0D0463AD">
        <w:rPr>
          <w:rFonts w:ascii="Times New Roman" w:eastAsia="Times New Roman" w:hAnsi="Times New Roman" w:cs="Times New Roman"/>
          <w:sz w:val="24"/>
          <w:szCs w:val="24"/>
        </w:rPr>
        <w:t xml:space="preserve"> 1916.</w:t>
      </w:r>
    </w:p>
    <w:p w14:paraId="7073002C" w14:textId="77777777" w:rsidR="004D6B80"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Upon location of the Sixth Circuit case</w:t>
      </w:r>
      <w:r w:rsidR="004D6B80">
        <w:rPr>
          <w:rFonts w:ascii="Times New Roman" w:eastAsia="Times New Roman" w:hAnsi="Times New Roman" w:cs="Times New Roman"/>
          <w:sz w:val="24"/>
          <w:szCs w:val="24"/>
        </w:rPr>
        <w:t>:</w:t>
      </w:r>
      <w:r w:rsidRPr="0D0463AD">
        <w:rPr>
          <w:rFonts w:ascii="Times New Roman" w:eastAsia="Times New Roman" w:hAnsi="Times New Roman" w:cs="Times New Roman"/>
          <w:sz w:val="24"/>
          <w:szCs w:val="24"/>
        </w:rPr>
        <w:t xml:space="preserve"> </w:t>
      </w:r>
    </w:p>
    <w:p w14:paraId="06CBCC21" w14:textId="2EB90BE7" w:rsidR="004D6B80" w:rsidRPr="004D6B80" w:rsidRDefault="26C0EFE3" w:rsidP="0D0463AD">
      <w:pPr>
        <w:spacing w:line="480" w:lineRule="auto"/>
        <w:rPr>
          <w:rFonts w:ascii="Times New Roman" w:eastAsia="Times New Roman" w:hAnsi="Times New Roman" w:cs="Times New Roman"/>
          <w:b/>
          <w:bCs/>
          <w:sz w:val="24"/>
          <w:szCs w:val="24"/>
        </w:rPr>
      </w:pPr>
      <w:r w:rsidRPr="004D6B80">
        <w:rPr>
          <w:rFonts w:ascii="Times New Roman" w:eastAsia="Times New Roman" w:hAnsi="Times New Roman" w:cs="Times New Roman"/>
          <w:b/>
          <w:bCs/>
          <w:sz w:val="24"/>
          <w:szCs w:val="24"/>
        </w:rPr>
        <w:t>Audi AG v. D'Amato, 381 F. Supp. 2d 644</w:t>
      </w:r>
    </w:p>
    <w:p w14:paraId="69A6891C" w14:textId="0CECF7B1" w:rsidR="26C0EFE3" w:rsidRDefault="004D6B80" w:rsidP="0D0463AD">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w:t>
      </w:r>
      <w:r w:rsidR="26C0EFE3" w:rsidRPr="0D0463AD">
        <w:rPr>
          <w:rFonts w:ascii="Times New Roman" w:eastAsia="Times New Roman" w:hAnsi="Times New Roman" w:cs="Times New Roman"/>
          <w:sz w:val="24"/>
          <w:szCs w:val="24"/>
        </w:rPr>
        <w:t>s it describes a scenario comparable to the case we’re analyzing. It is a primary source as it is a superior court. It qualifies as a mandatory authority and is a binding authority, A</w:t>
      </w:r>
      <w:r w:rsidR="26C0EFE3" w:rsidRPr="0D0463AD">
        <w:rPr>
          <w:rFonts w:ascii="Times New Roman" w:eastAsia="Times New Roman" w:hAnsi="Times New Roman" w:cs="Times New Roman"/>
          <w:i/>
          <w:iCs/>
          <w:sz w:val="24"/>
          <w:szCs w:val="24"/>
        </w:rPr>
        <w:t>udi AG v. D'Amato, 381 F. Supp. 2d 644,</w:t>
      </w:r>
      <w:r w:rsidR="26C0EFE3" w:rsidRPr="0D0463AD">
        <w:rPr>
          <w:rFonts w:ascii="Times New Roman" w:eastAsia="Times New Roman" w:hAnsi="Times New Roman" w:cs="Times New Roman"/>
          <w:sz w:val="24"/>
          <w:szCs w:val="24"/>
        </w:rPr>
        <w:t xml:space="preserve"> 2005.</w:t>
      </w:r>
    </w:p>
    <w:p w14:paraId="10B7EE11" w14:textId="4898DA06"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b/>
          <w:bCs/>
          <w:sz w:val="24"/>
          <w:szCs w:val="24"/>
        </w:rPr>
        <w:t>Facts:</w:t>
      </w:r>
    </w:p>
    <w:p w14:paraId="3DA50CAA" w14:textId="06A5CAA3"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The plaintiff, Audi </w:t>
      </w:r>
      <w:proofErr w:type="gramStart"/>
      <w:r w:rsidRPr="0D0463AD">
        <w:rPr>
          <w:rFonts w:ascii="Times New Roman" w:eastAsia="Times New Roman" w:hAnsi="Times New Roman" w:cs="Times New Roman"/>
          <w:sz w:val="24"/>
          <w:szCs w:val="24"/>
        </w:rPr>
        <w:t>AG</w:t>
      </w:r>
      <w:proofErr w:type="gramEnd"/>
      <w:r w:rsidRPr="0D0463AD">
        <w:rPr>
          <w:rFonts w:ascii="Times New Roman" w:eastAsia="Times New Roman" w:hAnsi="Times New Roman" w:cs="Times New Roman"/>
          <w:sz w:val="24"/>
          <w:szCs w:val="24"/>
        </w:rPr>
        <w:t xml:space="preserve"> and Volkswagen of America, have filed a claim against defendant, Bob D’Amato for a claim of trademark infringement associated with their name, logo, and product </w:t>
      </w:r>
      <w:r w:rsidRPr="0D0463AD">
        <w:rPr>
          <w:rFonts w:ascii="Times New Roman" w:eastAsia="Times New Roman" w:hAnsi="Times New Roman" w:cs="Times New Roman"/>
          <w:sz w:val="24"/>
          <w:szCs w:val="24"/>
        </w:rPr>
        <w:lastRenderedPageBreak/>
        <w:t xml:space="preserve">names. The defendant claimed to have permission from members of the Audi corporation to make use of the trademark registrations. The defendant alleged that as he had altered his website to be transparent as to not be linked or directly associated with the Audi corporation, therefore he should be absolved of any guilt. The court held that the plaintiff was entitled to summary judgement on all claims filed against the defendant. The defendant clearly was using the marks to make a profit. As both the plaintiff and defendant were selling online using the marks this caused a sense of confusion, </w:t>
      </w:r>
      <w:r w:rsidRPr="0D0463AD">
        <w:rPr>
          <w:rFonts w:ascii="Times New Roman" w:eastAsia="Times New Roman" w:hAnsi="Times New Roman" w:cs="Times New Roman"/>
          <w:i/>
          <w:iCs/>
          <w:sz w:val="24"/>
          <w:szCs w:val="24"/>
        </w:rPr>
        <w:t>Audi AG v. D'Amato, 381 F. Supp. 2d 644,</w:t>
      </w:r>
      <w:r w:rsidRPr="0D0463AD">
        <w:rPr>
          <w:rFonts w:ascii="Times New Roman" w:eastAsia="Times New Roman" w:hAnsi="Times New Roman" w:cs="Times New Roman"/>
          <w:sz w:val="24"/>
          <w:szCs w:val="24"/>
        </w:rPr>
        <w:t xml:space="preserve"> 2005.</w:t>
      </w:r>
    </w:p>
    <w:p w14:paraId="45E995A4" w14:textId="2A197EAF"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b/>
          <w:bCs/>
          <w:sz w:val="24"/>
          <w:szCs w:val="24"/>
        </w:rPr>
        <w:t>Issue:</w:t>
      </w:r>
    </w:p>
    <w:p w14:paraId="1648F086" w14:textId="17677760"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Is it trademark infringement when a defendant obtained verbal permission from an unauthorized member of the company personnel? </w:t>
      </w:r>
      <w:r w:rsidRPr="0D0463AD">
        <w:rPr>
          <w:rFonts w:ascii="Times New Roman" w:eastAsia="Times New Roman" w:hAnsi="Times New Roman" w:cs="Times New Roman"/>
          <w:i/>
          <w:iCs/>
          <w:sz w:val="24"/>
          <w:szCs w:val="24"/>
        </w:rPr>
        <w:t>Audi AG v. D'Amato, 381 F. Supp. 2d 644,</w:t>
      </w:r>
      <w:r w:rsidRPr="0D0463AD">
        <w:rPr>
          <w:rFonts w:ascii="Times New Roman" w:eastAsia="Times New Roman" w:hAnsi="Times New Roman" w:cs="Times New Roman"/>
          <w:sz w:val="24"/>
          <w:szCs w:val="24"/>
        </w:rPr>
        <w:t xml:space="preserve"> 2005.</w:t>
      </w:r>
    </w:p>
    <w:p w14:paraId="31E2C9C9" w14:textId="568F75DF"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Has a defendant avoided trademark infringement by including a disclaimer stating no association with the original trademark owner? </w:t>
      </w:r>
      <w:r w:rsidRPr="0D0463AD">
        <w:rPr>
          <w:rFonts w:ascii="Times New Roman" w:eastAsia="Times New Roman" w:hAnsi="Times New Roman" w:cs="Times New Roman"/>
          <w:i/>
          <w:iCs/>
          <w:sz w:val="24"/>
          <w:szCs w:val="24"/>
        </w:rPr>
        <w:t>Audi AG v. D'Amato, 381 F. Supp. 2d 644,</w:t>
      </w:r>
      <w:r w:rsidRPr="0D0463AD">
        <w:rPr>
          <w:rFonts w:ascii="Times New Roman" w:eastAsia="Times New Roman" w:hAnsi="Times New Roman" w:cs="Times New Roman"/>
          <w:sz w:val="24"/>
          <w:szCs w:val="24"/>
        </w:rPr>
        <w:t xml:space="preserve"> 2005.</w:t>
      </w:r>
    </w:p>
    <w:p w14:paraId="580F29A5" w14:textId="2A3D5428"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b/>
          <w:bCs/>
          <w:sz w:val="24"/>
          <w:szCs w:val="24"/>
        </w:rPr>
        <w:t>Rule:</w:t>
      </w:r>
    </w:p>
    <w:p w14:paraId="39B85328" w14:textId="7AD18343" w:rsidR="26C0EFE3" w:rsidRDefault="26C0EFE3" w:rsidP="0D0463AD">
      <w:pPr>
        <w:pStyle w:val="Heading1"/>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15 USCS § 1125, Part 1 of 3</w:t>
      </w:r>
    </w:p>
    <w:p w14:paraId="7BA3F850" w14:textId="47D14C5E"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The statute states that any person that uses a name, logo or term representing or misleading the consumer as to being associated with the trademark owner will be held liable for said action, should the person to whom the act has been committed feel they have been or may come to be damaged by the act, </w:t>
      </w:r>
      <w:r w:rsidRPr="0D0463AD">
        <w:rPr>
          <w:rFonts w:ascii="Times New Roman" w:eastAsia="Times New Roman" w:hAnsi="Times New Roman" w:cs="Times New Roman"/>
          <w:i/>
          <w:iCs/>
          <w:sz w:val="24"/>
          <w:szCs w:val="24"/>
        </w:rPr>
        <w:t>15 USCS § 1125, Part 1 of 3,</w:t>
      </w:r>
      <w:r w:rsidRPr="0D0463AD">
        <w:rPr>
          <w:rFonts w:ascii="Times New Roman" w:eastAsia="Times New Roman" w:hAnsi="Times New Roman" w:cs="Times New Roman"/>
          <w:sz w:val="24"/>
          <w:szCs w:val="24"/>
        </w:rPr>
        <w:t xml:space="preserve"> 2021.</w:t>
      </w:r>
    </w:p>
    <w:p w14:paraId="0ABBCD42" w14:textId="4291B377" w:rsidR="26C0EFE3" w:rsidRDefault="26C0EFE3" w:rsidP="0D0463AD">
      <w:pPr>
        <w:pStyle w:val="Heading1"/>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lastRenderedPageBreak/>
        <w:t>15 USCS § 1114, Part 1 of 2</w:t>
      </w:r>
    </w:p>
    <w:p w14:paraId="7BBBF852" w14:textId="35C56B6B"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The statute denotes that any person who, without the consent of the registrant, makes use of a registered mark by selling as a copy or imitation of the original, will be held liable for said action in a civil court.</w:t>
      </w:r>
    </w:p>
    <w:p w14:paraId="1296FFB7" w14:textId="699E814C"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b/>
          <w:bCs/>
          <w:sz w:val="24"/>
          <w:szCs w:val="24"/>
        </w:rPr>
        <w:t>Analysis:</w:t>
      </w:r>
    </w:p>
    <w:p w14:paraId="20ACEB1F" w14:textId="7FEA6D9B"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The court decided that the defendant did not act in good faith as he marketed the site with the intent of representing and using the trademarks as his own. The court held that confusion was likely as most consumers will not research beyond the trademark or logo. Therefore, the plaintiff’s claim that the defendant is misusing the trademarks for his own profits and purposes is justified, </w:t>
      </w:r>
      <w:r w:rsidRPr="0D0463AD">
        <w:rPr>
          <w:rFonts w:ascii="Times New Roman" w:eastAsia="Times New Roman" w:hAnsi="Times New Roman" w:cs="Times New Roman"/>
          <w:i/>
          <w:iCs/>
          <w:sz w:val="24"/>
          <w:szCs w:val="24"/>
        </w:rPr>
        <w:t>Audi AG v. D'Amato, 381 F. Supp. 2d 644,</w:t>
      </w:r>
      <w:r w:rsidRPr="0D0463AD">
        <w:rPr>
          <w:rFonts w:ascii="Times New Roman" w:eastAsia="Times New Roman" w:hAnsi="Times New Roman" w:cs="Times New Roman"/>
          <w:sz w:val="24"/>
          <w:szCs w:val="24"/>
        </w:rPr>
        <w:t xml:space="preserve"> 2005.</w:t>
      </w:r>
    </w:p>
    <w:p w14:paraId="0031D77B" w14:textId="4CF91771"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b/>
          <w:bCs/>
          <w:sz w:val="24"/>
          <w:szCs w:val="24"/>
        </w:rPr>
        <w:t>Conclusion:</w:t>
      </w:r>
    </w:p>
    <w:p w14:paraId="0EDEA25F" w14:textId="424F3BFB"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The court found that the</w:t>
      </w:r>
      <w:r w:rsidRPr="0D0463AD">
        <w:rPr>
          <w:rFonts w:ascii="Times New Roman" w:eastAsia="Times New Roman" w:hAnsi="Times New Roman" w:cs="Times New Roman"/>
          <w:b/>
          <w:bCs/>
          <w:sz w:val="24"/>
          <w:szCs w:val="24"/>
        </w:rPr>
        <w:t xml:space="preserve"> </w:t>
      </w:r>
      <w:r w:rsidRPr="0D0463AD">
        <w:rPr>
          <w:rFonts w:ascii="Times New Roman" w:eastAsia="Times New Roman" w:hAnsi="Times New Roman" w:cs="Times New Roman"/>
          <w:sz w:val="24"/>
          <w:szCs w:val="24"/>
        </w:rPr>
        <w:t xml:space="preserve">defendant’s actions were trademark infringement, and the plaintiff should be awarded summary judgement on all counts. The plaintiff was entitled to some restitution or compensation for the defendant’s actions. The plaintiff was denied statutory damages, though they were granted a permanent injunction and reimbursement of attorney fees, </w:t>
      </w:r>
      <w:r w:rsidRPr="0D0463AD">
        <w:rPr>
          <w:rFonts w:ascii="Times New Roman" w:eastAsia="Times New Roman" w:hAnsi="Times New Roman" w:cs="Times New Roman"/>
          <w:i/>
          <w:iCs/>
          <w:sz w:val="24"/>
          <w:szCs w:val="24"/>
        </w:rPr>
        <w:t>Audi AG v. D'Amato, 381 F. Supp. 2d 644,</w:t>
      </w:r>
      <w:r w:rsidRPr="0D0463AD">
        <w:rPr>
          <w:rFonts w:ascii="Times New Roman" w:eastAsia="Times New Roman" w:hAnsi="Times New Roman" w:cs="Times New Roman"/>
          <w:sz w:val="24"/>
          <w:szCs w:val="24"/>
        </w:rPr>
        <w:t xml:space="preserve"> 2005.</w:t>
      </w:r>
    </w:p>
    <w:p w14:paraId="1E1F4C4E" w14:textId="77777777" w:rsidR="004D6B80"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Another District Court case that we can appoint to is</w:t>
      </w:r>
      <w:r w:rsidR="004D6B80">
        <w:rPr>
          <w:rFonts w:ascii="Times New Roman" w:eastAsia="Times New Roman" w:hAnsi="Times New Roman" w:cs="Times New Roman"/>
          <w:sz w:val="24"/>
          <w:szCs w:val="24"/>
        </w:rPr>
        <w:t>:</w:t>
      </w:r>
      <w:r w:rsidRPr="0D0463AD">
        <w:rPr>
          <w:rFonts w:ascii="Times New Roman" w:eastAsia="Times New Roman" w:hAnsi="Times New Roman" w:cs="Times New Roman"/>
          <w:sz w:val="24"/>
          <w:szCs w:val="24"/>
        </w:rPr>
        <w:t xml:space="preserve"> </w:t>
      </w:r>
    </w:p>
    <w:p w14:paraId="0A681DB5" w14:textId="61135096" w:rsidR="004D6B80" w:rsidRPr="004D6B80" w:rsidRDefault="26C0EFE3" w:rsidP="0D0463AD">
      <w:pPr>
        <w:spacing w:line="480" w:lineRule="auto"/>
        <w:rPr>
          <w:rFonts w:ascii="Times New Roman" w:eastAsia="Times New Roman" w:hAnsi="Times New Roman" w:cs="Times New Roman"/>
          <w:b/>
          <w:bCs/>
          <w:sz w:val="24"/>
          <w:szCs w:val="24"/>
        </w:rPr>
      </w:pPr>
      <w:r w:rsidRPr="004D6B80">
        <w:rPr>
          <w:rFonts w:ascii="Times New Roman" w:eastAsia="Times New Roman" w:hAnsi="Times New Roman" w:cs="Times New Roman"/>
          <w:b/>
          <w:bCs/>
          <w:sz w:val="24"/>
          <w:szCs w:val="24"/>
        </w:rPr>
        <w:t xml:space="preserve">Savannah College of Art &amp; Design, Inc. v. </w:t>
      </w:r>
      <w:proofErr w:type="spellStart"/>
      <w:r w:rsidRPr="004D6B80">
        <w:rPr>
          <w:rFonts w:ascii="Times New Roman" w:eastAsia="Times New Roman" w:hAnsi="Times New Roman" w:cs="Times New Roman"/>
          <w:b/>
          <w:bCs/>
          <w:sz w:val="24"/>
          <w:szCs w:val="24"/>
        </w:rPr>
        <w:t>Houeix</w:t>
      </w:r>
      <w:proofErr w:type="spellEnd"/>
      <w:r w:rsidRPr="004D6B80">
        <w:rPr>
          <w:rFonts w:ascii="Times New Roman" w:eastAsia="Times New Roman" w:hAnsi="Times New Roman" w:cs="Times New Roman"/>
          <w:b/>
          <w:bCs/>
          <w:sz w:val="24"/>
          <w:szCs w:val="24"/>
        </w:rPr>
        <w:t>, 369 F. Supp. 2d 929</w:t>
      </w:r>
    </w:p>
    <w:p w14:paraId="00110B84" w14:textId="0FCA60CE" w:rsidR="26C0EFE3" w:rsidRDefault="004D6B80" w:rsidP="0D0463AD">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w:t>
      </w:r>
      <w:r w:rsidR="26C0EFE3" w:rsidRPr="0D0463AD">
        <w:rPr>
          <w:rFonts w:ascii="Times New Roman" w:eastAsia="Times New Roman" w:hAnsi="Times New Roman" w:cs="Times New Roman"/>
          <w:sz w:val="24"/>
          <w:szCs w:val="24"/>
        </w:rPr>
        <w:t xml:space="preserve">here the plaintiff alleges that the defendant’s use of the trademark as a domain name on his website constituted a trademark infringement. It is a primary source as it is a superior court </w:t>
      </w:r>
      <w:r w:rsidR="26C0EFE3" w:rsidRPr="0D0463AD">
        <w:rPr>
          <w:rFonts w:ascii="Times New Roman" w:eastAsia="Times New Roman" w:hAnsi="Times New Roman" w:cs="Times New Roman"/>
          <w:sz w:val="24"/>
          <w:szCs w:val="24"/>
        </w:rPr>
        <w:lastRenderedPageBreak/>
        <w:t xml:space="preserve">within the proper jurisdiction. It is a mandatory authority as it is binding to the lower courts, </w:t>
      </w:r>
      <w:r w:rsidR="26C0EFE3" w:rsidRPr="0D0463AD">
        <w:rPr>
          <w:rFonts w:ascii="Times New Roman" w:eastAsia="Times New Roman" w:hAnsi="Times New Roman" w:cs="Times New Roman"/>
          <w:i/>
          <w:iCs/>
          <w:sz w:val="24"/>
          <w:szCs w:val="24"/>
        </w:rPr>
        <w:t xml:space="preserve">Savannah College of Art &amp; Design, Inc. v. </w:t>
      </w:r>
      <w:proofErr w:type="spellStart"/>
      <w:r w:rsidR="26C0EFE3" w:rsidRPr="0D0463AD">
        <w:rPr>
          <w:rFonts w:ascii="Times New Roman" w:eastAsia="Times New Roman" w:hAnsi="Times New Roman" w:cs="Times New Roman"/>
          <w:i/>
          <w:iCs/>
          <w:sz w:val="24"/>
          <w:szCs w:val="24"/>
        </w:rPr>
        <w:t>Houeix</w:t>
      </w:r>
      <w:proofErr w:type="spellEnd"/>
      <w:r w:rsidR="26C0EFE3" w:rsidRPr="0D0463AD">
        <w:rPr>
          <w:rFonts w:ascii="Times New Roman" w:eastAsia="Times New Roman" w:hAnsi="Times New Roman" w:cs="Times New Roman"/>
          <w:i/>
          <w:iCs/>
          <w:sz w:val="24"/>
          <w:szCs w:val="24"/>
        </w:rPr>
        <w:t>, 369 F. Supp. 2d 929,</w:t>
      </w:r>
      <w:r w:rsidR="26C0EFE3" w:rsidRPr="0D0463AD">
        <w:rPr>
          <w:rFonts w:ascii="Times New Roman" w:eastAsia="Times New Roman" w:hAnsi="Times New Roman" w:cs="Times New Roman"/>
          <w:sz w:val="24"/>
          <w:szCs w:val="24"/>
        </w:rPr>
        <w:t xml:space="preserve"> 2004.</w:t>
      </w:r>
    </w:p>
    <w:p w14:paraId="763EA283" w14:textId="44E774ED"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b/>
          <w:bCs/>
          <w:sz w:val="24"/>
          <w:szCs w:val="24"/>
        </w:rPr>
        <w:t>Facts:</w:t>
      </w:r>
    </w:p>
    <w:p w14:paraId="2D331EBE" w14:textId="3CB07EA8"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The plaintiff, Savannah College of Art &amp; Design, Inc. Held the use of the registered mark “SCAD” and used it for various purposes in the sale of its products, </w:t>
      </w:r>
      <w:proofErr w:type="gramStart"/>
      <w:r w:rsidRPr="0D0463AD">
        <w:rPr>
          <w:rFonts w:ascii="Times New Roman" w:eastAsia="Times New Roman" w:hAnsi="Times New Roman" w:cs="Times New Roman"/>
          <w:sz w:val="24"/>
          <w:szCs w:val="24"/>
        </w:rPr>
        <w:t>distribution</w:t>
      </w:r>
      <w:proofErr w:type="gramEnd"/>
      <w:r w:rsidRPr="0D0463AD">
        <w:rPr>
          <w:rFonts w:ascii="Times New Roman" w:eastAsia="Times New Roman" w:hAnsi="Times New Roman" w:cs="Times New Roman"/>
          <w:sz w:val="24"/>
          <w:szCs w:val="24"/>
        </w:rPr>
        <w:t xml:space="preserve"> and advertisement of its products. The plaintiff hired the defendant, </w:t>
      </w:r>
      <w:proofErr w:type="spellStart"/>
      <w:r w:rsidRPr="0D0463AD">
        <w:rPr>
          <w:rFonts w:ascii="Times New Roman" w:eastAsia="Times New Roman" w:hAnsi="Times New Roman" w:cs="Times New Roman"/>
          <w:sz w:val="24"/>
          <w:szCs w:val="24"/>
        </w:rPr>
        <w:t>Houeix</w:t>
      </w:r>
      <w:proofErr w:type="spellEnd"/>
      <w:r w:rsidRPr="0D0463AD">
        <w:rPr>
          <w:rFonts w:ascii="Times New Roman" w:eastAsia="Times New Roman" w:hAnsi="Times New Roman" w:cs="Times New Roman"/>
          <w:sz w:val="24"/>
          <w:szCs w:val="24"/>
        </w:rPr>
        <w:t xml:space="preserve">, as a professor of interior design. It was brought to the attention of the College that </w:t>
      </w:r>
      <w:proofErr w:type="spellStart"/>
      <w:r w:rsidRPr="0D0463AD">
        <w:rPr>
          <w:rFonts w:ascii="Times New Roman" w:eastAsia="Times New Roman" w:hAnsi="Times New Roman" w:cs="Times New Roman"/>
          <w:sz w:val="24"/>
          <w:szCs w:val="24"/>
        </w:rPr>
        <w:t>Houeix</w:t>
      </w:r>
      <w:proofErr w:type="spellEnd"/>
      <w:r w:rsidRPr="0D0463AD">
        <w:rPr>
          <w:rFonts w:ascii="Times New Roman" w:eastAsia="Times New Roman" w:hAnsi="Times New Roman" w:cs="Times New Roman"/>
          <w:sz w:val="24"/>
          <w:szCs w:val="24"/>
        </w:rPr>
        <w:t xml:space="preserve"> had only completed the equivalent of an undergraduate degree. The College informed the defendant that he may continue to teach for the College if he enrolled in a Graduate Degree program. The defendant was angry that the College was forcing him to enroll in the program, however, he ultimately chose to enroll in the program due to the status of his visa. The defendant created a website using the Colleges trademark, with the purpose of criticizing the college. He never used it for the purpose of sale, advertisement, or distribution of products, </w:t>
      </w:r>
      <w:r w:rsidRPr="0D0463AD">
        <w:rPr>
          <w:rFonts w:ascii="Times New Roman" w:eastAsia="Times New Roman" w:hAnsi="Times New Roman" w:cs="Times New Roman"/>
          <w:i/>
          <w:iCs/>
          <w:sz w:val="24"/>
          <w:szCs w:val="24"/>
        </w:rPr>
        <w:t xml:space="preserve">Savannah College of Art &amp; Design, Inc. v. </w:t>
      </w:r>
      <w:proofErr w:type="spellStart"/>
      <w:r w:rsidRPr="0D0463AD">
        <w:rPr>
          <w:rFonts w:ascii="Times New Roman" w:eastAsia="Times New Roman" w:hAnsi="Times New Roman" w:cs="Times New Roman"/>
          <w:i/>
          <w:iCs/>
          <w:sz w:val="24"/>
          <w:szCs w:val="24"/>
        </w:rPr>
        <w:t>Houeix</w:t>
      </w:r>
      <w:proofErr w:type="spellEnd"/>
      <w:r w:rsidRPr="0D0463AD">
        <w:rPr>
          <w:rFonts w:ascii="Times New Roman" w:eastAsia="Times New Roman" w:hAnsi="Times New Roman" w:cs="Times New Roman"/>
          <w:i/>
          <w:iCs/>
          <w:sz w:val="24"/>
          <w:szCs w:val="24"/>
        </w:rPr>
        <w:t>, 369 F. Supp. 2d 929,</w:t>
      </w:r>
      <w:r w:rsidRPr="0D0463AD">
        <w:rPr>
          <w:rFonts w:ascii="Times New Roman" w:eastAsia="Times New Roman" w:hAnsi="Times New Roman" w:cs="Times New Roman"/>
          <w:sz w:val="24"/>
          <w:szCs w:val="24"/>
        </w:rPr>
        <w:t xml:space="preserve"> 2004.</w:t>
      </w:r>
    </w:p>
    <w:p w14:paraId="63AD575C" w14:textId="59B3C101"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b/>
          <w:bCs/>
          <w:sz w:val="24"/>
          <w:szCs w:val="24"/>
        </w:rPr>
        <w:t>Issue:</w:t>
      </w:r>
    </w:p>
    <w:p w14:paraId="0EABC546" w14:textId="540CFF85"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Does it qualify as a trademark infringement for a person to use a trademark as a domain name for a website, if they do not use it for the purpose of making a profit? </w:t>
      </w:r>
      <w:r w:rsidRPr="0D0463AD">
        <w:rPr>
          <w:rFonts w:ascii="Times New Roman" w:eastAsia="Times New Roman" w:hAnsi="Times New Roman" w:cs="Times New Roman"/>
          <w:i/>
          <w:iCs/>
          <w:sz w:val="24"/>
          <w:szCs w:val="24"/>
        </w:rPr>
        <w:t xml:space="preserve">Savannah College of Art &amp; Design, Inc. v. </w:t>
      </w:r>
      <w:proofErr w:type="spellStart"/>
      <w:r w:rsidRPr="0D0463AD">
        <w:rPr>
          <w:rFonts w:ascii="Times New Roman" w:eastAsia="Times New Roman" w:hAnsi="Times New Roman" w:cs="Times New Roman"/>
          <w:i/>
          <w:iCs/>
          <w:sz w:val="24"/>
          <w:szCs w:val="24"/>
        </w:rPr>
        <w:t>Houeix</w:t>
      </w:r>
      <w:proofErr w:type="spellEnd"/>
      <w:r w:rsidRPr="0D0463AD">
        <w:rPr>
          <w:rFonts w:ascii="Times New Roman" w:eastAsia="Times New Roman" w:hAnsi="Times New Roman" w:cs="Times New Roman"/>
          <w:i/>
          <w:iCs/>
          <w:sz w:val="24"/>
          <w:szCs w:val="24"/>
        </w:rPr>
        <w:t>, 369 F. Supp. 2d 929,</w:t>
      </w:r>
      <w:r w:rsidRPr="0D0463AD">
        <w:rPr>
          <w:rFonts w:ascii="Times New Roman" w:eastAsia="Times New Roman" w:hAnsi="Times New Roman" w:cs="Times New Roman"/>
          <w:sz w:val="24"/>
          <w:szCs w:val="24"/>
        </w:rPr>
        <w:t xml:space="preserve"> 2004</w:t>
      </w:r>
    </w:p>
    <w:p w14:paraId="737535D7" w14:textId="015AF94B"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Is it a trademark infringement for a person to make claims against a person or entity by use of a trademark? </w:t>
      </w:r>
      <w:r w:rsidRPr="0D0463AD">
        <w:rPr>
          <w:rFonts w:ascii="Times New Roman" w:eastAsia="Times New Roman" w:hAnsi="Times New Roman" w:cs="Times New Roman"/>
          <w:i/>
          <w:iCs/>
          <w:sz w:val="24"/>
          <w:szCs w:val="24"/>
        </w:rPr>
        <w:t xml:space="preserve">Savannah College of Art &amp; Design, Inc. v. </w:t>
      </w:r>
      <w:proofErr w:type="spellStart"/>
      <w:r w:rsidRPr="0D0463AD">
        <w:rPr>
          <w:rFonts w:ascii="Times New Roman" w:eastAsia="Times New Roman" w:hAnsi="Times New Roman" w:cs="Times New Roman"/>
          <w:i/>
          <w:iCs/>
          <w:sz w:val="24"/>
          <w:szCs w:val="24"/>
        </w:rPr>
        <w:t>Houeix</w:t>
      </w:r>
      <w:proofErr w:type="spellEnd"/>
      <w:r w:rsidRPr="0D0463AD">
        <w:rPr>
          <w:rFonts w:ascii="Times New Roman" w:eastAsia="Times New Roman" w:hAnsi="Times New Roman" w:cs="Times New Roman"/>
          <w:i/>
          <w:iCs/>
          <w:sz w:val="24"/>
          <w:szCs w:val="24"/>
        </w:rPr>
        <w:t>, 369 F. Supp. 2d 929,</w:t>
      </w:r>
      <w:r w:rsidRPr="0D0463AD">
        <w:rPr>
          <w:rFonts w:ascii="Times New Roman" w:eastAsia="Times New Roman" w:hAnsi="Times New Roman" w:cs="Times New Roman"/>
          <w:sz w:val="24"/>
          <w:szCs w:val="24"/>
        </w:rPr>
        <w:t xml:space="preserve"> 2004.</w:t>
      </w:r>
    </w:p>
    <w:p w14:paraId="46A31D7B" w14:textId="26AC69C7"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b/>
          <w:bCs/>
          <w:sz w:val="24"/>
          <w:szCs w:val="24"/>
        </w:rPr>
        <w:t>Rule:</w:t>
      </w:r>
    </w:p>
    <w:p w14:paraId="1CF05DED" w14:textId="507FAF0F"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lastRenderedPageBreak/>
        <w:t xml:space="preserve">“(a) Civil action”, </w:t>
      </w:r>
      <w:r w:rsidRPr="0D0463AD">
        <w:rPr>
          <w:rFonts w:ascii="Times New Roman" w:eastAsia="Times New Roman" w:hAnsi="Times New Roman" w:cs="Times New Roman"/>
          <w:i/>
          <w:iCs/>
          <w:sz w:val="24"/>
          <w:szCs w:val="24"/>
        </w:rPr>
        <w:t>15 USCS § 1125, Part 1 of 3,</w:t>
      </w:r>
      <w:r w:rsidRPr="0D0463AD">
        <w:rPr>
          <w:rFonts w:ascii="Times New Roman" w:eastAsia="Times New Roman" w:hAnsi="Times New Roman" w:cs="Times New Roman"/>
          <w:sz w:val="24"/>
          <w:szCs w:val="24"/>
        </w:rPr>
        <w:t xml:space="preserve"> 2021.</w:t>
      </w:r>
    </w:p>
    <w:p w14:paraId="51B80314" w14:textId="317F3444"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(1) Any person who, on or in connection with any goods or services, or any container for goods, uses in commerce any word, term, name, symbol, or device, or any combination thereof, or any false designation of origin, false or misleading description of fact, or false or misleading representation of fact, which”, </w:t>
      </w:r>
      <w:r w:rsidRPr="0D0463AD">
        <w:rPr>
          <w:rFonts w:ascii="Times New Roman" w:eastAsia="Times New Roman" w:hAnsi="Times New Roman" w:cs="Times New Roman"/>
          <w:i/>
          <w:iCs/>
          <w:sz w:val="24"/>
          <w:szCs w:val="24"/>
        </w:rPr>
        <w:t>15 USCS § 1125, Part 1 of 3,</w:t>
      </w:r>
      <w:r w:rsidRPr="0D0463AD">
        <w:rPr>
          <w:rFonts w:ascii="Times New Roman" w:eastAsia="Times New Roman" w:hAnsi="Times New Roman" w:cs="Times New Roman"/>
          <w:sz w:val="24"/>
          <w:szCs w:val="24"/>
        </w:rPr>
        <w:t xml:space="preserve"> 2021.</w:t>
      </w:r>
    </w:p>
    <w:p w14:paraId="2507E15A" w14:textId="26E91081"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“(A) is likely to cause confusion, or to cause mistake, or to deceive as to the affiliation, connection, or association of such person with another person, or as to the origin, sponsorship, or approval of his or her goods, services, or commercial activities by another person”, </w:t>
      </w:r>
      <w:r w:rsidRPr="0D0463AD">
        <w:rPr>
          <w:rFonts w:ascii="Times New Roman" w:eastAsia="Times New Roman" w:hAnsi="Times New Roman" w:cs="Times New Roman"/>
          <w:i/>
          <w:iCs/>
          <w:sz w:val="24"/>
          <w:szCs w:val="24"/>
        </w:rPr>
        <w:t>15 USCS § 1125, Part 1 of 3,</w:t>
      </w:r>
      <w:r w:rsidRPr="0D0463AD">
        <w:rPr>
          <w:rFonts w:ascii="Times New Roman" w:eastAsia="Times New Roman" w:hAnsi="Times New Roman" w:cs="Times New Roman"/>
          <w:sz w:val="24"/>
          <w:szCs w:val="24"/>
        </w:rPr>
        <w:t xml:space="preserve"> 2021.</w:t>
      </w:r>
    </w:p>
    <w:p w14:paraId="341E4097" w14:textId="4716F4E9"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b/>
          <w:bCs/>
          <w:sz w:val="24"/>
          <w:szCs w:val="24"/>
        </w:rPr>
        <w:t>“</w:t>
      </w:r>
      <w:r w:rsidRPr="0D0463AD">
        <w:rPr>
          <w:rFonts w:ascii="Times New Roman" w:eastAsia="Times New Roman" w:hAnsi="Times New Roman" w:cs="Times New Roman"/>
          <w:sz w:val="24"/>
          <w:szCs w:val="24"/>
        </w:rPr>
        <w:t xml:space="preserve">shall be liable in a civil action by any person who believes that he or she is or is likely to be damaged by such act”, </w:t>
      </w:r>
      <w:r w:rsidRPr="0D0463AD">
        <w:rPr>
          <w:rFonts w:ascii="Times New Roman" w:eastAsia="Times New Roman" w:hAnsi="Times New Roman" w:cs="Times New Roman"/>
          <w:i/>
          <w:iCs/>
          <w:sz w:val="24"/>
          <w:szCs w:val="24"/>
        </w:rPr>
        <w:t>15 USCS § 1125, Part 1 of 3,</w:t>
      </w:r>
      <w:r w:rsidRPr="0D0463AD">
        <w:rPr>
          <w:rFonts w:ascii="Times New Roman" w:eastAsia="Times New Roman" w:hAnsi="Times New Roman" w:cs="Times New Roman"/>
          <w:sz w:val="24"/>
          <w:szCs w:val="24"/>
        </w:rPr>
        <w:t xml:space="preserve"> 2021.</w:t>
      </w:r>
    </w:p>
    <w:p w14:paraId="784D72B7" w14:textId="27F9ECA4"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b/>
          <w:bCs/>
          <w:sz w:val="24"/>
          <w:szCs w:val="24"/>
        </w:rPr>
        <w:t>Analysis:</w:t>
      </w:r>
    </w:p>
    <w:p w14:paraId="2068591D" w14:textId="5C2CBEEA"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The court found that </w:t>
      </w:r>
      <w:proofErr w:type="spellStart"/>
      <w:r w:rsidRPr="0D0463AD">
        <w:rPr>
          <w:rFonts w:ascii="Times New Roman" w:eastAsia="Times New Roman" w:hAnsi="Times New Roman" w:cs="Times New Roman"/>
          <w:sz w:val="24"/>
          <w:szCs w:val="24"/>
        </w:rPr>
        <w:t>Houeix’s</w:t>
      </w:r>
      <w:proofErr w:type="spellEnd"/>
      <w:r w:rsidRPr="0D0463AD">
        <w:rPr>
          <w:rFonts w:ascii="Times New Roman" w:eastAsia="Times New Roman" w:hAnsi="Times New Roman" w:cs="Times New Roman"/>
          <w:sz w:val="24"/>
          <w:szCs w:val="24"/>
        </w:rPr>
        <w:t xml:space="preserve"> use of the trademark was not for commercial purposes and that the College failed in their attempt to prove their claim as such. Upon observation the court decide that the plaintiff had not established proof of their claim of unfair competition or dilution, which are necessary to the claim of trademark infringement. </w:t>
      </w:r>
      <w:proofErr w:type="spellStart"/>
      <w:r w:rsidRPr="0D0463AD">
        <w:rPr>
          <w:rFonts w:ascii="Times New Roman" w:eastAsia="Times New Roman" w:hAnsi="Times New Roman" w:cs="Times New Roman"/>
          <w:sz w:val="24"/>
          <w:szCs w:val="24"/>
        </w:rPr>
        <w:t>Houeix’s</w:t>
      </w:r>
      <w:proofErr w:type="spellEnd"/>
      <w:r w:rsidRPr="0D0463AD">
        <w:rPr>
          <w:rFonts w:ascii="Times New Roman" w:eastAsia="Times New Roman" w:hAnsi="Times New Roman" w:cs="Times New Roman"/>
          <w:sz w:val="24"/>
          <w:szCs w:val="24"/>
        </w:rPr>
        <w:t xml:space="preserve"> use of the mark is not an offense that is able to be acted upon under the Lanham Act, </w:t>
      </w:r>
      <w:r w:rsidRPr="0D0463AD">
        <w:rPr>
          <w:rFonts w:ascii="Times New Roman" w:eastAsia="Times New Roman" w:hAnsi="Times New Roman" w:cs="Times New Roman"/>
          <w:i/>
          <w:iCs/>
          <w:sz w:val="24"/>
          <w:szCs w:val="24"/>
        </w:rPr>
        <w:t xml:space="preserve">Savannah College of Art &amp; Design, Inc. v. </w:t>
      </w:r>
      <w:proofErr w:type="spellStart"/>
      <w:r w:rsidRPr="0D0463AD">
        <w:rPr>
          <w:rFonts w:ascii="Times New Roman" w:eastAsia="Times New Roman" w:hAnsi="Times New Roman" w:cs="Times New Roman"/>
          <w:i/>
          <w:iCs/>
          <w:sz w:val="24"/>
          <w:szCs w:val="24"/>
        </w:rPr>
        <w:t>Houeix</w:t>
      </w:r>
      <w:proofErr w:type="spellEnd"/>
      <w:r w:rsidRPr="0D0463AD">
        <w:rPr>
          <w:rFonts w:ascii="Times New Roman" w:eastAsia="Times New Roman" w:hAnsi="Times New Roman" w:cs="Times New Roman"/>
          <w:i/>
          <w:iCs/>
          <w:sz w:val="24"/>
          <w:szCs w:val="24"/>
        </w:rPr>
        <w:t>, 369 F. Supp. 2d 929,</w:t>
      </w:r>
      <w:r w:rsidRPr="0D0463AD">
        <w:rPr>
          <w:rFonts w:ascii="Times New Roman" w:eastAsia="Times New Roman" w:hAnsi="Times New Roman" w:cs="Times New Roman"/>
          <w:sz w:val="24"/>
          <w:szCs w:val="24"/>
        </w:rPr>
        <w:t xml:space="preserve"> 2004.</w:t>
      </w:r>
    </w:p>
    <w:p w14:paraId="33E4DAF9" w14:textId="75B83222"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b/>
          <w:bCs/>
          <w:sz w:val="24"/>
          <w:szCs w:val="24"/>
        </w:rPr>
        <w:t>Conclusion:</w:t>
      </w:r>
    </w:p>
    <w:p w14:paraId="308C3F14" w14:textId="27F17290"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The court ruled that the defendant did not commit trademark infringement, as his use of the mark was not for commercial purposes. It also did not establish the necessary elements to prove its </w:t>
      </w:r>
      <w:r w:rsidRPr="0D0463AD">
        <w:rPr>
          <w:rFonts w:ascii="Times New Roman" w:eastAsia="Times New Roman" w:hAnsi="Times New Roman" w:cs="Times New Roman"/>
          <w:sz w:val="24"/>
          <w:szCs w:val="24"/>
        </w:rPr>
        <w:lastRenderedPageBreak/>
        <w:t xml:space="preserve">claims for unfair competition and trademark dilution claims. The court ruled in </w:t>
      </w:r>
      <w:proofErr w:type="spellStart"/>
      <w:r w:rsidRPr="0D0463AD">
        <w:rPr>
          <w:rFonts w:ascii="Times New Roman" w:eastAsia="Times New Roman" w:hAnsi="Times New Roman" w:cs="Times New Roman"/>
          <w:sz w:val="24"/>
          <w:szCs w:val="24"/>
        </w:rPr>
        <w:t>Houeix’s</w:t>
      </w:r>
      <w:proofErr w:type="spellEnd"/>
      <w:r w:rsidRPr="0D0463AD">
        <w:rPr>
          <w:rFonts w:ascii="Times New Roman" w:eastAsia="Times New Roman" w:hAnsi="Times New Roman" w:cs="Times New Roman"/>
          <w:sz w:val="24"/>
          <w:szCs w:val="24"/>
        </w:rPr>
        <w:t xml:space="preserve"> favor on all counts, </w:t>
      </w:r>
      <w:r w:rsidRPr="0D0463AD">
        <w:rPr>
          <w:rFonts w:ascii="Times New Roman" w:eastAsia="Times New Roman" w:hAnsi="Times New Roman" w:cs="Times New Roman"/>
          <w:i/>
          <w:iCs/>
          <w:sz w:val="24"/>
          <w:szCs w:val="24"/>
        </w:rPr>
        <w:t xml:space="preserve">Savannah College of Art &amp; Design, Inc. v. </w:t>
      </w:r>
      <w:proofErr w:type="spellStart"/>
      <w:r w:rsidRPr="0D0463AD">
        <w:rPr>
          <w:rFonts w:ascii="Times New Roman" w:eastAsia="Times New Roman" w:hAnsi="Times New Roman" w:cs="Times New Roman"/>
          <w:i/>
          <w:iCs/>
          <w:sz w:val="24"/>
          <w:szCs w:val="24"/>
        </w:rPr>
        <w:t>Houeix</w:t>
      </w:r>
      <w:proofErr w:type="spellEnd"/>
      <w:r w:rsidRPr="0D0463AD">
        <w:rPr>
          <w:rFonts w:ascii="Times New Roman" w:eastAsia="Times New Roman" w:hAnsi="Times New Roman" w:cs="Times New Roman"/>
          <w:i/>
          <w:iCs/>
          <w:sz w:val="24"/>
          <w:szCs w:val="24"/>
        </w:rPr>
        <w:t>, 369 F. Supp. 2d 929,</w:t>
      </w:r>
      <w:r w:rsidRPr="0D0463AD">
        <w:rPr>
          <w:rFonts w:ascii="Times New Roman" w:eastAsia="Times New Roman" w:hAnsi="Times New Roman" w:cs="Times New Roman"/>
          <w:sz w:val="24"/>
          <w:szCs w:val="24"/>
        </w:rPr>
        <w:t xml:space="preserve"> 2004. </w:t>
      </w:r>
    </w:p>
    <w:p w14:paraId="7DEFB6B2" w14:textId="77777777" w:rsidR="004D6B80"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The District Court case that we can rely on is</w:t>
      </w:r>
      <w:r w:rsidR="004D6B80">
        <w:rPr>
          <w:rFonts w:ascii="Times New Roman" w:eastAsia="Times New Roman" w:hAnsi="Times New Roman" w:cs="Times New Roman"/>
          <w:sz w:val="24"/>
          <w:szCs w:val="24"/>
        </w:rPr>
        <w:t>:</w:t>
      </w:r>
      <w:r w:rsidRPr="0D0463AD">
        <w:rPr>
          <w:rFonts w:ascii="Times New Roman" w:eastAsia="Times New Roman" w:hAnsi="Times New Roman" w:cs="Times New Roman"/>
          <w:sz w:val="24"/>
          <w:szCs w:val="24"/>
        </w:rPr>
        <w:t xml:space="preserve"> </w:t>
      </w:r>
    </w:p>
    <w:p w14:paraId="016173F6" w14:textId="77777777" w:rsidR="004D6B80" w:rsidRPr="004D6B80" w:rsidRDefault="26C0EFE3" w:rsidP="0D0463AD">
      <w:pPr>
        <w:spacing w:line="480" w:lineRule="auto"/>
        <w:rPr>
          <w:rFonts w:ascii="Times New Roman" w:eastAsia="Times New Roman" w:hAnsi="Times New Roman" w:cs="Times New Roman"/>
          <w:b/>
          <w:bCs/>
          <w:sz w:val="24"/>
          <w:szCs w:val="24"/>
        </w:rPr>
      </w:pPr>
      <w:r w:rsidRPr="004D6B80">
        <w:rPr>
          <w:rFonts w:ascii="Times New Roman" w:eastAsia="Times New Roman" w:hAnsi="Times New Roman" w:cs="Times New Roman"/>
          <w:b/>
          <w:bCs/>
          <w:sz w:val="24"/>
          <w:szCs w:val="24"/>
        </w:rPr>
        <w:t xml:space="preserve">Janet Travis, Inc. v. </w:t>
      </w:r>
      <w:proofErr w:type="spellStart"/>
      <w:r w:rsidRPr="004D6B80">
        <w:rPr>
          <w:rFonts w:ascii="Times New Roman" w:eastAsia="Times New Roman" w:hAnsi="Times New Roman" w:cs="Times New Roman"/>
          <w:b/>
          <w:bCs/>
          <w:sz w:val="24"/>
          <w:szCs w:val="24"/>
        </w:rPr>
        <w:t>Preka</w:t>
      </w:r>
      <w:proofErr w:type="spellEnd"/>
      <w:r w:rsidRPr="004D6B80">
        <w:rPr>
          <w:rFonts w:ascii="Times New Roman" w:eastAsia="Times New Roman" w:hAnsi="Times New Roman" w:cs="Times New Roman"/>
          <w:b/>
          <w:bCs/>
          <w:sz w:val="24"/>
          <w:szCs w:val="24"/>
        </w:rPr>
        <w:t xml:space="preserve"> Holdings, L.L.C., 306 Mich. App. 266</w:t>
      </w:r>
    </w:p>
    <w:p w14:paraId="681A99A6" w14:textId="12AA529A" w:rsidR="26C0EFE3" w:rsidRDefault="004D6B80" w:rsidP="0D0463AD">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w:t>
      </w:r>
      <w:r w:rsidR="26C0EFE3" w:rsidRPr="0D0463AD">
        <w:rPr>
          <w:rFonts w:ascii="Times New Roman" w:eastAsia="Times New Roman" w:hAnsi="Times New Roman" w:cs="Times New Roman"/>
          <w:sz w:val="24"/>
          <w:szCs w:val="24"/>
        </w:rPr>
        <w:t xml:space="preserve">hich describes a plaintiff that holds a surname of a restaurant as a trademark and was awarded a permanent injunction brought in a trademark infringement suit. As it is a superior court, it is a primary source. It is a mandatory authority, and it is binding for the lower courts, </w:t>
      </w:r>
      <w:r w:rsidR="26C0EFE3" w:rsidRPr="0D0463AD">
        <w:rPr>
          <w:rFonts w:ascii="Times New Roman" w:eastAsia="Times New Roman" w:hAnsi="Times New Roman" w:cs="Times New Roman"/>
          <w:i/>
          <w:iCs/>
          <w:sz w:val="24"/>
          <w:szCs w:val="24"/>
        </w:rPr>
        <w:t xml:space="preserve">Janet Travis, Inc. v. </w:t>
      </w:r>
      <w:proofErr w:type="spellStart"/>
      <w:r w:rsidR="26C0EFE3" w:rsidRPr="0D0463AD">
        <w:rPr>
          <w:rFonts w:ascii="Times New Roman" w:eastAsia="Times New Roman" w:hAnsi="Times New Roman" w:cs="Times New Roman"/>
          <w:i/>
          <w:iCs/>
          <w:sz w:val="24"/>
          <w:szCs w:val="24"/>
        </w:rPr>
        <w:t>Preka</w:t>
      </w:r>
      <w:proofErr w:type="spellEnd"/>
      <w:r w:rsidR="26C0EFE3" w:rsidRPr="0D0463AD">
        <w:rPr>
          <w:rFonts w:ascii="Times New Roman" w:eastAsia="Times New Roman" w:hAnsi="Times New Roman" w:cs="Times New Roman"/>
          <w:i/>
          <w:iCs/>
          <w:sz w:val="24"/>
          <w:szCs w:val="24"/>
        </w:rPr>
        <w:t xml:space="preserve"> Holdings, L.L.C., 306 Mich. App. 266,</w:t>
      </w:r>
      <w:r w:rsidR="26C0EFE3" w:rsidRPr="0D0463AD">
        <w:rPr>
          <w:rFonts w:ascii="Times New Roman" w:eastAsia="Times New Roman" w:hAnsi="Times New Roman" w:cs="Times New Roman"/>
          <w:sz w:val="24"/>
          <w:szCs w:val="24"/>
        </w:rPr>
        <w:t xml:space="preserve"> 2014.</w:t>
      </w:r>
    </w:p>
    <w:p w14:paraId="5EA408DB" w14:textId="0E3ED6FD" w:rsidR="26C0EFE3" w:rsidRDefault="26C0EFE3" w:rsidP="0D0463AD">
      <w:pPr>
        <w:rPr>
          <w:rFonts w:ascii="Times New Roman" w:eastAsia="Times New Roman" w:hAnsi="Times New Roman" w:cs="Times New Roman"/>
          <w:sz w:val="24"/>
          <w:szCs w:val="24"/>
        </w:rPr>
      </w:pPr>
      <w:r w:rsidRPr="0D0463AD">
        <w:rPr>
          <w:rFonts w:ascii="Times New Roman" w:eastAsia="Times New Roman" w:hAnsi="Times New Roman" w:cs="Times New Roman"/>
          <w:b/>
          <w:bCs/>
          <w:sz w:val="24"/>
          <w:szCs w:val="24"/>
        </w:rPr>
        <w:t>Facts:</w:t>
      </w:r>
    </w:p>
    <w:p w14:paraId="15C1ED54" w14:textId="0B1FC189"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The plaintiff owns a restaurant with a surname as a mark with a connection to the food service industry since the 1940’s. The defendant opened a restaurant with a name </w:t>
      </w:r>
      <w:proofErr w:type="gramStart"/>
      <w:r w:rsidRPr="0D0463AD">
        <w:rPr>
          <w:rFonts w:ascii="Times New Roman" w:eastAsia="Times New Roman" w:hAnsi="Times New Roman" w:cs="Times New Roman"/>
          <w:sz w:val="24"/>
          <w:szCs w:val="24"/>
        </w:rPr>
        <w:t>similar to</w:t>
      </w:r>
      <w:proofErr w:type="gramEnd"/>
      <w:r w:rsidRPr="0D0463AD">
        <w:rPr>
          <w:rFonts w:ascii="Times New Roman" w:eastAsia="Times New Roman" w:hAnsi="Times New Roman" w:cs="Times New Roman"/>
          <w:sz w:val="24"/>
          <w:szCs w:val="24"/>
        </w:rPr>
        <w:t xml:space="preserve"> the name of the mark held by the plaintiff. It is in the same general area as the plaintiff and likely to be confused with the surname used by the plaintiff. The lower court granted an injunction against the defendant’s use of the mark. The defendant held that the injunction should be overturned because the plaintiff’s trademark is invalid. The plaintiff’s trademark was registered; this means that the defendant was obligated to prove that the surname was not utilized by the defendant and not associated with the plaintiff’s restaurant, </w:t>
      </w:r>
      <w:r w:rsidRPr="0D0463AD">
        <w:rPr>
          <w:rFonts w:ascii="Times New Roman" w:eastAsia="Times New Roman" w:hAnsi="Times New Roman" w:cs="Times New Roman"/>
          <w:i/>
          <w:iCs/>
          <w:sz w:val="24"/>
          <w:szCs w:val="24"/>
        </w:rPr>
        <w:t xml:space="preserve">Janet Travis, Inc. v. </w:t>
      </w:r>
      <w:proofErr w:type="spellStart"/>
      <w:r w:rsidRPr="0D0463AD">
        <w:rPr>
          <w:rFonts w:ascii="Times New Roman" w:eastAsia="Times New Roman" w:hAnsi="Times New Roman" w:cs="Times New Roman"/>
          <w:i/>
          <w:iCs/>
          <w:sz w:val="24"/>
          <w:szCs w:val="24"/>
        </w:rPr>
        <w:t>Preka</w:t>
      </w:r>
      <w:proofErr w:type="spellEnd"/>
      <w:r w:rsidRPr="0D0463AD">
        <w:rPr>
          <w:rFonts w:ascii="Times New Roman" w:eastAsia="Times New Roman" w:hAnsi="Times New Roman" w:cs="Times New Roman"/>
          <w:i/>
          <w:iCs/>
          <w:sz w:val="24"/>
          <w:szCs w:val="24"/>
        </w:rPr>
        <w:t xml:space="preserve"> Holdings, L.L.C., 306 Mich. App. 266,</w:t>
      </w:r>
      <w:r w:rsidRPr="0D0463AD">
        <w:rPr>
          <w:rFonts w:ascii="Times New Roman" w:eastAsia="Times New Roman" w:hAnsi="Times New Roman" w:cs="Times New Roman"/>
          <w:sz w:val="24"/>
          <w:szCs w:val="24"/>
        </w:rPr>
        <w:t xml:space="preserve"> 2014.</w:t>
      </w:r>
    </w:p>
    <w:p w14:paraId="1443316F" w14:textId="65863B21"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b/>
          <w:bCs/>
          <w:sz w:val="24"/>
          <w:szCs w:val="24"/>
        </w:rPr>
        <w:t>Issue:</w:t>
      </w:r>
    </w:p>
    <w:p w14:paraId="5379C551" w14:textId="000CBE58"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Is it acceptable for the defendant to utilize a title that is </w:t>
      </w:r>
      <w:proofErr w:type="gramStart"/>
      <w:r w:rsidRPr="0D0463AD">
        <w:rPr>
          <w:rFonts w:ascii="Times New Roman" w:eastAsia="Times New Roman" w:hAnsi="Times New Roman" w:cs="Times New Roman"/>
          <w:sz w:val="24"/>
          <w:szCs w:val="24"/>
        </w:rPr>
        <w:t>similar to</w:t>
      </w:r>
      <w:proofErr w:type="gramEnd"/>
      <w:r w:rsidRPr="0D0463AD">
        <w:rPr>
          <w:rFonts w:ascii="Times New Roman" w:eastAsia="Times New Roman" w:hAnsi="Times New Roman" w:cs="Times New Roman"/>
          <w:sz w:val="24"/>
          <w:szCs w:val="24"/>
        </w:rPr>
        <w:t xml:space="preserve"> a surname registered with a trademark held by the plaintiff? </w:t>
      </w:r>
      <w:r w:rsidRPr="0D0463AD">
        <w:rPr>
          <w:rFonts w:ascii="Times New Roman" w:eastAsia="Times New Roman" w:hAnsi="Times New Roman" w:cs="Times New Roman"/>
          <w:i/>
          <w:iCs/>
          <w:sz w:val="24"/>
          <w:szCs w:val="24"/>
        </w:rPr>
        <w:t xml:space="preserve">Janet Travis, Inc. v. </w:t>
      </w:r>
      <w:proofErr w:type="spellStart"/>
      <w:r w:rsidRPr="0D0463AD">
        <w:rPr>
          <w:rFonts w:ascii="Times New Roman" w:eastAsia="Times New Roman" w:hAnsi="Times New Roman" w:cs="Times New Roman"/>
          <w:i/>
          <w:iCs/>
          <w:sz w:val="24"/>
          <w:szCs w:val="24"/>
        </w:rPr>
        <w:t>Preka</w:t>
      </w:r>
      <w:proofErr w:type="spellEnd"/>
      <w:r w:rsidRPr="0D0463AD">
        <w:rPr>
          <w:rFonts w:ascii="Times New Roman" w:eastAsia="Times New Roman" w:hAnsi="Times New Roman" w:cs="Times New Roman"/>
          <w:i/>
          <w:iCs/>
          <w:sz w:val="24"/>
          <w:szCs w:val="24"/>
        </w:rPr>
        <w:t xml:space="preserve"> Holdings, L.L.C., 306 Mich. App. 266,</w:t>
      </w:r>
      <w:r w:rsidRPr="0D0463AD">
        <w:rPr>
          <w:rFonts w:ascii="Times New Roman" w:eastAsia="Times New Roman" w:hAnsi="Times New Roman" w:cs="Times New Roman"/>
          <w:sz w:val="24"/>
          <w:szCs w:val="24"/>
        </w:rPr>
        <w:t xml:space="preserve"> 2014.</w:t>
      </w:r>
    </w:p>
    <w:p w14:paraId="79EEC0AE" w14:textId="3F2350BB"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lastRenderedPageBreak/>
        <w:t xml:space="preserve">Is the defendant still at fault if the surname is not clearly associated with the plaintiff’s business? </w:t>
      </w:r>
      <w:r w:rsidRPr="0D0463AD">
        <w:rPr>
          <w:rFonts w:ascii="Times New Roman" w:eastAsia="Times New Roman" w:hAnsi="Times New Roman" w:cs="Times New Roman"/>
          <w:i/>
          <w:iCs/>
          <w:sz w:val="24"/>
          <w:szCs w:val="24"/>
        </w:rPr>
        <w:t xml:space="preserve">Janet Travis, Inc. v. </w:t>
      </w:r>
      <w:proofErr w:type="spellStart"/>
      <w:r w:rsidRPr="0D0463AD">
        <w:rPr>
          <w:rFonts w:ascii="Times New Roman" w:eastAsia="Times New Roman" w:hAnsi="Times New Roman" w:cs="Times New Roman"/>
          <w:i/>
          <w:iCs/>
          <w:sz w:val="24"/>
          <w:szCs w:val="24"/>
        </w:rPr>
        <w:t>Preka</w:t>
      </w:r>
      <w:proofErr w:type="spellEnd"/>
      <w:r w:rsidRPr="0D0463AD">
        <w:rPr>
          <w:rFonts w:ascii="Times New Roman" w:eastAsia="Times New Roman" w:hAnsi="Times New Roman" w:cs="Times New Roman"/>
          <w:i/>
          <w:iCs/>
          <w:sz w:val="24"/>
          <w:szCs w:val="24"/>
        </w:rPr>
        <w:t xml:space="preserve"> Holdings, L.L.C., 306 Mich. App. 266,</w:t>
      </w:r>
      <w:r w:rsidRPr="0D0463AD">
        <w:rPr>
          <w:rFonts w:ascii="Times New Roman" w:eastAsia="Times New Roman" w:hAnsi="Times New Roman" w:cs="Times New Roman"/>
          <w:sz w:val="24"/>
          <w:szCs w:val="24"/>
        </w:rPr>
        <w:t xml:space="preserve"> 2014.</w:t>
      </w:r>
    </w:p>
    <w:p w14:paraId="26703765" w14:textId="3A50CA69"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b/>
          <w:bCs/>
          <w:sz w:val="24"/>
          <w:szCs w:val="24"/>
        </w:rPr>
        <w:t>Rule:</w:t>
      </w:r>
    </w:p>
    <w:p w14:paraId="5E3A815F" w14:textId="391526B9" w:rsidR="26C0EFE3" w:rsidRDefault="26C0EFE3" w:rsidP="0D0463AD">
      <w:pPr>
        <w:pStyle w:val="Heading1"/>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MCLS § 429.42</w:t>
      </w:r>
    </w:p>
    <w:p w14:paraId="39F8608D" w14:textId="3145F6EC"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“Subject to the provisions of section 14, any person who shall:</w:t>
      </w:r>
    </w:p>
    <w:p w14:paraId="26AA151F" w14:textId="1573CF48"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“(a) Use, without the consent of the registrant, any reproduction, counterfeit, copy or colorable imitation of a mark registered under this act in connection with the sale, offering for sale, or advertising of any goods or services on or in connection with which such use is likely to cause confusion or mistake or to deceive as to the source of origin of such goods or services”, </w:t>
      </w:r>
      <w:r w:rsidRPr="0D0463AD">
        <w:rPr>
          <w:rFonts w:ascii="Times New Roman" w:eastAsia="Times New Roman" w:hAnsi="Times New Roman" w:cs="Times New Roman"/>
          <w:i/>
          <w:iCs/>
          <w:sz w:val="24"/>
          <w:szCs w:val="24"/>
        </w:rPr>
        <w:t>MCLS § 429.42,</w:t>
      </w:r>
      <w:r w:rsidRPr="0D0463AD">
        <w:rPr>
          <w:rFonts w:ascii="Times New Roman" w:eastAsia="Times New Roman" w:hAnsi="Times New Roman" w:cs="Times New Roman"/>
          <w:sz w:val="24"/>
          <w:szCs w:val="24"/>
        </w:rPr>
        <w:t xml:space="preserve"> 2021.</w:t>
      </w:r>
    </w:p>
    <w:p w14:paraId="7E1AA7D7" w14:textId="75A0D1CB"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“(b) Reproduce, counterfeit, copy or </w:t>
      </w:r>
      <w:proofErr w:type="spellStart"/>
      <w:r w:rsidRPr="0D0463AD">
        <w:rPr>
          <w:rFonts w:ascii="Times New Roman" w:eastAsia="Times New Roman" w:hAnsi="Times New Roman" w:cs="Times New Roman"/>
          <w:sz w:val="24"/>
          <w:szCs w:val="24"/>
        </w:rPr>
        <w:t>colorably</w:t>
      </w:r>
      <w:proofErr w:type="spellEnd"/>
      <w:r w:rsidRPr="0D0463AD">
        <w:rPr>
          <w:rFonts w:ascii="Times New Roman" w:eastAsia="Times New Roman" w:hAnsi="Times New Roman" w:cs="Times New Roman"/>
          <w:sz w:val="24"/>
          <w:szCs w:val="24"/>
        </w:rPr>
        <w:t xml:space="preserve"> imitate any such registered mark and apply such reproduction, counterfeit, copy or colorable imitation to labels, signs, prints, packages, wrappers, receptacles or advertisements intended to be used upon or in connection with the sale or other distribution in this state of such goods or services; is liable to a civil action by the owner of the registered mark for any or all of the remedies provided in section 13, except that under subdivision (b) of this section the registrant shall not be entitled to recover profits or damages unless the acts have been committed with knowledge that the mark is intended to be used to cause confusion or mistake or to deceive”, </w:t>
      </w:r>
      <w:r w:rsidRPr="0D0463AD">
        <w:rPr>
          <w:rFonts w:ascii="Times New Roman" w:eastAsia="Times New Roman" w:hAnsi="Times New Roman" w:cs="Times New Roman"/>
          <w:i/>
          <w:iCs/>
          <w:sz w:val="24"/>
          <w:szCs w:val="24"/>
        </w:rPr>
        <w:t>MCLS § 429.42,</w:t>
      </w:r>
      <w:r w:rsidRPr="0D0463AD">
        <w:rPr>
          <w:rFonts w:ascii="Times New Roman" w:eastAsia="Times New Roman" w:hAnsi="Times New Roman" w:cs="Times New Roman"/>
          <w:sz w:val="24"/>
          <w:szCs w:val="24"/>
        </w:rPr>
        <w:t xml:space="preserve"> 2021.</w:t>
      </w:r>
    </w:p>
    <w:p w14:paraId="2801D0C8" w14:textId="7F2D39B5" w:rsidR="26C0EFE3" w:rsidRDefault="26C0EFE3" w:rsidP="0D0463AD">
      <w:pPr>
        <w:pStyle w:val="Heading1"/>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MCLS § 429.31</w:t>
      </w:r>
    </w:p>
    <w:p w14:paraId="0F7A4833" w14:textId="69C9173A"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Definitions:</w:t>
      </w:r>
    </w:p>
    <w:p w14:paraId="77471603" w14:textId="71AF2732"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lastRenderedPageBreak/>
        <w:t xml:space="preserve">“(a) “Trademark” means any word, name, symbol, or device, or any combination thereof, other than a trade name in its entirety, adopted and used by a person to identify goods made or sold by him or her and to distinguish them from similar goods made or sold by others”, </w:t>
      </w:r>
      <w:r w:rsidRPr="0D0463AD">
        <w:rPr>
          <w:rFonts w:ascii="Times New Roman" w:eastAsia="Times New Roman" w:hAnsi="Times New Roman" w:cs="Times New Roman"/>
          <w:i/>
          <w:iCs/>
          <w:sz w:val="24"/>
          <w:szCs w:val="24"/>
        </w:rPr>
        <w:t>MCLS § 429.31,</w:t>
      </w:r>
      <w:r w:rsidRPr="0D0463AD">
        <w:rPr>
          <w:rFonts w:ascii="Times New Roman" w:eastAsia="Times New Roman" w:hAnsi="Times New Roman" w:cs="Times New Roman"/>
          <w:sz w:val="24"/>
          <w:szCs w:val="24"/>
        </w:rPr>
        <w:t xml:space="preserve"> 2021.</w:t>
      </w:r>
    </w:p>
    <w:p w14:paraId="51FA5B4F" w14:textId="72CF24DE"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“(b) “Person” means any individual, firm, partnership, corporation, association, union, or other organization”, </w:t>
      </w:r>
      <w:r w:rsidRPr="0D0463AD">
        <w:rPr>
          <w:rFonts w:ascii="Times New Roman" w:eastAsia="Times New Roman" w:hAnsi="Times New Roman" w:cs="Times New Roman"/>
          <w:i/>
          <w:iCs/>
          <w:sz w:val="24"/>
          <w:szCs w:val="24"/>
        </w:rPr>
        <w:t>MCLS § 429.31,</w:t>
      </w:r>
      <w:r w:rsidRPr="0D0463AD">
        <w:rPr>
          <w:rFonts w:ascii="Times New Roman" w:eastAsia="Times New Roman" w:hAnsi="Times New Roman" w:cs="Times New Roman"/>
          <w:sz w:val="24"/>
          <w:szCs w:val="24"/>
        </w:rPr>
        <w:t xml:space="preserve"> 2021.</w:t>
      </w:r>
    </w:p>
    <w:p w14:paraId="1E1C72AD" w14:textId="23EADDBE"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“(c) “Applicant” means the person filing an application for registration of a trademark or service mark under this act, his or her legal representatives, successors, or assigns”, </w:t>
      </w:r>
      <w:r w:rsidRPr="0D0463AD">
        <w:rPr>
          <w:rFonts w:ascii="Times New Roman" w:eastAsia="Times New Roman" w:hAnsi="Times New Roman" w:cs="Times New Roman"/>
          <w:i/>
          <w:iCs/>
          <w:sz w:val="24"/>
          <w:szCs w:val="24"/>
        </w:rPr>
        <w:t>MCLS § 429.31,</w:t>
      </w:r>
      <w:r w:rsidRPr="0D0463AD">
        <w:rPr>
          <w:rFonts w:ascii="Times New Roman" w:eastAsia="Times New Roman" w:hAnsi="Times New Roman" w:cs="Times New Roman"/>
          <w:sz w:val="24"/>
          <w:szCs w:val="24"/>
        </w:rPr>
        <w:t xml:space="preserve"> 2021.</w:t>
      </w:r>
    </w:p>
    <w:p w14:paraId="54827013" w14:textId="182CFEB1"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“(d) “Registrant” means the person to whom the registration of a trademark or service mark under this act is issued, his or her legal representatives, successors, or assigns”, </w:t>
      </w:r>
      <w:r w:rsidRPr="0D0463AD">
        <w:rPr>
          <w:rFonts w:ascii="Times New Roman" w:eastAsia="Times New Roman" w:hAnsi="Times New Roman" w:cs="Times New Roman"/>
          <w:i/>
          <w:iCs/>
          <w:sz w:val="24"/>
          <w:szCs w:val="24"/>
        </w:rPr>
        <w:t>MCLS § 429.31,</w:t>
      </w:r>
      <w:r w:rsidRPr="0D0463AD">
        <w:rPr>
          <w:rFonts w:ascii="Times New Roman" w:eastAsia="Times New Roman" w:hAnsi="Times New Roman" w:cs="Times New Roman"/>
          <w:sz w:val="24"/>
          <w:szCs w:val="24"/>
        </w:rPr>
        <w:t xml:space="preserve"> 2021.</w:t>
      </w:r>
    </w:p>
    <w:p w14:paraId="5A8CFF6C" w14:textId="4E7BC07E"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“(e) “Service mark” means any word, name, symbol, or device, or any combination thereof, other than a trade name in its entirety, adopted and used by a person in the sale or advertising of services to identify his or her services and distinguish them from the similar services of others”, </w:t>
      </w:r>
      <w:r w:rsidRPr="0D0463AD">
        <w:rPr>
          <w:rFonts w:ascii="Times New Roman" w:eastAsia="Times New Roman" w:hAnsi="Times New Roman" w:cs="Times New Roman"/>
          <w:i/>
          <w:iCs/>
          <w:sz w:val="24"/>
          <w:szCs w:val="24"/>
        </w:rPr>
        <w:t>MCLS § 429.31,</w:t>
      </w:r>
      <w:r w:rsidRPr="0D0463AD">
        <w:rPr>
          <w:rFonts w:ascii="Times New Roman" w:eastAsia="Times New Roman" w:hAnsi="Times New Roman" w:cs="Times New Roman"/>
          <w:sz w:val="24"/>
          <w:szCs w:val="24"/>
        </w:rPr>
        <w:t xml:space="preserve"> 2021.</w:t>
      </w:r>
    </w:p>
    <w:p w14:paraId="1CBD420F" w14:textId="2E7047CC"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“(f) “Mark” includes any trademark or service mark”, </w:t>
      </w:r>
      <w:r w:rsidRPr="0D0463AD">
        <w:rPr>
          <w:rFonts w:ascii="Times New Roman" w:eastAsia="Times New Roman" w:hAnsi="Times New Roman" w:cs="Times New Roman"/>
          <w:i/>
          <w:iCs/>
          <w:sz w:val="24"/>
          <w:szCs w:val="24"/>
        </w:rPr>
        <w:t>MCLS § 429.31,</w:t>
      </w:r>
      <w:r w:rsidRPr="0D0463AD">
        <w:rPr>
          <w:rFonts w:ascii="Times New Roman" w:eastAsia="Times New Roman" w:hAnsi="Times New Roman" w:cs="Times New Roman"/>
          <w:sz w:val="24"/>
          <w:szCs w:val="24"/>
        </w:rPr>
        <w:t xml:space="preserve"> 2021.</w:t>
      </w:r>
    </w:p>
    <w:p w14:paraId="728A67FC" w14:textId="48761C69"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“(g) “Trade name” means a word or group of words used by any person to identify a sole proprietorship, firm, partnership, corporation, association, union, or other organization”, </w:t>
      </w:r>
      <w:r w:rsidRPr="0D0463AD">
        <w:rPr>
          <w:rFonts w:ascii="Times New Roman" w:eastAsia="Times New Roman" w:hAnsi="Times New Roman" w:cs="Times New Roman"/>
          <w:i/>
          <w:iCs/>
          <w:sz w:val="24"/>
          <w:szCs w:val="24"/>
        </w:rPr>
        <w:t>MCLS § 429.31,</w:t>
      </w:r>
      <w:r w:rsidRPr="0D0463AD">
        <w:rPr>
          <w:rFonts w:ascii="Times New Roman" w:eastAsia="Times New Roman" w:hAnsi="Times New Roman" w:cs="Times New Roman"/>
          <w:sz w:val="24"/>
          <w:szCs w:val="24"/>
        </w:rPr>
        <w:t xml:space="preserve"> 2021.</w:t>
      </w:r>
    </w:p>
    <w:p w14:paraId="6D5C356A" w14:textId="4DA2E57B"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lastRenderedPageBreak/>
        <w:t xml:space="preserve">“(h) A mark is “used” in this state on goods when it is placed in any manner on the goods or their containers or on the tags or labels affixed thereto and such goods are sold or otherwise distributed in this state, and on services when it is used or displayed in this state in the sale or advertising of services and the services are rendered in this state”, </w:t>
      </w:r>
      <w:r w:rsidRPr="0D0463AD">
        <w:rPr>
          <w:rFonts w:ascii="Times New Roman" w:eastAsia="Times New Roman" w:hAnsi="Times New Roman" w:cs="Times New Roman"/>
          <w:i/>
          <w:iCs/>
          <w:sz w:val="24"/>
          <w:szCs w:val="24"/>
        </w:rPr>
        <w:t>MCLS § 429.31,</w:t>
      </w:r>
      <w:r w:rsidRPr="0D0463AD">
        <w:rPr>
          <w:rFonts w:ascii="Times New Roman" w:eastAsia="Times New Roman" w:hAnsi="Times New Roman" w:cs="Times New Roman"/>
          <w:sz w:val="24"/>
          <w:szCs w:val="24"/>
        </w:rPr>
        <w:t xml:space="preserve"> 2021.</w:t>
      </w:r>
    </w:p>
    <w:p w14:paraId="41E5D085" w14:textId="148803BB"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w:t>
      </w:r>
      <w:proofErr w:type="spellStart"/>
      <w:r w:rsidRPr="0D0463AD">
        <w:rPr>
          <w:rFonts w:ascii="Times New Roman" w:eastAsia="Times New Roman" w:hAnsi="Times New Roman" w:cs="Times New Roman"/>
          <w:sz w:val="24"/>
          <w:szCs w:val="24"/>
        </w:rPr>
        <w:t>i</w:t>
      </w:r>
      <w:proofErr w:type="spellEnd"/>
      <w:r w:rsidRPr="0D0463AD">
        <w:rPr>
          <w:rFonts w:ascii="Times New Roman" w:eastAsia="Times New Roman" w:hAnsi="Times New Roman" w:cs="Times New Roman"/>
          <w:sz w:val="24"/>
          <w:szCs w:val="24"/>
        </w:rPr>
        <w:t xml:space="preserve">) A mark is “abandoned” when its use has been discontinued with intent not to resume. Intent not to resume may be inferred from circumstances. Nonuse for 2 consecutive years shall be prima facie abandonment”, </w:t>
      </w:r>
      <w:r w:rsidRPr="0D0463AD">
        <w:rPr>
          <w:rFonts w:ascii="Times New Roman" w:eastAsia="Times New Roman" w:hAnsi="Times New Roman" w:cs="Times New Roman"/>
          <w:i/>
          <w:iCs/>
          <w:sz w:val="24"/>
          <w:szCs w:val="24"/>
        </w:rPr>
        <w:t>MCLS § 429.31,</w:t>
      </w:r>
      <w:r w:rsidRPr="0D0463AD">
        <w:rPr>
          <w:rFonts w:ascii="Times New Roman" w:eastAsia="Times New Roman" w:hAnsi="Times New Roman" w:cs="Times New Roman"/>
          <w:sz w:val="24"/>
          <w:szCs w:val="24"/>
        </w:rPr>
        <w:t xml:space="preserve"> 2021.</w:t>
      </w:r>
    </w:p>
    <w:p w14:paraId="4FE95E6D" w14:textId="44004CF9"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“(j) “Administrator” means the director of commerce or his or her designated representative”, </w:t>
      </w:r>
      <w:r w:rsidRPr="0D0463AD">
        <w:rPr>
          <w:rFonts w:ascii="Times New Roman" w:eastAsia="Times New Roman" w:hAnsi="Times New Roman" w:cs="Times New Roman"/>
          <w:i/>
          <w:iCs/>
          <w:sz w:val="24"/>
          <w:szCs w:val="24"/>
        </w:rPr>
        <w:t>MCLS § 429.31,</w:t>
      </w:r>
      <w:r w:rsidRPr="0D0463AD">
        <w:rPr>
          <w:rFonts w:ascii="Times New Roman" w:eastAsia="Times New Roman" w:hAnsi="Times New Roman" w:cs="Times New Roman"/>
          <w:sz w:val="24"/>
          <w:szCs w:val="24"/>
        </w:rPr>
        <w:t xml:space="preserve"> 2021.</w:t>
      </w:r>
    </w:p>
    <w:p w14:paraId="4FAA2D5A" w14:textId="3FB707C5"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b/>
          <w:bCs/>
          <w:sz w:val="24"/>
          <w:szCs w:val="24"/>
        </w:rPr>
        <w:t>Analysis:</w:t>
      </w:r>
    </w:p>
    <w:p w14:paraId="2D6D5425" w14:textId="4A9A90C6"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The court found that the plaintiff’s mark had priority as its predecessors had used the surname in connection with its restaurants for several decades. It was found that the similarity had likely caused confusion, and even actual confusion had occurred in consumers believing the two were associated as the two were nearly identical, </w:t>
      </w:r>
      <w:r w:rsidRPr="0D0463AD">
        <w:rPr>
          <w:rFonts w:ascii="Times New Roman" w:eastAsia="Times New Roman" w:hAnsi="Times New Roman" w:cs="Times New Roman"/>
          <w:i/>
          <w:iCs/>
          <w:sz w:val="24"/>
          <w:szCs w:val="24"/>
        </w:rPr>
        <w:t xml:space="preserve">Janet Travis, Inc. v. </w:t>
      </w:r>
      <w:proofErr w:type="spellStart"/>
      <w:r w:rsidRPr="0D0463AD">
        <w:rPr>
          <w:rFonts w:ascii="Times New Roman" w:eastAsia="Times New Roman" w:hAnsi="Times New Roman" w:cs="Times New Roman"/>
          <w:i/>
          <w:iCs/>
          <w:sz w:val="24"/>
          <w:szCs w:val="24"/>
        </w:rPr>
        <w:t>Preka</w:t>
      </w:r>
      <w:proofErr w:type="spellEnd"/>
      <w:r w:rsidRPr="0D0463AD">
        <w:rPr>
          <w:rFonts w:ascii="Times New Roman" w:eastAsia="Times New Roman" w:hAnsi="Times New Roman" w:cs="Times New Roman"/>
          <w:i/>
          <w:iCs/>
          <w:sz w:val="24"/>
          <w:szCs w:val="24"/>
        </w:rPr>
        <w:t xml:space="preserve"> Holdings, L.L.C., 306 Mich. App. 266,</w:t>
      </w:r>
      <w:r w:rsidRPr="0D0463AD">
        <w:rPr>
          <w:rFonts w:ascii="Times New Roman" w:eastAsia="Times New Roman" w:hAnsi="Times New Roman" w:cs="Times New Roman"/>
          <w:sz w:val="24"/>
          <w:szCs w:val="24"/>
        </w:rPr>
        <w:t xml:space="preserve"> 2014.</w:t>
      </w:r>
    </w:p>
    <w:p w14:paraId="0E477361" w14:textId="684281CE"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The defendant held that the plaintiff’s “Travis” mark had not gained secondary meaning, as such it did not constitute a valid trademark. The trial court ruled that the surname used by the plaintiff had gained secondary meaning and was, as such, a valid trademark. It denied the defendant’s motion for summary judgement and granted the plaintiff’s request for a permanent injunction against the defendant for his use of the marks, which was affirmed by the sixth circuit court, </w:t>
      </w:r>
      <w:r w:rsidRPr="0D0463AD">
        <w:rPr>
          <w:rFonts w:ascii="Times New Roman" w:eastAsia="Times New Roman" w:hAnsi="Times New Roman" w:cs="Times New Roman"/>
          <w:i/>
          <w:iCs/>
          <w:sz w:val="24"/>
          <w:szCs w:val="24"/>
        </w:rPr>
        <w:t xml:space="preserve">Janet Travis, Inc. v. </w:t>
      </w:r>
      <w:proofErr w:type="spellStart"/>
      <w:r w:rsidRPr="0D0463AD">
        <w:rPr>
          <w:rFonts w:ascii="Times New Roman" w:eastAsia="Times New Roman" w:hAnsi="Times New Roman" w:cs="Times New Roman"/>
          <w:i/>
          <w:iCs/>
          <w:sz w:val="24"/>
          <w:szCs w:val="24"/>
        </w:rPr>
        <w:t>Preka</w:t>
      </w:r>
      <w:proofErr w:type="spellEnd"/>
      <w:r w:rsidRPr="0D0463AD">
        <w:rPr>
          <w:rFonts w:ascii="Times New Roman" w:eastAsia="Times New Roman" w:hAnsi="Times New Roman" w:cs="Times New Roman"/>
          <w:i/>
          <w:iCs/>
          <w:sz w:val="24"/>
          <w:szCs w:val="24"/>
        </w:rPr>
        <w:t xml:space="preserve"> Holdings, L.L.C., 306 Mich. App. 266,</w:t>
      </w:r>
      <w:r w:rsidRPr="0D0463AD">
        <w:rPr>
          <w:rFonts w:ascii="Times New Roman" w:eastAsia="Times New Roman" w:hAnsi="Times New Roman" w:cs="Times New Roman"/>
          <w:sz w:val="24"/>
          <w:szCs w:val="24"/>
        </w:rPr>
        <w:t xml:space="preserve"> 2014.</w:t>
      </w:r>
    </w:p>
    <w:p w14:paraId="15A2AAEB" w14:textId="548CE81F"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b/>
          <w:bCs/>
          <w:sz w:val="24"/>
          <w:szCs w:val="24"/>
        </w:rPr>
        <w:t>Conclusion:</w:t>
      </w:r>
    </w:p>
    <w:p w14:paraId="01075269" w14:textId="1D86C7AB"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lastRenderedPageBreak/>
        <w:t>These cases will be valuable in obtaining the necessary research to make a clear determination to our client’s questions about the case being evaluated. The Lanham Act, U.S. Supreme Court, Sixth Circuit Court, and District Court cases will be highly valuable in obtaining the answers we need. We need cases of varying levels of import and authority. Whether they are cases in support of our client’s case, or that may encourage our client to change the name of her business, its use would be of the utmost importance. The goal of the research is to assist the client in making an informed decision, and these should assist him to that end.</w:t>
      </w:r>
      <w:r>
        <w:br/>
      </w:r>
    </w:p>
    <w:p w14:paraId="00D3F23F" w14:textId="09A03A65"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Sincerely,</w:t>
      </w:r>
    </w:p>
    <w:p w14:paraId="4B0E7EB6" w14:textId="04E1E815" w:rsidR="26C0EFE3" w:rsidRDefault="26C0EFE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Danielle Pittman, A. Paralegal</w:t>
      </w:r>
    </w:p>
    <w:p w14:paraId="7930A755" w14:textId="25B87E96" w:rsidR="0D0463AD" w:rsidRDefault="0D0463AD" w:rsidP="0D0463AD">
      <w:pPr>
        <w:spacing w:line="480" w:lineRule="auto"/>
        <w:rPr>
          <w:rFonts w:ascii="Times New Roman" w:eastAsia="Times New Roman" w:hAnsi="Times New Roman" w:cs="Times New Roman"/>
          <w:sz w:val="24"/>
          <w:szCs w:val="24"/>
        </w:rPr>
      </w:pPr>
    </w:p>
    <w:p w14:paraId="48664D4E" w14:textId="647EB94E" w:rsidR="0D0463AD" w:rsidRDefault="0D0463AD" w:rsidP="0D0463AD">
      <w:pPr>
        <w:spacing w:line="480" w:lineRule="auto"/>
        <w:rPr>
          <w:rFonts w:ascii="Times New Roman" w:eastAsia="Times New Roman" w:hAnsi="Times New Roman" w:cs="Times New Roman"/>
          <w:sz w:val="24"/>
          <w:szCs w:val="24"/>
        </w:rPr>
      </w:pPr>
    </w:p>
    <w:p w14:paraId="4FF60145" w14:textId="77777777" w:rsidR="004D6B80" w:rsidRDefault="004D6B80" w:rsidP="0D0463AD">
      <w:pPr>
        <w:spacing w:before="40" w:after="0" w:line="480" w:lineRule="auto"/>
        <w:jc w:val="center"/>
      </w:pPr>
    </w:p>
    <w:p w14:paraId="0C72BE78" w14:textId="77777777" w:rsidR="004D6B80" w:rsidRDefault="004D6B80" w:rsidP="0D0463AD">
      <w:pPr>
        <w:spacing w:before="40" w:after="0" w:line="480" w:lineRule="auto"/>
        <w:jc w:val="center"/>
      </w:pPr>
    </w:p>
    <w:p w14:paraId="41E84113" w14:textId="77777777" w:rsidR="004D6B80" w:rsidRDefault="004D6B80" w:rsidP="0D0463AD">
      <w:pPr>
        <w:spacing w:before="40" w:after="0" w:line="480" w:lineRule="auto"/>
        <w:jc w:val="center"/>
      </w:pPr>
    </w:p>
    <w:p w14:paraId="780BDB70" w14:textId="77777777" w:rsidR="004D6B80" w:rsidRDefault="004D6B80" w:rsidP="0D0463AD">
      <w:pPr>
        <w:spacing w:before="40" w:after="0" w:line="480" w:lineRule="auto"/>
        <w:jc w:val="center"/>
      </w:pPr>
    </w:p>
    <w:p w14:paraId="45EE2BC0" w14:textId="77777777" w:rsidR="004D6B80" w:rsidRDefault="004D6B80" w:rsidP="0D0463AD">
      <w:pPr>
        <w:spacing w:before="40" w:after="0" w:line="480" w:lineRule="auto"/>
        <w:jc w:val="center"/>
      </w:pPr>
    </w:p>
    <w:p w14:paraId="79337D2E" w14:textId="77777777" w:rsidR="004D6B80" w:rsidRDefault="004D6B80" w:rsidP="0D0463AD">
      <w:pPr>
        <w:spacing w:before="40" w:after="0" w:line="480" w:lineRule="auto"/>
        <w:jc w:val="center"/>
      </w:pPr>
    </w:p>
    <w:p w14:paraId="54232553" w14:textId="77777777" w:rsidR="004D6B80" w:rsidRDefault="004D6B80" w:rsidP="0D0463AD">
      <w:pPr>
        <w:spacing w:before="40" w:after="0" w:line="480" w:lineRule="auto"/>
        <w:jc w:val="center"/>
      </w:pPr>
    </w:p>
    <w:p w14:paraId="51D0CC0E" w14:textId="77777777" w:rsidR="004D6B80" w:rsidRDefault="004D6B80" w:rsidP="0D0463AD">
      <w:pPr>
        <w:spacing w:before="40" w:after="0" w:line="480" w:lineRule="auto"/>
        <w:jc w:val="center"/>
      </w:pPr>
    </w:p>
    <w:p w14:paraId="41976EEE" w14:textId="77777777" w:rsidR="004D6B80" w:rsidRDefault="004D6B80" w:rsidP="0D0463AD">
      <w:pPr>
        <w:spacing w:before="40" w:after="0" w:line="480" w:lineRule="auto"/>
        <w:jc w:val="center"/>
      </w:pPr>
    </w:p>
    <w:p w14:paraId="0D9C8B73" w14:textId="77777777" w:rsidR="004D6B80" w:rsidRDefault="004D6B80" w:rsidP="0D0463AD">
      <w:pPr>
        <w:spacing w:before="40" w:after="0" w:line="480" w:lineRule="auto"/>
        <w:jc w:val="center"/>
      </w:pPr>
    </w:p>
    <w:p w14:paraId="202D7924" w14:textId="69877B92" w:rsidR="1A69BC23" w:rsidRDefault="00776A3C" w:rsidP="0D0463AD">
      <w:pPr>
        <w:spacing w:before="40" w:after="0" w:line="480" w:lineRule="auto"/>
        <w:jc w:val="center"/>
        <w:rPr>
          <w:rFonts w:ascii="Times New Roman" w:eastAsia="Times New Roman" w:hAnsi="Times New Roman" w:cs="Times New Roman"/>
          <w:color w:val="1F3763"/>
          <w:sz w:val="24"/>
          <w:szCs w:val="24"/>
        </w:rPr>
      </w:pPr>
      <w:hyperlink r:id="rId13">
        <w:r w:rsidR="1A69BC23" w:rsidRPr="0D0463AD">
          <w:rPr>
            <w:rStyle w:val="Hyperlink"/>
            <w:rFonts w:ascii="Times New Roman" w:eastAsia="Times New Roman" w:hAnsi="Times New Roman" w:cs="Times New Roman"/>
            <w:b/>
            <w:bCs/>
            <w:sz w:val="24"/>
            <w:szCs w:val="24"/>
          </w:rPr>
          <w:t>W7: Final Exam</w:t>
        </w:r>
      </w:hyperlink>
    </w:p>
    <w:p w14:paraId="5C7EA1D8" w14:textId="4731444B" w:rsidR="1A69BC23" w:rsidRDefault="1A69BC23" w:rsidP="0D0463AD">
      <w:pPr>
        <w:spacing w:line="240" w:lineRule="auto"/>
        <w:jc w:val="center"/>
        <w:rPr>
          <w:rFonts w:ascii="Times New Roman" w:eastAsia="Times New Roman" w:hAnsi="Times New Roman" w:cs="Times New Roman"/>
          <w:sz w:val="24"/>
          <w:szCs w:val="24"/>
        </w:rPr>
      </w:pPr>
      <w:r w:rsidRPr="0D0463AD">
        <w:rPr>
          <w:rFonts w:ascii="Times New Roman" w:eastAsia="Times New Roman" w:hAnsi="Times New Roman" w:cs="Times New Roman"/>
        </w:rPr>
        <w:t>Lisa Howard</w:t>
      </w:r>
      <w:r>
        <w:br/>
      </w:r>
      <w:r w:rsidRPr="0D0463AD">
        <w:rPr>
          <w:rFonts w:ascii="Times New Roman" w:eastAsia="Times New Roman" w:hAnsi="Times New Roman" w:cs="Times New Roman"/>
        </w:rPr>
        <w:t>Attorney at Law</w:t>
      </w:r>
      <w:r>
        <w:br/>
      </w:r>
      <w:r w:rsidRPr="0D0463AD">
        <w:rPr>
          <w:rFonts w:ascii="Times New Roman" w:eastAsia="Times New Roman" w:hAnsi="Times New Roman" w:cs="Times New Roman"/>
        </w:rPr>
        <w:t>Howard &amp; Mills, P.C.</w:t>
      </w:r>
      <w:r>
        <w:br/>
      </w:r>
      <w:r w:rsidRPr="0D0463AD">
        <w:rPr>
          <w:rFonts w:ascii="Times New Roman" w:eastAsia="Times New Roman" w:hAnsi="Times New Roman" w:cs="Times New Roman"/>
        </w:rPr>
        <w:t>Address</w:t>
      </w:r>
      <w:r>
        <w:br/>
      </w:r>
      <w:r w:rsidRPr="0D0463AD">
        <w:rPr>
          <w:rFonts w:ascii="Times New Roman" w:eastAsia="Times New Roman" w:hAnsi="Times New Roman" w:cs="Times New Roman"/>
        </w:rPr>
        <w:t>Charlotte</w:t>
      </w:r>
      <w:r w:rsidRPr="0D0463AD">
        <w:rPr>
          <w:rFonts w:ascii="Times New Roman" w:eastAsia="Times New Roman" w:hAnsi="Times New Roman" w:cs="Times New Roman"/>
          <w:sz w:val="24"/>
          <w:szCs w:val="24"/>
        </w:rPr>
        <w:t>, NC 12345</w:t>
      </w:r>
      <w:r>
        <w:br/>
      </w:r>
      <w:r w:rsidRPr="0D0463AD">
        <w:rPr>
          <w:rFonts w:ascii="Times New Roman" w:eastAsia="Times New Roman" w:hAnsi="Times New Roman" w:cs="Times New Roman"/>
          <w:sz w:val="24"/>
          <w:szCs w:val="24"/>
        </w:rPr>
        <w:t xml:space="preserve"> Tel. (555) 555-555 Fax. (555) 555-5555</w:t>
      </w:r>
    </w:p>
    <w:p w14:paraId="3F8A659A" w14:textId="09BC0FA0" w:rsidR="1A69BC23" w:rsidRDefault="1A69BC23" w:rsidP="0D0463AD">
      <w:pPr>
        <w:spacing w:line="24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April 20, 2021</w:t>
      </w:r>
    </w:p>
    <w:p w14:paraId="4AD954A3" w14:textId="419BAC4F" w:rsidR="1A69BC23" w:rsidRDefault="1A69BC23" w:rsidP="0D0463AD">
      <w:pPr>
        <w:spacing w:line="24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Christine Donnelly</w:t>
      </w:r>
    </w:p>
    <w:p w14:paraId="61EBDEBC" w14:textId="2B615AE9" w:rsidR="1A69BC23" w:rsidRDefault="1A69BC23" w:rsidP="0D0463AD">
      <w:pPr>
        <w:spacing w:line="24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Trademark Infringement Analysis</w:t>
      </w:r>
    </w:p>
    <w:p w14:paraId="733BDD8F" w14:textId="5744F906" w:rsidR="1A69BC23" w:rsidRDefault="1A69BC23" w:rsidP="0D0463AD">
      <w:pPr>
        <w:spacing w:line="24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Address</w:t>
      </w:r>
    </w:p>
    <w:p w14:paraId="7B839D27" w14:textId="722414B1" w:rsidR="1A69BC23" w:rsidRDefault="1A69BC23" w:rsidP="0D0463AD">
      <w:pPr>
        <w:spacing w:line="24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Charlotte, NC, 12345</w:t>
      </w:r>
    </w:p>
    <w:p w14:paraId="68BA1BEE" w14:textId="27758A5A" w:rsidR="0D0463AD" w:rsidRDefault="0D0463AD" w:rsidP="0D0463AD">
      <w:pPr>
        <w:spacing w:line="240" w:lineRule="auto"/>
        <w:rPr>
          <w:rFonts w:ascii="Times New Roman" w:eastAsia="Times New Roman" w:hAnsi="Times New Roman" w:cs="Times New Roman"/>
          <w:sz w:val="24"/>
          <w:szCs w:val="24"/>
        </w:rPr>
      </w:pPr>
    </w:p>
    <w:p w14:paraId="0BB49381" w14:textId="3B37B3D7" w:rsidR="1A69BC23" w:rsidRDefault="1A69BC23" w:rsidP="0D0463AD">
      <w:pPr>
        <w:spacing w:line="24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Ms. Donnelly,</w:t>
      </w:r>
    </w:p>
    <w:p w14:paraId="7219F601" w14:textId="58E39945" w:rsidR="1A69BC23" w:rsidRDefault="1A69BC23" w:rsidP="0D0463AD">
      <w:pPr>
        <w:spacing w:line="24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I hope that this letter finds you well. We have recently been informed that you received a letter from a Mr. Greg Sawyer, who raised claims of trademark infringement regarding your business Sweet Lorraine’s Bakery. In junction with this was a demand for you to change the name of the business. You have requested that we research, analyze and advise you as to the answers </w:t>
      </w:r>
      <w:proofErr w:type="gramStart"/>
      <w:r w:rsidRPr="0D0463AD">
        <w:rPr>
          <w:rFonts w:ascii="Times New Roman" w:eastAsia="Times New Roman" w:hAnsi="Times New Roman" w:cs="Times New Roman"/>
          <w:sz w:val="24"/>
          <w:szCs w:val="24"/>
        </w:rPr>
        <w:t>of</w:t>
      </w:r>
      <w:proofErr w:type="gramEnd"/>
      <w:r w:rsidRPr="0D0463AD">
        <w:rPr>
          <w:rFonts w:ascii="Times New Roman" w:eastAsia="Times New Roman" w:hAnsi="Times New Roman" w:cs="Times New Roman"/>
          <w:sz w:val="24"/>
          <w:szCs w:val="24"/>
        </w:rPr>
        <w:t xml:space="preserve"> these key questions:</w:t>
      </w:r>
    </w:p>
    <w:p w14:paraId="519C78C1" w14:textId="3D5CC106" w:rsidR="1A69BC23" w:rsidRDefault="1A69BC23" w:rsidP="0D0463AD">
      <w:pPr>
        <w:spacing w:line="24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Whether Mr. </w:t>
      </w:r>
      <w:proofErr w:type="spellStart"/>
      <w:r w:rsidRPr="0D0463AD">
        <w:rPr>
          <w:rFonts w:ascii="Times New Roman" w:eastAsia="Times New Roman" w:hAnsi="Times New Roman" w:cs="Times New Roman"/>
          <w:sz w:val="24"/>
          <w:szCs w:val="24"/>
        </w:rPr>
        <w:t>Sawer</w:t>
      </w:r>
      <w:proofErr w:type="spellEnd"/>
      <w:r w:rsidRPr="0D0463AD">
        <w:rPr>
          <w:rFonts w:ascii="Times New Roman" w:eastAsia="Times New Roman" w:hAnsi="Times New Roman" w:cs="Times New Roman"/>
          <w:sz w:val="24"/>
          <w:szCs w:val="24"/>
        </w:rPr>
        <w:t xml:space="preserve"> has a valid claim for trademark infringement?</w:t>
      </w:r>
    </w:p>
    <w:p w14:paraId="073DAF87" w14:textId="2A25C536" w:rsidR="1A69BC23" w:rsidRDefault="1A69BC23" w:rsidP="0D0463AD">
      <w:pPr>
        <w:spacing w:line="24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What kind of damages you, as the defendant, could face if Mr. Sawyer follows through with his intent to sue and wins?</w:t>
      </w:r>
    </w:p>
    <w:p w14:paraId="082929AF" w14:textId="3EC59971" w:rsidR="1A69BC23" w:rsidRDefault="1A69BC23" w:rsidP="0D0463AD">
      <w:pPr>
        <w:spacing w:line="24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Would the firm advise to stand firm and refuse to change the name of the business or comply with Mr. Sawyer’s demands?</w:t>
      </w:r>
    </w:p>
    <w:p w14:paraId="168F23FD" w14:textId="7C49E5BA" w:rsidR="1A69BC23" w:rsidRDefault="1A69BC23" w:rsidP="0D0463AD">
      <w:pPr>
        <w:spacing w:line="24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When researching whether Mr. Sawyer has a valid claim for trademark infringement, we can refer to The Lanham Act. We can confirm through sub-section (a), (3) This section states that no one has the right to use a trademark other than the trademark owner. In no manner that is identical, or is </w:t>
      </w:r>
      <w:proofErr w:type="gramStart"/>
      <w:r w:rsidRPr="0D0463AD">
        <w:rPr>
          <w:rFonts w:ascii="Times New Roman" w:eastAsia="Times New Roman" w:hAnsi="Times New Roman" w:cs="Times New Roman"/>
          <w:sz w:val="24"/>
          <w:szCs w:val="24"/>
        </w:rPr>
        <w:t>similar to</w:t>
      </w:r>
      <w:proofErr w:type="gramEnd"/>
      <w:r w:rsidRPr="0D0463AD">
        <w:rPr>
          <w:rFonts w:ascii="Times New Roman" w:eastAsia="Times New Roman" w:hAnsi="Times New Roman" w:cs="Times New Roman"/>
          <w:sz w:val="24"/>
          <w:szCs w:val="24"/>
        </w:rPr>
        <w:t xml:space="preserve"> it in any way acceptable, </w:t>
      </w:r>
      <w:r w:rsidRPr="0D0463AD">
        <w:rPr>
          <w:rFonts w:ascii="Times New Roman" w:eastAsia="Times New Roman" w:hAnsi="Times New Roman" w:cs="Times New Roman"/>
          <w:i/>
          <w:iCs/>
          <w:sz w:val="24"/>
          <w:szCs w:val="24"/>
        </w:rPr>
        <w:t>15 USCS § 1051,</w:t>
      </w:r>
      <w:r w:rsidRPr="0D0463AD">
        <w:rPr>
          <w:rFonts w:ascii="Times New Roman" w:eastAsia="Times New Roman" w:hAnsi="Times New Roman" w:cs="Times New Roman"/>
          <w:sz w:val="24"/>
          <w:szCs w:val="24"/>
        </w:rPr>
        <w:t xml:space="preserve"> 2021. This means that as Mr. Sawyer has a valid trademark, he has grounds to demand that trademark be enforced and upheld by the courts. It is not allowed in any way that is similar or identical. </w:t>
      </w:r>
    </w:p>
    <w:p w14:paraId="689C25F4" w14:textId="01E4739D" w:rsidR="1A69BC23" w:rsidRDefault="1A69BC23" w:rsidP="0D0463AD">
      <w:pPr>
        <w:spacing w:line="24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As part of The Lanham Act sub-section (a), (3), (D); in the case of every application attempting to make use of the trademark the applicant must: </w:t>
      </w:r>
      <w:r w:rsidRPr="0D0463AD">
        <w:rPr>
          <w:rFonts w:ascii="Times New Roman" w:eastAsia="Times New Roman" w:hAnsi="Times New Roman" w:cs="Times New Roman"/>
          <w:i/>
          <w:iCs/>
          <w:sz w:val="24"/>
          <w:szCs w:val="24"/>
        </w:rPr>
        <w:t>15 USCS § 1051,</w:t>
      </w:r>
      <w:r w:rsidRPr="0D0463AD">
        <w:rPr>
          <w:rFonts w:ascii="Times New Roman" w:eastAsia="Times New Roman" w:hAnsi="Times New Roman" w:cs="Times New Roman"/>
          <w:sz w:val="24"/>
          <w:szCs w:val="24"/>
        </w:rPr>
        <w:t xml:space="preserve"> 2021.</w:t>
      </w:r>
    </w:p>
    <w:p w14:paraId="2E240528" w14:textId="45C4D9AD" w:rsidR="1A69BC23" w:rsidRDefault="1A69BC23" w:rsidP="0D0463AD">
      <w:pPr>
        <w:spacing w:line="24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“(I)state exceptions to the claim of exclusive use: </w:t>
      </w:r>
    </w:p>
    <w:p w14:paraId="1C11CB84" w14:textId="781ECBDC" w:rsidR="1A69BC23" w:rsidRDefault="1A69BC23" w:rsidP="0D0463AD">
      <w:pPr>
        <w:spacing w:line="24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(ii) shall specify, to the extent of the verifier’s knowledge—</w:t>
      </w:r>
    </w:p>
    <w:p w14:paraId="69FE44E4" w14:textId="7B2756B7" w:rsidR="1A69BC23" w:rsidRDefault="1A69BC23" w:rsidP="0D0463AD">
      <w:pPr>
        <w:spacing w:line="240" w:lineRule="auto"/>
        <w:ind w:firstLine="720"/>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(I) any concurrent use by </w:t>
      </w:r>
      <w:proofErr w:type="gramStart"/>
      <w:r w:rsidRPr="0D0463AD">
        <w:rPr>
          <w:rFonts w:ascii="Times New Roman" w:eastAsia="Times New Roman" w:hAnsi="Times New Roman" w:cs="Times New Roman"/>
          <w:sz w:val="24"/>
          <w:szCs w:val="24"/>
        </w:rPr>
        <w:t>others;</w:t>
      </w:r>
      <w:proofErr w:type="gramEnd"/>
    </w:p>
    <w:p w14:paraId="1700721E" w14:textId="044C42A7" w:rsidR="1A69BC23" w:rsidRDefault="1A69BC23" w:rsidP="0D0463AD">
      <w:pPr>
        <w:spacing w:line="240" w:lineRule="auto"/>
        <w:ind w:firstLine="720"/>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lastRenderedPageBreak/>
        <w:t xml:space="preserve">(II) the goods on or in connection with which and the areas in which each concurrent use </w:t>
      </w:r>
      <w:r>
        <w:tab/>
      </w:r>
      <w:proofErr w:type="gramStart"/>
      <w:r w:rsidRPr="0D0463AD">
        <w:rPr>
          <w:rFonts w:ascii="Times New Roman" w:eastAsia="Times New Roman" w:hAnsi="Times New Roman" w:cs="Times New Roman"/>
          <w:sz w:val="24"/>
          <w:szCs w:val="24"/>
        </w:rPr>
        <w:t>exists;</w:t>
      </w:r>
      <w:proofErr w:type="gramEnd"/>
    </w:p>
    <w:p w14:paraId="401859FF" w14:textId="3784ED78" w:rsidR="1A69BC23" w:rsidRDefault="1A69BC23" w:rsidP="0D0463AD">
      <w:pPr>
        <w:spacing w:line="240" w:lineRule="auto"/>
        <w:ind w:firstLine="720"/>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(III) the periods of each use; and</w:t>
      </w:r>
    </w:p>
    <w:p w14:paraId="232E7F37" w14:textId="202E54EA" w:rsidR="1A69BC23" w:rsidRDefault="1A69BC23" w:rsidP="0D0463AD">
      <w:pPr>
        <w:spacing w:line="240" w:lineRule="auto"/>
        <w:ind w:firstLine="720"/>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(IV) the goods and area for which the applicant desires registration”, </w:t>
      </w:r>
      <w:r w:rsidRPr="0D0463AD">
        <w:rPr>
          <w:rFonts w:ascii="Times New Roman" w:eastAsia="Times New Roman" w:hAnsi="Times New Roman" w:cs="Times New Roman"/>
          <w:i/>
          <w:iCs/>
          <w:sz w:val="24"/>
          <w:szCs w:val="24"/>
        </w:rPr>
        <w:t>15 USCS § 1051,</w:t>
      </w:r>
      <w:r w:rsidRPr="0D0463AD">
        <w:rPr>
          <w:rFonts w:ascii="Times New Roman" w:eastAsia="Times New Roman" w:hAnsi="Times New Roman" w:cs="Times New Roman"/>
          <w:sz w:val="24"/>
          <w:szCs w:val="24"/>
        </w:rPr>
        <w:t xml:space="preserve"> </w:t>
      </w:r>
      <w:r>
        <w:tab/>
      </w:r>
      <w:r w:rsidRPr="0D0463AD">
        <w:rPr>
          <w:rFonts w:ascii="Times New Roman" w:eastAsia="Times New Roman" w:hAnsi="Times New Roman" w:cs="Times New Roman"/>
          <w:sz w:val="24"/>
          <w:szCs w:val="24"/>
        </w:rPr>
        <w:t>2021.</w:t>
      </w:r>
    </w:p>
    <w:p w14:paraId="28BD6490" w14:textId="5586EC61" w:rsidR="1A69BC23" w:rsidRDefault="1A69BC23" w:rsidP="0D0463AD">
      <w:pPr>
        <w:spacing w:line="24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From this we can derive that the individual that is making use of another’s mark is excused from a claim of infringement if; neither the purpose of the business, </w:t>
      </w:r>
      <w:proofErr w:type="gramStart"/>
      <w:r w:rsidRPr="0D0463AD">
        <w:rPr>
          <w:rFonts w:ascii="Times New Roman" w:eastAsia="Times New Roman" w:hAnsi="Times New Roman" w:cs="Times New Roman"/>
          <w:sz w:val="24"/>
          <w:szCs w:val="24"/>
        </w:rPr>
        <w:t>period of time</w:t>
      </w:r>
      <w:proofErr w:type="gramEnd"/>
      <w:r w:rsidRPr="0D0463AD">
        <w:rPr>
          <w:rFonts w:ascii="Times New Roman" w:eastAsia="Times New Roman" w:hAnsi="Times New Roman" w:cs="Times New Roman"/>
          <w:sz w:val="24"/>
          <w:szCs w:val="24"/>
        </w:rPr>
        <w:t xml:space="preserve"> in operation, or the areas in which the businesses are located do not overlap. As this applies to Mr. Sawyers claim for trademark infringement, we see that there is overlap under all subjects aside from the areas in which the businesses are located. That is unless the Sawyers wish to branch into the area of Charlotte, North Carolina.</w:t>
      </w:r>
    </w:p>
    <w:p w14:paraId="4C6553FE" w14:textId="0EFADCC8" w:rsidR="1A69BC23" w:rsidRDefault="1A69BC23" w:rsidP="0D0463AD">
      <w:pPr>
        <w:spacing w:line="24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When attempting to determine if Mr. Sawyer has a claim for trademark infringement, we can examine the civil case for trademark infringement </w:t>
      </w:r>
      <w:r w:rsidRPr="0D0463AD">
        <w:rPr>
          <w:rFonts w:ascii="Times New Roman" w:eastAsia="Times New Roman" w:hAnsi="Times New Roman" w:cs="Times New Roman"/>
          <w:b/>
          <w:bCs/>
          <w:sz w:val="24"/>
          <w:szCs w:val="24"/>
        </w:rPr>
        <w:t>Audi AG v. D'Amato</w:t>
      </w:r>
      <w:r w:rsidRPr="0D0463AD">
        <w:rPr>
          <w:rFonts w:ascii="Times New Roman" w:eastAsia="Times New Roman" w:hAnsi="Times New Roman" w:cs="Times New Roman"/>
          <w:sz w:val="24"/>
          <w:szCs w:val="24"/>
        </w:rPr>
        <w:t xml:space="preserve">. The defendant was using the mark, logo and product names on a website advertising the products </w:t>
      </w:r>
      <w:proofErr w:type="gramStart"/>
      <w:r w:rsidRPr="0D0463AD">
        <w:rPr>
          <w:rFonts w:ascii="Times New Roman" w:eastAsia="Times New Roman" w:hAnsi="Times New Roman" w:cs="Times New Roman"/>
          <w:sz w:val="24"/>
          <w:szCs w:val="24"/>
        </w:rPr>
        <w:t>in order to</w:t>
      </w:r>
      <w:proofErr w:type="gramEnd"/>
      <w:r w:rsidRPr="0D0463AD">
        <w:rPr>
          <w:rFonts w:ascii="Times New Roman" w:eastAsia="Times New Roman" w:hAnsi="Times New Roman" w:cs="Times New Roman"/>
          <w:sz w:val="24"/>
          <w:szCs w:val="24"/>
        </w:rPr>
        <w:t xml:space="preserve"> make a profit. He knowingly violated the laws of trademark infringement, though he alleged that he had verbal permission from individuals affiliated with the company. Though he never received any official verification of such,</w:t>
      </w:r>
      <w:r w:rsidRPr="0D0463AD">
        <w:rPr>
          <w:rFonts w:ascii="Times New Roman" w:eastAsia="Times New Roman" w:hAnsi="Times New Roman" w:cs="Times New Roman"/>
          <w:i/>
          <w:iCs/>
          <w:sz w:val="24"/>
          <w:szCs w:val="24"/>
        </w:rPr>
        <w:t xml:space="preserve"> Audi AG v. D'Amato, 381 F. Supp. 2d 644,</w:t>
      </w:r>
      <w:r w:rsidRPr="0D0463AD">
        <w:rPr>
          <w:rFonts w:ascii="Times New Roman" w:eastAsia="Times New Roman" w:hAnsi="Times New Roman" w:cs="Times New Roman"/>
          <w:sz w:val="24"/>
          <w:szCs w:val="24"/>
        </w:rPr>
        <w:t xml:space="preserve"> 2005. In comparison, you were not knowingly at fault and at this point there has not been a calculated loss to Mr. Sawyer.</w:t>
      </w:r>
    </w:p>
    <w:p w14:paraId="472BEA83" w14:textId="7EE4A96C" w:rsidR="1A69BC23" w:rsidRDefault="1A69BC23" w:rsidP="0D0463AD">
      <w:pPr>
        <w:spacing w:line="24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A far as what kind of damages we could expect you to be responsible for should Mr. Sawyer win his suit: we would expect compensatory damages. Which would be proportional to any profits Mr. Sawyer’s business lost to Sweet Lorraine’s Bakery.  </w:t>
      </w:r>
    </w:p>
    <w:p w14:paraId="5981CF6D" w14:textId="25291F80" w:rsidR="1A69BC23" w:rsidRDefault="1A69BC23" w:rsidP="0D0463AD">
      <w:pPr>
        <w:spacing w:line="24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We can analyze several different cases to determine what quantity of profits have been lost to the confusion regarding the trademark. First, we will look at: </w:t>
      </w:r>
      <w:r w:rsidRPr="0D0463AD">
        <w:rPr>
          <w:rFonts w:ascii="Times New Roman" w:eastAsia="Times New Roman" w:hAnsi="Times New Roman" w:cs="Times New Roman"/>
          <w:b/>
          <w:bCs/>
          <w:sz w:val="24"/>
          <w:szCs w:val="24"/>
        </w:rPr>
        <w:t>U.S. Supreme Court</w:t>
      </w:r>
      <w:r w:rsidRPr="0D0463AD">
        <w:rPr>
          <w:rFonts w:ascii="Times New Roman" w:eastAsia="Times New Roman" w:hAnsi="Times New Roman" w:cs="Times New Roman"/>
          <w:sz w:val="24"/>
          <w:szCs w:val="24"/>
        </w:rPr>
        <w:t xml:space="preserve"> </w:t>
      </w:r>
      <w:r w:rsidRPr="0D0463AD">
        <w:rPr>
          <w:rFonts w:ascii="Times New Roman" w:eastAsia="Times New Roman" w:hAnsi="Times New Roman" w:cs="Times New Roman"/>
          <w:b/>
          <w:bCs/>
          <w:sz w:val="24"/>
          <w:szCs w:val="24"/>
        </w:rPr>
        <w:t>case</w:t>
      </w:r>
      <w:r w:rsidRPr="0D0463AD">
        <w:rPr>
          <w:rFonts w:ascii="Times New Roman" w:eastAsia="Times New Roman" w:hAnsi="Times New Roman" w:cs="Times New Roman"/>
          <w:sz w:val="24"/>
          <w:szCs w:val="24"/>
        </w:rPr>
        <w:t xml:space="preserve"> </w:t>
      </w:r>
      <w:r w:rsidRPr="0D0463AD">
        <w:rPr>
          <w:rFonts w:ascii="Times New Roman" w:eastAsia="Times New Roman" w:hAnsi="Times New Roman" w:cs="Times New Roman"/>
          <w:b/>
          <w:bCs/>
          <w:sz w:val="24"/>
          <w:szCs w:val="24"/>
        </w:rPr>
        <w:t>Hamilton-Brown Shoe Co. v. Wolf Bros. &amp; Co</w:t>
      </w:r>
      <w:r w:rsidRPr="0D0463AD">
        <w:rPr>
          <w:rFonts w:ascii="Times New Roman" w:eastAsia="Times New Roman" w:hAnsi="Times New Roman" w:cs="Times New Roman"/>
          <w:sz w:val="24"/>
          <w:szCs w:val="24"/>
        </w:rPr>
        <w:t xml:space="preserve">. It dates to 1916, where it was determined after the plaintiff won his case for trademark infringement over the defendant’s use of the plaintiff’s mark as well as similarity to their product line. The court ruled that the plaintiff was entitled to all profits gained by the defendant, as well with no obligation to prove what portion of the profits he was owed, </w:t>
      </w:r>
      <w:r w:rsidRPr="0D0463AD">
        <w:rPr>
          <w:rFonts w:ascii="Times New Roman" w:eastAsia="Times New Roman" w:hAnsi="Times New Roman" w:cs="Times New Roman"/>
          <w:i/>
          <w:iCs/>
          <w:sz w:val="24"/>
          <w:szCs w:val="24"/>
        </w:rPr>
        <w:t>Hamilton-Brown Shoe Co. v. Wolf Bros. &amp; Co., 240 U.S. 251,</w:t>
      </w:r>
      <w:r w:rsidRPr="0D0463AD">
        <w:rPr>
          <w:rFonts w:ascii="Times New Roman" w:eastAsia="Times New Roman" w:hAnsi="Times New Roman" w:cs="Times New Roman"/>
          <w:sz w:val="24"/>
          <w:szCs w:val="24"/>
        </w:rPr>
        <w:t xml:space="preserve"> 1916. We see that the court ruled in favor of the plaintiff, awarding them all profits. As laws have been created to abolish such rulings in our current time, the damages awarded to the plaintiff would be compensatory damages. These would be proportional to the plaintiff’s calculated losses.</w:t>
      </w:r>
    </w:p>
    <w:p w14:paraId="1DDA8A50" w14:textId="216C7EEA" w:rsidR="1A69BC23" w:rsidRDefault="1A69BC23" w:rsidP="0D0463AD">
      <w:pPr>
        <w:spacing w:line="24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When determining what </w:t>
      </w:r>
      <w:proofErr w:type="gramStart"/>
      <w:r w:rsidRPr="0D0463AD">
        <w:rPr>
          <w:rFonts w:ascii="Times New Roman" w:eastAsia="Times New Roman" w:hAnsi="Times New Roman" w:cs="Times New Roman"/>
          <w:sz w:val="24"/>
          <w:szCs w:val="24"/>
        </w:rPr>
        <w:t>damages</w:t>
      </w:r>
      <w:proofErr w:type="gramEnd"/>
      <w:r w:rsidRPr="0D0463AD">
        <w:rPr>
          <w:rFonts w:ascii="Times New Roman" w:eastAsia="Times New Roman" w:hAnsi="Times New Roman" w:cs="Times New Roman"/>
          <w:sz w:val="24"/>
          <w:szCs w:val="24"/>
        </w:rPr>
        <w:t xml:space="preserve"> the court could be expected to award, we can attempt to calculate the proportional loss to the plaintiff. At this point there is no loss to the defendant as the areas do not overlap. If the defendant attempts to branch into the area of Charlotte, NC, there may be some expectation of loss to the defendant due to likely confusion of consumers. We refer to the Sixth Circuit case, </w:t>
      </w:r>
      <w:r w:rsidRPr="0D0463AD">
        <w:rPr>
          <w:rFonts w:ascii="Times New Roman" w:eastAsia="Times New Roman" w:hAnsi="Times New Roman" w:cs="Times New Roman"/>
          <w:b/>
          <w:bCs/>
          <w:sz w:val="24"/>
          <w:szCs w:val="24"/>
        </w:rPr>
        <w:t xml:space="preserve">Worsley Restaurants, Inc. v. </w:t>
      </w:r>
      <w:proofErr w:type="spellStart"/>
      <w:r w:rsidRPr="0D0463AD">
        <w:rPr>
          <w:rFonts w:ascii="Times New Roman" w:eastAsia="Times New Roman" w:hAnsi="Times New Roman" w:cs="Times New Roman"/>
          <w:b/>
          <w:bCs/>
          <w:sz w:val="24"/>
          <w:szCs w:val="24"/>
        </w:rPr>
        <w:t>Speedy's</w:t>
      </w:r>
      <w:proofErr w:type="spellEnd"/>
      <w:r w:rsidRPr="0D0463AD">
        <w:rPr>
          <w:rFonts w:ascii="Times New Roman" w:eastAsia="Times New Roman" w:hAnsi="Times New Roman" w:cs="Times New Roman"/>
          <w:b/>
          <w:bCs/>
          <w:sz w:val="24"/>
          <w:szCs w:val="24"/>
        </w:rPr>
        <w:t xml:space="preserve"> Hamburgers, Inc.</w:t>
      </w:r>
      <w:r w:rsidRPr="0D0463AD">
        <w:rPr>
          <w:rFonts w:ascii="Times New Roman" w:eastAsia="Times New Roman" w:hAnsi="Times New Roman" w:cs="Times New Roman"/>
          <w:sz w:val="24"/>
          <w:szCs w:val="24"/>
        </w:rPr>
        <w:t xml:space="preserve">, where we see that the areas did not overlap, thus inducing the court to rule in favor of the defendant. The defendant was not aware when employing the use of the mark that a trademark was being initiated by the plaintiff. Neither were the consumers confused by any possible connection, as the restaurants were in entirely different areas of the country, </w:t>
      </w:r>
      <w:r w:rsidRPr="0D0463AD">
        <w:rPr>
          <w:rFonts w:ascii="Times New Roman" w:eastAsia="Times New Roman" w:hAnsi="Times New Roman" w:cs="Times New Roman"/>
          <w:i/>
          <w:iCs/>
          <w:sz w:val="24"/>
          <w:szCs w:val="24"/>
        </w:rPr>
        <w:t xml:space="preserve">Worsley Restaurants, Inc. v. </w:t>
      </w:r>
      <w:proofErr w:type="spellStart"/>
      <w:r w:rsidRPr="0D0463AD">
        <w:rPr>
          <w:rFonts w:ascii="Times New Roman" w:eastAsia="Times New Roman" w:hAnsi="Times New Roman" w:cs="Times New Roman"/>
          <w:i/>
          <w:iCs/>
          <w:sz w:val="24"/>
          <w:szCs w:val="24"/>
        </w:rPr>
        <w:t>Speedy's</w:t>
      </w:r>
      <w:proofErr w:type="spellEnd"/>
      <w:r w:rsidRPr="0D0463AD">
        <w:rPr>
          <w:rFonts w:ascii="Times New Roman" w:eastAsia="Times New Roman" w:hAnsi="Times New Roman" w:cs="Times New Roman"/>
          <w:i/>
          <w:iCs/>
          <w:sz w:val="24"/>
          <w:szCs w:val="24"/>
        </w:rPr>
        <w:t xml:space="preserve"> Hamburgers, Inc., 783 F. Supp. 347,</w:t>
      </w:r>
      <w:r w:rsidRPr="0D0463AD">
        <w:rPr>
          <w:rFonts w:ascii="Times New Roman" w:eastAsia="Times New Roman" w:hAnsi="Times New Roman" w:cs="Times New Roman"/>
          <w:sz w:val="24"/>
          <w:szCs w:val="24"/>
        </w:rPr>
        <w:t xml:space="preserve"> 1991. When determining damages this helps us to see that the proportional damages for Sweet Lorraine’s Bakery vary between low and almost nothing. </w:t>
      </w:r>
      <w:r w:rsidRPr="0D0463AD">
        <w:rPr>
          <w:rFonts w:ascii="Times New Roman" w:eastAsia="Times New Roman" w:hAnsi="Times New Roman" w:cs="Times New Roman"/>
          <w:sz w:val="24"/>
          <w:szCs w:val="24"/>
        </w:rPr>
        <w:lastRenderedPageBreak/>
        <w:t xml:space="preserve">This is because there has been no loss to the plaintiff so far, as there is not likely to be any confusion over a connection between either parties' business. If prolonged, that amount would likely grow depending on what path the parties take. </w:t>
      </w:r>
    </w:p>
    <w:p w14:paraId="63DDE899" w14:textId="3AA01FCA" w:rsidR="1A69BC23" w:rsidRDefault="1A69BC23" w:rsidP="0D0463AD">
      <w:pPr>
        <w:spacing w:line="24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When considering what may be the best course of action, we will refer to one last District Court case: </w:t>
      </w:r>
      <w:r w:rsidRPr="0D0463AD">
        <w:rPr>
          <w:rFonts w:ascii="Times New Roman" w:eastAsia="Times New Roman" w:hAnsi="Times New Roman" w:cs="Times New Roman"/>
          <w:b/>
          <w:bCs/>
          <w:sz w:val="24"/>
          <w:szCs w:val="24"/>
        </w:rPr>
        <w:t xml:space="preserve">Janet Travis, Inc. v. </w:t>
      </w:r>
      <w:proofErr w:type="spellStart"/>
      <w:r w:rsidRPr="0D0463AD">
        <w:rPr>
          <w:rFonts w:ascii="Times New Roman" w:eastAsia="Times New Roman" w:hAnsi="Times New Roman" w:cs="Times New Roman"/>
          <w:b/>
          <w:bCs/>
          <w:sz w:val="24"/>
          <w:szCs w:val="24"/>
        </w:rPr>
        <w:t>Preka</w:t>
      </w:r>
      <w:proofErr w:type="spellEnd"/>
      <w:r w:rsidRPr="0D0463AD">
        <w:rPr>
          <w:rFonts w:ascii="Times New Roman" w:eastAsia="Times New Roman" w:hAnsi="Times New Roman" w:cs="Times New Roman"/>
          <w:b/>
          <w:bCs/>
          <w:sz w:val="24"/>
          <w:szCs w:val="24"/>
        </w:rPr>
        <w:t xml:space="preserve"> Holdings, L.L.C.  </w:t>
      </w:r>
      <w:r w:rsidRPr="0D0463AD">
        <w:rPr>
          <w:rFonts w:ascii="Times New Roman" w:eastAsia="Times New Roman" w:hAnsi="Times New Roman" w:cs="Times New Roman"/>
          <w:sz w:val="24"/>
          <w:szCs w:val="24"/>
        </w:rPr>
        <w:t xml:space="preserve">The plaintiff owns a restaurant with a surname as a mark with a connection to the food service industry since the 1940’s. The defendant opened a restaurant with a name </w:t>
      </w:r>
      <w:proofErr w:type="gramStart"/>
      <w:r w:rsidRPr="0D0463AD">
        <w:rPr>
          <w:rFonts w:ascii="Times New Roman" w:eastAsia="Times New Roman" w:hAnsi="Times New Roman" w:cs="Times New Roman"/>
          <w:sz w:val="24"/>
          <w:szCs w:val="24"/>
        </w:rPr>
        <w:t>similar to</w:t>
      </w:r>
      <w:proofErr w:type="gramEnd"/>
      <w:r w:rsidRPr="0D0463AD">
        <w:rPr>
          <w:rFonts w:ascii="Times New Roman" w:eastAsia="Times New Roman" w:hAnsi="Times New Roman" w:cs="Times New Roman"/>
          <w:sz w:val="24"/>
          <w:szCs w:val="24"/>
        </w:rPr>
        <w:t xml:space="preserve"> the name of the mark held by the plaintiff. It is in the same general area as the plaintiff and likely to be confused with the surname used by the plaintiff. The lower court granted an injunction against the defendant’s use of the mark. The defendant held that the injunction should be overturned because the plaintiff’s trademark is invalid. The plaintiff’s trademark was registered; this means that the defendant was obligated to prove that the surname was not utilized by the defendant and not associated with the plaintiff’s restaurant, </w:t>
      </w:r>
      <w:r w:rsidRPr="0D0463AD">
        <w:rPr>
          <w:rFonts w:ascii="Times New Roman" w:eastAsia="Times New Roman" w:hAnsi="Times New Roman" w:cs="Times New Roman"/>
          <w:i/>
          <w:iCs/>
          <w:sz w:val="24"/>
          <w:szCs w:val="24"/>
        </w:rPr>
        <w:t xml:space="preserve">Janet Travis, Inc. v. </w:t>
      </w:r>
      <w:proofErr w:type="spellStart"/>
      <w:r w:rsidRPr="0D0463AD">
        <w:rPr>
          <w:rFonts w:ascii="Times New Roman" w:eastAsia="Times New Roman" w:hAnsi="Times New Roman" w:cs="Times New Roman"/>
          <w:i/>
          <w:iCs/>
          <w:sz w:val="24"/>
          <w:szCs w:val="24"/>
        </w:rPr>
        <w:t>Preka</w:t>
      </w:r>
      <w:proofErr w:type="spellEnd"/>
      <w:r w:rsidRPr="0D0463AD">
        <w:rPr>
          <w:rFonts w:ascii="Times New Roman" w:eastAsia="Times New Roman" w:hAnsi="Times New Roman" w:cs="Times New Roman"/>
          <w:i/>
          <w:iCs/>
          <w:sz w:val="24"/>
          <w:szCs w:val="24"/>
        </w:rPr>
        <w:t xml:space="preserve"> Holdings, L.L.C., 306 Mich. App. 266,</w:t>
      </w:r>
      <w:r w:rsidRPr="0D0463AD">
        <w:rPr>
          <w:rFonts w:ascii="Times New Roman" w:eastAsia="Times New Roman" w:hAnsi="Times New Roman" w:cs="Times New Roman"/>
          <w:sz w:val="24"/>
          <w:szCs w:val="24"/>
        </w:rPr>
        <w:t xml:space="preserve"> 2014. This makes the point that the when the plaintiff has a valid mark there are certain grounds where the trademark infringement may be overlooked. As it is not in the same general area as your business, you may have a chance to utilize this </w:t>
      </w:r>
      <w:proofErr w:type="gramStart"/>
      <w:r w:rsidRPr="0D0463AD">
        <w:rPr>
          <w:rFonts w:ascii="Times New Roman" w:eastAsia="Times New Roman" w:hAnsi="Times New Roman" w:cs="Times New Roman"/>
          <w:sz w:val="24"/>
          <w:szCs w:val="24"/>
        </w:rPr>
        <w:t>particular excusal</w:t>
      </w:r>
      <w:proofErr w:type="gramEnd"/>
      <w:r w:rsidRPr="0D0463AD">
        <w:rPr>
          <w:rFonts w:ascii="Times New Roman" w:eastAsia="Times New Roman" w:hAnsi="Times New Roman" w:cs="Times New Roman"/>
          <w:sz w:val="24"/>
          <w:szCs w:val="24"/>
        </w:rPr>
        <w:t xml:space="preserve"> to your benefit.</w:t>
      </w:r>
    </w:p>
    <w:p w14:paraId="1E1C0709" w14:textId="10E023B7" w:rsidR="1A69BC23" w:rsidRDefault="1A69BC23" w:rsidP="0D0463AD">
      <w:pPr>
        <w:spacing w:line="24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Considering the previous sources, it would be advisable to consider changing the name of the business. After looking over the similar cases, and The Lanham Act we can reasonably project that it is likely the court will rule that Mr. Sawyer has a valid mark. They will presumably force you to change the name of your business. Currently, there have been no losses for Mr. Sawyer to account for. Therefore, the damages you would be forced to pay would be no more than Mr. Sawyer’s attorney and court costs. There is a small glimmer of hope for the side of you standing firm. The case for Worsley Restaurants, Inc. v. </w:t>
      </w:r>
      <w:proofErr w:type="spellStart"/>
      <w:r w:rsidRPr="0D0463AD">
        <w:rPr>
          <w:rFonts w:ascii="Times New Roman" w:eastAsia="Times New Roman" w:hAnsi="Times New Roman" w:cs="Times New Roman"/>
          <w:sz w:val="24"/>
          <w:szCs w:val="24"/>
        </w:rPr>
        <w:t>Speedy's</w:t>
      </w:r>
      <w:proofErr w:type="spellEnd"/>
      <w:r w:rsidRPr="0D0463AD">
        <w:rPr>
          <w:rFonts w:ascii="Times New Roman" w:eastAsia="Times New Roman" w:hAnsi="Times New Roman" w:cs="Times New Roman"/>
          <w:sz w:val="24"/>
          <w:szCs w:val="24"/>
        </w:rPr>
        <w:t xml:space="preserve"> Hamburgers, Inc., and Janet Travis, Inc. v. </w:t>
      </w:r>
      <w:proofErr w:type="spellStart"/>
      <w:r w:rsidRPr="0D0463AD">
        <w:rPr>
          <w:rFonts w:ascii="Times New Roman" w:eastAsia="Times New Roman" w:hAnsi="Times New Roman" w:cs="Times New Roman"/>
          <w:sz w:val="24"/>
          <w:szCs w:val="24"/>
        </w:rPr>
        <w:t>Preka</w:t>
      </w:r>
      <w:proofErr w:type="spellEnd"/>
      <w:r w:rsidRPr="0D0463AD">
        <w:rPr>
          <w:rFonts w:ascii="Times New Roman" w:eastAsia="Times New Roman" w:hAnsi="Times New Roman" w:cs="Times New Roman"/>
          <w:sz w:val="24"/>
          <w:szCs w:val="24"/>
        </w:rPr>
        <w:t xml:space="preserve"> Holdings, L.L.C. both argue that if the businesses are not in the same general area, the claim of trademark infringement could be excused. If this is the course of action you choose to pursue, this is the argument we would present most strongly. It is not what we would advise, as it is not a high likelihood that the court would rule in our favor. </w:t>
      </w:r>
    </w:p>
    <w:p w14:paraId="3CD1B4DC" w14:textId="605B186E" w:rsidR="1A69BC23" w:rsidRDefault="1A69BC23" w:rsidP="0D0463AD">
      <w:pPr>
        <w:spacing w:line="24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I hope this properly addresses all your questions pertaining to this matter. Please let me know if there is </w:t>
      </w:r>
      <w:proofErr w:type="gramStart"/>
      <w:r w:rsidRPr="0D0463AD">
        <w:rPr>
          <w:rFonts w:ascii="Times New Roman" w:eastAsia="Times New Roman" w:hAnsi="Times New Roman" w:cs="Times New Roman"/>
          <w:sz w:val="24"/>
          <w:szCs w:val="24"/>
        </w:rPr>
        <w:t>anything</w:t>
      </w:r>
      <w:proofErr w:type="gramEnd"/>
      <w:r w:rsidRPr="0D0463AD">
        <w:rPr>
          <w:rFonts w:ascii="Times New Roman" w:eastAsia="Times New Roman" w:hAnsi="Times New Roman" w:cs="Times New Roman"/>
          <w:sz w:val="24"/>
          <w:szCs w:val="24"/>
        </w:rPr>
        <w:t xml:space="preserve"> I can clarify for you or if you have any further questions.</w:t>
      </w:r>
    </w:p>
    <w:p w14:paraId="72BF31CF" w14:textId="3A6AE825" w:rsidR="1A69BC23" w:rsidRDefault="1A69BC23" w:rsidP="0D0463AD">
      <w:pPr>
        <w:spacing w:line="24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Sincerely,</w:t>
      </w:r>
    </w:p>
    <w:p w14:paraId="505C1406" w14:textId="2F7BDD61" w:rsidR="1A69BC23" w:rsidRDefault="1A69BC23" w:rsidP="0D0463AD">
      <w:pPr>
        <w:spacing w:line="24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Danielle Pittman, A. Paralegal</w:t>
      </w:r>
    </w:p>
    <w:p w14:paraId="5512F255" w14:textId="1C1BE12E" w:rsidR="0D0463AD" w:rsidRDefault="0D0463AD" w:rsidP="0D0463AD">
      <w:pPr>
        <w:spacing w:line="480" w:lineRule="auto"/>
        <w:rPr>
          <w:rFonts w:ascii="Times New Roman" w:eastAsia="Times New Roman" w:hAnsi="Times New Roman" w:cs="Times New Roman"/>
          <w:sz w:val="24"/>
          <w:szCs w:val="24"/>
        </w:rPr>
      </w:pPr>
    </w:p>
    <w:p w14:paraId="50BFBE91" w14:textId="3509382C" w:rsidR="0D0463AD" w:rsidRDefault="0D0463AD" w:rsidP="0D0463AD">
      <w:pPr>
        <w:spacing w:line="480" w:lineRule="auto"/>
        <w:rPr>
          <w:rFonts w:ascii="Times New Roman" w:eastAsia="Times New Roman" w:hAnsi="Times New Roman" w:cs="Times New Roman"/>
          <w:sz w:val="24"/>
          <w:szCs w:val="24"/>
        </w:rPr>
      </w:pPr>
    </w:p>
    <w:p w14:paraId="10287BC7" w14:textId="470DC331" w:rsidR="0D0463AD" w:rsidRDefault="0D0463AD" w:rsidP="0D0463AD">
      <w:pPr>
        <w:spacing w:line="480" w:lineRule="auto"/>
        <w:rPr>
          <w:rFonts w:ascii="Times New Roman" w:eastAsia="Times New Roman" w:hAnsi="Times New Roman" w:cs="Times New Roman"/>
          <w:sz w:val="24"/>
          <w:szCs w:val="24"/>
        </w:rPr>
      </w:pPr>
    </w:p>
    <w:p w14:paraId="61D5306A" w14:textId="63A2960F" w:rsidR="0D0463AD" w:rsidRDefault="0D0463AD" w:rsidP="0D0463AD">
      <w:pPr>
        <w:spacing w:line="480" w:lineRule="auto"/>
        <w:rPr>
          <w:rFonts w:ascii="Times New Roman" w:eastAsia="Times New Roman" w:hAnsi="Times New Roman" w:cs="Times New Roman"/>
          <w:sz w:val="24"/>
          <w:szCs w:val="24"/>
        </w:rPr>
      </w:pPr>
    </w:p>
    <w:p w14:paraId="0A5068E0" w14:textId="2BC78163" w:rsidR="0D0463AD" w:rsidRDefault="0D0463AD" w:rsidP="004D6B80">
      <w:pPr>
        <w:spacing w:line="480" w:lineRule="auto"/>
        <w:rPr>
          <w:rFonts w:ascii="Times New Roman" w:eastAsia="Times New Roman" w:hAnsi="Times New Roman" w:cs="Times New Roman"/>
          <w:b/>
          <w:bCs/>
          <w:sz w:val="24"/>
          <w:szCs w:val="24"/>
        </w:rPr>
      </w:pPr>
    </w:p>
    <w:p w14:paraId="623F2D8B" w14:textId="24C3C764" w:rsidR="186739DD" w:rsidRDefault="186739DD" w:rsidP="004D6B80">
      <w:pPr>
        <w:spacing w:line="480" w:lineRule="auto"/>
        <w:jc w:val="center"/>
        <w:rPr>
          <w:rFonts w:ascii="Times New Roman" w:eastAsia="Times New Roman" w:hAnsi="Times New Roman" w:cs="Times New Roman"/>
          <w:b/>
          <w:bCs/>
          <w:sz w:val="24"/>
          <w:szCs w:val="24"/>
        </w:rPr>
      </w:pPr>
      <w:r w:rsidRPr="0D0463AD">
        <w:rPr>
          <w:rFonts w:ascii="Times New Roman" w:eastAsia="Times New Roman" w:hAnsi="Times New Roman" w:cs="Times New Roman"/>
          <w:b/>
          <w:bCs/>
          <w:sz w:val="24"/>
          <w:szCs w:val="24"/>
        </w:rPr>
        <w:lastRenderedPageBreak/>
        <w:t>Week 7.5 Reflection</w:t>
      </w:r>
    </w:p>
    <w:p w14:paraId="0E50BFC5" w14:textId="725ED2D6" w:rsidR="186739DD" w:rsidRDefault="186739DD"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While I feel that I have learned a great from this project, I can say that I can’t remember when I’ve been so stressed or worked so hard.</w:t>
      </w:r>
      <w:r w:rsidR="5129BACC" w:rsidRPr="0D0463AD">
        <w:rPr>
          <w:rFonts w:ascii="Times New Roman" w:eastAsia="Times New Roman" w:hAnsi="Times New Roman" w:cs="Times New Roman"/>
          <w:sz w:val="24"/>
          <w:szCs w:val="24"/>
        </w:rPr>
        <w:t xml:space="preserve"> I went through some personal health issues this term that I chose to power through and not ask for special accommodations. </w:t>
      </w:r>
      <w:r w:rsidR="72CA42FF" w:rsidRPr="0D0463AD">
        <w:rPr>
          <w:rFonts w:ascii="Times New Roman" w:eastAsia="Times New Roman" w:hAnsi="Times New Roman" w:cs="Times New Roman"/>
          <w:sz w:val="24"/>
          <w:szCs w:val="24"/>
        </w:rPr>
        <w:t xml:space="preserve">I am proud of how I’ve </w:t>
      </w:r>
      <w:r w:rsidR="0C94383F" w:rsidRPr="0D0463AD">
        <w:rPr>
          <w:rFonts w:ascii="Times New Roman" w:eastAsia="Times New Roman" w:hAnsi="Times New Roman" w:cs="Times New Roman"/>
          <w:sz w:val="24"/>
          <w:szCs w:val="24"/>
        </w:rPr>
        <w:t>done,</w:t>
      </w:r>
      <w:r w:rsidR="72CA42FF" w:rsidRPr="0D0463AD">
        <w:rPr>
          <w:rFonts w:ascii="Times New Roman" w:eastAsia="Times New Roman" w:hAnsi="Times New Roman" w:cs="Times New Roman"/>
          <w:sz w:val="24"/>
          <w:szCs w:val="24"/>
        </w:rPr>
        <w:t xml:space="preserve"> and I feel that I can apply these skills to my future career. I can also be proud that I was able to do so while dealing with s</w:t>
      </w:r>
      <w:r w:rsidR="7B6A0D3C" w:rsidRPr="0D0463AD">
        <w:rPr>
          <w:rFonts w:ascii="Times New Roman" w:eastAsia="Times New Roman" w:hAnsi="Times New Roman" w:cs="Times New Roman"/>
          <w:sz w:val="24"/>
          <w:szCs w:val="24"/>
        </w:rPr>
        <w:t xml:space="preserve">ome very difficult health struggles. </w:t>
      </w:r>
      <w:r w:rsidR="4063521F" w:rsidRPr="0D0463AD">
        <w:rPr>
          <w:rFonts w:ascii="Times New Roman" w:eastAsia="Times New Roman" w:hAnsi="Times New Roman" w:cs="Times New Roman"/>
          <w:sz w:val="24"/>
          <w:szCs w:val="24"/>
        </w:rPr>
        <w:t>I’ve learned how to communicate within the workplace, us</w:t>
      </w:r>
      <w:r w:rsidR="5F090BA1" w:rsidRPr="0D0463AD">
        <w:rPr>
          <w:rFonts w:ascii="Times New Roman" w:eastAsia="Times New Roman" w:hAnsi="Times New Roman" w:cs="Times New Roman"/>
          <w:sz w:val="24"/>
          <w:szCs w:val="24"/>
        </w:rPr>
        <w:t>e</w:t>
      </w:r>
      <w:r w:rsidR="4063521F" w:rsidRPr="0D0463AD">
        <w:rPr>
          <w:rFonts w:ascii="Times New Roman" w:eastAsia="Times New Roman" w:hAnsi="Times New Roman" w:cs="Times New Roman"/>
          <w:sz w:val="24"/>
          <w:szCs w:val="24"/>
        </w:rPr>
        <w:t xml:space="preserve"> legal terms correctly and creating workplace documents.</w:t>
      </w:r>
    </w:p>
    <w:p w14:paraId="132924F5" w14:textId="0A31D01D" w:rsidR="629B6D0E" w:rsidRDefault="629B6D0E"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I am certain to need to be able to communicate professionally and effectively in the workplace and this project has taught me a great deal about how to do that.</w:t>
      </w:r>
      <w:r w:rsidR="1016273E" w:rsidRPr="0D0463AD">
        <w:rPr>
          <w:rFonts w:ascii="Times New Roman" w:eastAsia="Times New Roman" w:hAnsi="Times New Roman" w:cs="Times New Roman"/>
          <w:sz w:val="24"/>
          <w:szCs w:val="24"/>
        </w:rPr>
        <w:t xml:space="preserve"> </w:t>
      </w:r>
      <w:r w:rsidR="27483C51" w:rsidRPr="0D0463AD">
        <w:rPr>
          <w:rFonts w:ascii="Times New Roman" w:eastAsia="Times New Roman" w:hAnsi="Times New Roman" w:cs="Times New Roman"/>
          <w:sz w:val="24"/>
          <w:szCs w:val="24"/>
        </w:rPr>
        <w:t xml:space="preserve">I also have learned </w:t>
      </w:r>
      <w:r w:rsidR="230957EB" w:rsidRPr="0D0463AD">
        <w:rPr>
          <w:rFonts w:ascii="Times New Roman" w:eastAsia="Times New Roman" w:hAnsi="Times New Roman" w:cs="Times New Roman"/>
          <w:sz w:val="24"/>
          <w:szCs w:val="24"/>
        </w:rPr>
        <w:t xml:space="preserve">how to research cases properly and apply case law to the case I’m evaluating. </w:t>
      </w:r>
      <w:r w:rsidR="150B5B8E" w:rsidRPr="0D0463AD">
        <w:rPr>
          <w:rFonts w:ascii="Times New Roman" w:eastAsia="Times New Roman" w:hAnsi="Times New Roman" w:cs="Times New Roman"/>
          <w:sz w:val="24"/>
          <w:szCs w:val="24"/>
        </w:rPr>
        <w:t xml:space="preserve">I </w:t>
      </w:r>
      <w:r w:rsidR="653B36EE" w:rsidRPr="0D0463AD">
        <w:rPr>
          <w:rFonts w:ascii="Times New Roman" w:eastAsia="Times New Roman" w:hAnsi="Times New Roman" w:cs="Times New Roman"/>
          <w:sz w:val="24"/>
          <w:szCs w:val="24"/>
        </w:rPr>
        <w:t xml:space="preserve">feel that learning how to research effectively was the most significant thing I gained from this project. As this will be highly valuable in my future career, I am glad I can utilize </w:t>
      </w:r>
      <w:r w:rsidR="3844AEE1" w:rsidRPr="0D0463AD">
        <w:rPr>
          <w:rFonts w:ascii="Times New Roman" w:eastAsia="Times New Roman" w:hAnsi="Times New Roman" w:cs="Times New Roman"/>
          <w:sz w:val="24"/>
          <w:szCs w:val="24"/>
        </w:rPr>
        <w:t>these skills to navigate legal research in the future.</w:t>
      </w:r>
    </w:p>
    <w:p w14:paraId="307E4697" w14:textId="29FF1C8C" w:rsidR="64C7DA79" w:rsidRDefault="64C7DA79"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I feel that I met the</w:t>
      </w:r>
      <w:r w:rsidR="1ACCF56E" w:rsidRPr="0D0463AD">
        <w:rPr>
          <w:rFonts w:ascii="Times New Roman" w:eastAsia="Times New Roman" w:hAnsi="Times New Roman" w:cs="Times New Roman"/>
          <w:sz w:val="24"/>
          <w:szCs w:val="24"/>
        </w:rPr>
        <w:t xml:space="preserve"> </w:t>
      </w:r>
      <w:r w:rsidRPr="0D0463AD">
        <w:rPr>
          <w:rFonts w:ascii="Times New Roman" w:eastAsia="Times New Roman" w:hAnsi="Times New Roman" w:cs="Times New Roman"/>
          <w:sz w:val="24"/>
          <w:szCs w:val="24"/>
        </w:rPr>
        <w:t xml:space="preserve">program </w:t>
      </w:r>
      <w:r w:rsidR="368B195F" w:rsidRPr="0D0463AD">
        <w:rPr>
          <w:rFonts w:ascii="Times New Roman" w:eastAsia="Times New Roman" w:hAnsi="Times New Roman" w:cs="Times New Roman"/>
          <w:sz w:val="24"/>
          <w:szCs w:val="24"/>
        </w:rPr>
        <w:t>outcome through the research I conducted, and how I evaluated and described the sources through the briefs and other areas of my weekly me</w:t>
      </w:r>
      <w:r w:rsidR="03B22D10" w:rsidRPr="0D0463AD">
        <w:rPr>
          <w:rFonts w:ascii="Times New Roman" w:eastAsia="Times New Roman" w:hAnsi="Times New Roman" w:cs="Times New Roman"/>
          <w:sz w:val="24"/>
          <w:szCs w:val="24"/>
        </w:rPr>
        <w:t>mos. I believe I met the</w:t>
      </w:r>
      <w:r w:rsidRPr="0D0463AD">
        <w:rPr>
          <w:rFonts w:ascii="Times New Roman" w:eastAsia="Times New Roman" w:hAnsi="Times New Roman" w:cs="Times New Roman"/>
          <w:sz w:val="24"/>
          <w:szCs w:val="24"/>
        </w:rPr>
        <w:t xml:space="preserve"> institutional outcome</w:t>
      </w:r>
      <w:r w:rsidR="4508A118" w:rsidRPr="0D0463AD">
        <w:rPr>
          <w:rFonts w:ascii="Times New Roman" w:eastAsia="Times New Roman" w:hAnsi="Times New Roman" w:cs="Times New Roman"/>
          <w:sz w:val="24"/>
          <w:szCs w:val="24"/>
        </w:rPr>
        <w:t xml:space="preserve"> through the research </w:t>
      </w:r>
      <w:r w:rsidR="4D28DFF9" w:rsidRPr="0D0463AD">
        <w:rPr>
          <w:rFonts w:ascii="Times New Roman" w:eastAsia="Times New Roman" w:hAnsi="Times New Roman" w:cs="Times New Roman"/>
          <w:sz w:val="24"/>
          <w:szCs w:val="24"/>
        </w:rPr>
        <w:t>us</w:t>
      </w:r>
      <w:r w:rsidR="2FA78137" w:rsidRPr="0D0463AD">
        <w:rPr>
          <w:rFonts w:ascii="Times New Roman" w:eastAsia="Times New Roman" w:hAnsi="Times New Roman" w:cs="Times New Roman"/>
          <w:sz w:val="24"/>
          <w:szCs w:val="24"/>
        </w:rPr>
        <w:t>ing</w:t>
      </w:r>
      <w:r w:rsidR="4D28DFF9" w:rsidRPr="0D0463AD">
        <w:rPr>
          <w:rFonts w:ascii="Times New Roman" w:eastAsia="Times New Roman" w:hAnsi="Times New Roman" w:cs="Times New Roman"/>
          <w:sz w:val="24"/>
          <w:szCs w:val="24"/>
        </w:rPr>
        <w:t xml:space="preserve"> technolog</w:t>
      </w:r>
      <w:r w:rsidR="6BA0EAE0" w:rsidRPr="0D0463AD">
        <w:rPr>
          <w:rFonts w:ascii="Times New Roman" w:eastAsia="Times New Roman" w:hAnsi="Times New Roman" w:cs="Times New Roman"/>
          <w:sz w:val="24"/>
          <w:szCs w:val="24"/>
        </w:rPr>
        <w:t>y to navigate and locate relevant sources</w:t>
      </w:r>
      <w:r w:rsidR="4D28DFF9" w:rsidRPr="0D0463AD">
        <w:rPr>
          <w:rFonts w:ascii="Times New Roman" w:eastAsia="Times New Roman" w:hAnsi="Times New Roman" w:cs="Times New Roman"/>
          <w:sz w:val="24"/>
          <w:szCs w:val="24"/>
        </w:rPr>
        <w:t>.</w:t>
      </w:r>
      <w:r w:rsidR="42571241" w:rsidRPr="0D0463AD">
        <w:rPr>
          <w:rFonts w:ascii="Times New Roman" w:eastAsia="Times New Roman" w:hAnsi="Times New Roman" w:cs="Times New Roman"/>
          <w:sz w:val="24"/>
          <w:szCs w:val="24"/>
        </w:rPr>
        <w:t xml:space="preserve"> I also believe I met the communication element through relating to the supervising attorney the information requested. I </w:t>
      </w:r>
      <w:r w:rsidR="7279C8F3" w:rsidRPr="0D0463AD">
        <w:rPr>
          <w:rFonts w:ascii="Times New Roman" w:eastAsia="Times New Roman" w:hAnsi="Times New Roman" w:cs="Times New Roman"/>
          <w:sz w:val="24"/>
          <w:szCs w:val="24"/>
        </w:rPr>
        <w:t>included everything that was required and analyzed the sources to determine what would be the best recommendation.</w:t>
      </w:r>
    </w:p>
    <w:p w14:paraId="11C4ECDC" w14:textId="66084C32" w:rsidR="7279C8F3" w:rsidRDefault="7279C8F3"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I can be a far more effective researcher and task organizer because of this project. This will be useful in the work</w:t>
      </w:r>
      <w:r w:rsidR="5ADACE73" w:rsidRPr="0D0463AD">
        <w:rPr>
          <w:rFonts w:ascii="Times New Roman" w:eastAsia="Times New Roman" w:hAnsi="Times New Roman" w:cs="Times New Roman"/>
          <w:sz w:val="24"/>
          <w:szCs w:val="24"/>
        </w:rPr>
        <w:t>place as I organize files, draw up memos, conduct research and locate information reque</w:t>
      </w:r>
      <w:r w:rsidR="2793197A" w:rsidRPr="0D0463AD">
        <w:rPr>
          <w:rFonts w:ascii="Times New Roman" w:eastAsia="Times New Roman" w:hAnsi="Times New Roman" w:cs="Times New Roman"/>
          <w:sz w:val="24"/>
          <w:szCs w:val="24"/>
        </w:rPr>
        <w:t xml:space="preserve">sted by my supervising attorney. I will apply my newfound knowledge to being </w:t>
      </w:r>
      <w:r w:rsidR="2793197A" w:rsidRPr="0D0463AD">
        <w:rPr>
          <w:rFonts w:ascii="Times New Roman" w:eastAsia="Times New Roman" w:hAnsi="Times New Roman" w:cs="Times New Roman"/>
          <w:sz w:val="24"/>
          <w:szCs w:val="24"/>
        </w:rPr>
        <w:lastRenderedPageBreak/>
        <w:t>a better writer and utilize legal terms correctly</w:t>
      </w:r>
      <w:r w:rsidR="075454BD" w:rsidRPr="0D0463AD">
        <w:rPr>
          <w:rFonts w:ascii="Times New Roman" w:eastAsia="Times New Roman" w:hAnsi="Times New Roman" w:cs="Times New Roman"/>
          <w:sz w:val="24"/>
          <w:szCs w:val="24"/>
        </w:rPr>
        <w:t xml:space="preserve"> as well as understanding their meaning. This will be necessary when creating documents or discussing matters with clients.</w:t>
      </w:r>
    </w:p>
    <w:p w14:paraId="10A0D50C" w14:textId="133525DA" w:rsidR="37770B6F" w:rsidRDefault="37770B6F"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My work process has improved as I better with navigating legal research sites. I understand how to change certain p</w:t>
      </w:r>
      <w:r w:rsidR="16C97E08" w:rsidRPr="0D0463AD">
        <w:rPr>
          <w:rFonts w:ascii="Times New Roman" w:eastAsia="Times New Roman" w:hAnsi="Times New Roman" w:cs="Times New Roman"/>
          <w:sz w:val="24"/>
          <w:szCs w:val="24"/>
        </w:rPr>
        <w:t xml:space="preserve">arameters, </w:t>
      </w:r>
      <w:proofErr w:type="spellStart"/>
      <w:r w:rsidR="16C97E08" w:rsidRPr="0D0463AD">
        <w:rPr>
          <w:rFonts w:ascii="Times New Roman" w:eastAsia="Times New Roman" w:hAnsi="Times New Roman" w:cs="Times New Roman"/>
          <w:sz w:val="24"/>
          <w:szCs w:val="24"/>
        </w:rPr>
        <w:t>shepardize</w:t>
      </w:r>
      <w:proofErr w:type="spellEnd"/>
      <w:r w:rsidR="16C97E08" w:rsidRPr="0D0463AD">
        <w:rPr>
          <w:rFonts w:ascii="Times New Roman" w:eastAsia="Times New Roman" w:hAnsi="Times New Roman" w:cs="Times New Roman"/>
          <w:sz w:val="24"/>
          <w:szCs w:val="24"/>
        </w:rPr>
        <w:t xml:space="preserve"> a case, and how to evaluate sources. This is necessary when deciding if a case law can be applied to the c</w:t>
      </w:r>
      <w:r w:rsidR="3AA33A14" w:rsidRPr="0D0463AD">
        <w:rPr>
          <w:rFonts w:ascii="Times New Roman" w:eastAsia="Times New Roman" w:hAnsi="Times New Roman" w:cs="Times New Roman"/>
          <w:sz w:val="24"/>
          <w:szCs w:val="24"/>
        </w:rPr>
        <w:t xml:space="preserve">ase being evaluated. If I was doing this project over, I would give myself more time to work on </w:t>
      </w:r>
      <w:r w:rsidR="7F2A8387" w:rsidRPr="0D0463AD">
        <w:rPr>
          <w:rFonts w:ascii="Times New Roman" w:eastAsia="Times New Roman" w:hAnsi="Times New Roman" w:cs="Times New Roman"/>
          <w:sz w:val="24"/>
          <w:szCs w:val="24"/>
        </w:rPr>
        <w:t xml:space="preserve">the different parts. I wish I had paid closer attention to when the parameters changed on Lexis-Advance. </w:t>
      </w:r>
      <w:r w:rsidR="4A18635F" w:rsidRPr="0D0463AD">
        <w:rPr>
          <w:rFonts w:ascii="Times New Roman" w:eastAsia="Times New Roman" w:hAnsi="Times New Roman" w:cs="Times New Roman"/>
          <w:sz w:val="24"/>
          <w:szCs w:val="24"/>
        </w:rPr>
        <w:t>I had to use a different case as I didn’t realize it had changed and it wasn’t in the right jurisdiction.</w:t>
      </w:r>
    </w:p>
    <w:p w14:paraId="217AE066" w14:textId="69382E5D" w:rsidR="4A18635F" w:rsidRDefault="4A18635F"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I would advise future students to start early in the week to give themselves plenty of time to work on the assignment, and to revise their work. I struggle with having time to work on school</w:t>
      </w:r>
      <w:r w:rsidR="0B654514" w:rsidRPr="0D0463AD">
        <w:rPr>
          <w:rFonts w:ascii="Times New Roman" w:eastAsia="Times New Roman" w:hAnsi="Times New Roman" w:cs="Times New Roman"/>
          <w:sz w:val="24"/>
          <w:szCs w:val="24"/>
        </w:rPr>
        <w:t xml:space="preserve"> with the work, family, life balance. On top of everything else, the health issues recently have made matters worse.</w:t>
      </w:r>
      <w:r w:rsidR="0582E0D2" w:rsidRPr="0D0463AD">
        <w:rPr>
          <w:rFonts w:ascii="Times New Roman" w:eastAsia="Times New Roman" w:hAnsi="Times New Roman" w:cs="Times New Roman"/>
          <w:sz w:val="24"/>
          <w:szCs w:val="24"/>
        </w:rPr>
        <w:t xml:space="preserve"> I do feel pretty good about my progress on the project and where I stand at this point.</w:t>
      </w:r>
    </w:p>
    <w:p w14:paraId="7C1CB4F6" w14:textId="253122EE" w:rsidR="7784E474" w:rsidRDefault="7784E474" w:rsidP="0D0463AD">
      <w:pPr>
        <w:spacing w:line="480" w:lineRule="auto"/>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The program outcome that I feel has been met is </w:t>
      </w:r>
      <w:r w:rsidR="6801820F" w:rsidRPr="0D0463AD">
        <w:rPr>
          <w:rFonts w:ascii="Times New Roman" w:eastAsia="Times New Roman" w:hAnsi="Times New Roman" w:cs="Times New Roman"/>
          <w:sz w:val="24"/>
          <w:szCs w:val="24"/>
        </w:rPr>
        <w:t>“</w:t>
      </w:r>
      <w:r w:rsidRPr="0D0463AD">
        <w:rPr>
          <w:rFonts w:ascii="Times New Roman" w:eastAsia="Times New Roman" w:hAnsi="Times New Roman" w:cs="Times New Roman"/>
          <w:sz w:val="24"/>
          <w:szCs w:val="24"/>
        </w:rPr>
        <w:t>utilizing electronic and print resources to locate primary and secondary sources of law to research, summarize and evaluate</w:t>
      </w:r>
      <w:r w:rsidR="66F1EC0D" w:rsidRPr="0D0463AD">
        <w:rPr>
          <w:rFonts w:ascii="Times New Roman" w:eastAsia="Times New Roman" w:hAnsi="Times New Roman" w:cs="Times New Roman"/>
          <w:sz w:val="24"/>
          <w:szCs w:val="24"/>
        </w:rPr>
        <w:t xml:space="preserve"> legal issues</w:t>
      </w:r>
      <w:r w:rsidR="6615F44E" w:rsidRPr="0D0463AD">
        <w:rPr>
          <w:rFonts w:ascii="Times New Roman" w:eastAsia="Times New Roman" w:hAnsi="Times New Roman" w:cs="Times New Roman"/>
          <w:sz w:val="24"/>
          <w:szCs w:val="24"/>
        </w:rPr>
        <w:t>”</w:t>
      </w:r>
      <w:r w:rsidR="66F1EC0D" w:rsidRPr="0D0463AD">
        <w:rPr>
          <w:rFonts w:ascii="Times New Roman" w:eastAsia="Times New Roman" w:hAnsi="Times New Roman" w:cs="Times New Roman"/>
          <w:sz w:val="24"/>
          <w:szCs w:val="24"/>
        </w:rPr>
        <w:t>.</w:t>
      </w:r>
      <w:r w:rsidR="659CB52D" w:rsidRPr="0D0463AD">
        <w:rPr>
          <w:rFonts w:ascii="Times New Roman" w:eastAsia="Times New Roman" w:hAnsi="Times New Roman" w:cs="Times New Roman"/>
          <w:sz w:val="24"/>
          <w:szCs w:val="24"/>
        </w:rPr>
        <w:t xml:space="preserve"> This was clear throughout all the parts of the project where I located primary and secondary case law, as well as</w:t>
      </w:r>
      <w:r w:rsidR="6E681873" w:rsidRPr="0D0463AD">
        <w:rPr>
          <w:rFonts w:ascii="Times New Roman" w:eastAsia="Times New Roman" w:hAnsi="Times New Roman" w:cs="Times New Roman"/>
          <w:sz w:val="24"/>
          <w:szCs w:val="24"/>
        </w:rPr>
        <w:t xml:space="preserve"> legislation. Then I had to analyze and evaluate the sources to determine what would be the best recommendation for the client.</w:t>
      </w:r>
    </w:p>
    <w:p w14:paraId="5127EA1A" w14:textId="562C57FE" w:rsidR="1241D480" w:rsidRDefault="1241D480" w:rsidP="0D0463AD">
      <w:pPr>
        <w:spacing w:line="480" w:lineRule="auto"/>
        <w:rPr>
          <w:rFonts w:ascii="Times New Roman" w:eastAsia="Times New Roman" w:hAnsi="Times New Roman" w:cs="Times New Roman"/>
          <w:sz w:val="24"/>
          <w:szCs w:val="24"/>
        </w:rPr>
      </w:pPr>
      <w:proofErr w:type="gramStart"/>
      <w:r w:rsidRPr="0D0463AD">
        <w:rPr>
          <w:rFonts w:ascii="Times New Roman" w:eastAsia="Times New Roman" w:hAnsi="Times New Roman" w:cs="Times New Roman"/>
          <w:sz w:val="24"/>
          <w:szCs w:val="24"/>
        </w:rPr>
        <w:t>All of</w:t>
      </w:r>
      <w:proofErr w:type="gramEnd"/>
      <w:r w:rsidRPr="0D0463AD">
        <w:rPr>
          <w:rFonts w:ascii="Times New Roman" w:eastAsia="Times New Roman" w:hAnsi="Times New Roman" w:cs="Times New Roman"/>
          <w:sz w:val="24"/>
          <w:szCs w:val="24"/>
        </w:rPr>
        <w:t xml:space="preserve"> these areas have helped me to improve upon my research skills, as well as made me a better writer and communicator. I have learned a l</w:t>
      </w:r>
      <w:r w:rsidR="42648B32" w:rsidRPr="0D0463AD">
        <w:rPr>
          <w:rFonts w:ascii="Times New Roman" w:eastAsia="Times New Roman" w:hAnsi="Times New Roman" w:cs="Times New Roman"/>
          <w:sz w:val="24"/>
          <w:szCs w:val="24"/>
        </w:rPr>
        <w:t>ot about how to navigate legal research sites and how to apply case law. I have improved my outlining and organizational skills. I ha</w:t>
      </w:r>
      <w:r w:rsidR="156E0325" w:rsidRPr="0D0463AD">
        <w:rPr>
          <w:rFonts w:ascii="Times New Roman" w:eastAsia="Times New Roman" w:hAnsi="Times New Roman" w:cs="Times New Roman"/>
          <w:sz w:val="24"/>
          <w:szCs w:val="24"/>
        </w:rPr>
        <w:t xml:space="preserve">ve met the course outcomes, as well as the program and institutional outcomes. I think this project has </w:t>
      </w:r>
      <w:r w:rsidR="156E0325" w:rsidRPr="0D0463AD">
        <w:rPr>
          <w:rFonts w:ascii="Times New Roman" w:eastAsia="Times New Roman" w:hAnsi="Times New Roman" w:cs="Times New Roman"/>
          <w:sz w:val="24"/>
          <w:szCs w:val="24"/>
        </w:rPr>
        <w:lastRenderedPageBreak/>
        <w:t xml:space="preserve">improved my understanding of the paralegal </w:t>
      </w:r>
      <w:proofErr w:type="gramStart"/>
      <w:r w:rsidR="156E0325" w:rsidRPr="0D0463AD">
        <w:rPr>
          <w:rFonts w:ascii="Times New Roman" w:eastAsia="Times New Roman" w:hAnsi="Times New Roman" w:cs="Times New Roman"/>
          <w:sz w:val="24"/>
          <w:szCs w:val="24"/>
        </w:rPr>
        <w:t>fiel</w:t>
      </w:r>
      <w:r w:rsidR="4FA080A4" w:rsidRPr="0D0463AD">
        <w:rPr>
          <w:rFonts w:ascii="Times New Roman" w:eastAsia="Times New Roman" w:hAnsi="Times New Roman" w:cs="Times New Roman"/>
          <w:sz w:val="24"/>
          <w:szCs w:val="24"/>
        </w:rPr>
        <w:t>d, and</w:t>
      </w:r>
      <w:proofErr w:type="gramEnd"/>
      <w:r w:rsidR="4FA080A4" w:rsidRPr="0D0463AD">
        <w:rPr>
          <w:rFonts w:ascii="Times New Roman" w:eastAsia="Times New Roman" w:hAnsi="Times New Roman" w:cs="Times New Roman"/>
          <w:sz w:val="24"/>
          <w:szCs w:val="24"/>
        </w:rPr>
        <w:t xml:space="preserve"> has given me the opportunity to improve my skills for the future.</w:t>
      </w:r>
    </w:p>
    <w:p w14:paraId="3B22B8ED" w14:textId="3FD834A2" w:rsidR="0D0463AD" w:rsidRDefault="0D0463AD" w:rsidP="0D0463AD">
      <w:pPr>
        <w:spacing w:line="480" w:lineRule="auto"/>
        <w:rPr>
          <w:rFonts w:ascii="Times New Roman" w:eastAsia="Times New Roman" w:hAnsi="Times New Roman" w:cs="Times New Roman"/>
          <w:sz w:val="24"/>
          <w:szCs w:val="24"/>
        </w:rPr>
      </w:pPr>
    </w:p>
    <w:p w14:paraId="08ABAF5C" w14:textId="36C72E84" w:rsidR="0D0463AD" w:rsidRDefault="0D0463AD" w:rsidP="0D0463AD">
      <w:pPr>
        <w:jc w:val="center"/>
        <w:rPr>
          <w:rFonts w:ascii="Times New Roman" w:eastAsia="Times New Roman" w:hAnsi="Times New Roman" w:cs="Times New Roman"/>
          <w:b/>
          <w:bCs/>
          <w:sz w:val="24"/>
          <w:szCs w:val="24"/>
        </w:rPr>
      </w:pPr>
    </w:p>
    <w:p w14:paraId="3EEC7CDD" w14:textId="29CB1093" w:rsidR="0D0463AD" w:rsidRDefault="0D0463AD" w:rsidP="0D0463AD">
      <w:pPr>
        <w:jc w:val="center"/>
        <w:rPr>
          <w:rFonts w:ascii="Times New Roman" w:eastAsia="Times New Roman" w:hAnsi="Times New Roman" w:cs="Times New Roman"/>
          <w:b/>
          <w:bCs/>
          <w:sz w:val="24"/>
          <w:szCs w:val="24"/>
        </w:rPr>
      </w:pPr>
    </w:p>
    <w:p w14:paraId="4B066AEA" w14:textId="63E527B7" w:rsidR="0D0463AD" w:rsidRDefault="0D0463AD" w:rsidP="0D0463AD">
      <w:pPr>
        <w:jc w:val="center"/>
        <w:rPr>
          <w:rFonts w:ascii="Times New Roman" w:eastAsia="Times New Roman" w:hAnsi="Times New Roman" w:cs="Times New Roman"/>
          <w:b/>
          <w:bCs/>
          <w:sz w:val="24"/>
          <w:szCs w:val="24"/>
        </w:rPr>
      </w:pPr>
    </w:p>
    <w:p w14:paraId="3A0DECD6" w14:textId="16146D4E" w:rsidR="0D0463AD" w:rsidRDefault="0D0463AD" w:rsidP="0D0463AD">
      <w:pPr>
        <w:jc w:val="center"/>
        <w:rPr>
          <w:rFonts w:ascii="Times New Roman" w:eastAsia="Times New Roman" w:hAnsi="Times New Roman" w:cs="Times New Roman"/>
          <w:b/>
          <w:bCs/>
          <w:sz w:val="24"/>
          <w:szCs w:val="24"/>
        </w:rPr>
      </w:pPr>
    </w:p>
    <w:p w14:paraId="4B1AC566" w14:textId="1767ECA6" w:rsidR="0D0463AD" w:rsidRDefault="0D0463AD" w:rsidP="0D0463AD">
      <w:pPr>
        <w:jc w:val="center"/>
        <w:rPr>
          <w:rFonts w:ascii="Times New Roman" w:eastAsia="Times New Roman" w:hAnsi="Times New Roman" w:cs="Times New Roman"/>
          <w:b/>
          <w:bCs/>
          <w:sz w:val="24"/>
          <w:szCs w:val="24"/>
        </w:rPr>
      </w:pPr>
    </w:p>
    <w:p w14:paraId="07DB4E86" w14:textId="128262F5" w:rsidR="0D0463AD" w:rsidRDefault="0D0463AD" w:rsidP="0D0463AD">
      <w:pPr>
        <w:jc w:val="center"/>
        <w:rPr>
          <w:rFonts w:ascii="Times New Roman" w:eastAsia="Times New Roman" w:hAnsi="Times New Roman" w:cs="Times New Roman"/>
          <w:b/>
          <w:bCs/>
          <w:sz w:val="24"/>
          <w:szCs w:val="24"/>
        </w:rPr>
      </w:pPr>
    </w:p>
    <w:p w14:paraId="302BFE59" w14:textId="76570225" w:rsidR="0D0463AD" w:rsidRDefault="0D0463AD" w:rsidP="0D0463AD">
      <w:pPr>
        <w:jc w:val="center"/>
        <w:rPr>
          <w:rFonts w:ascii="Times New Roman" w:eastAsia="Times New Roman" w:hAnsi="Times New Roman" w:cs="Times New Roman"/>
          <w:b/>
          <w:bCs/>
          <w:sz w:val="24"/>
          <w:szCs w:val="24"/>
        </w:rPr>
      </w:pPr>
    </w:p>
    <w:p w14:paraId="782D6254" w14:textId="43E2150B" w:rsidR="0D0463AD" w:rsidRDefault="0D0463AD" w:rsidP="0D0463AD">
      <w:pPr>
        <w:jc w:val="center"/>
        <w:rPr>
          <w:rFonts w:ascii="Times New Roman" w:eastAsia="Times New Roman" w:hAnsi="Times New Roman" w:cs="Times New Roman"/>
          <w:b/>
          <w:bCs/>
          <w:sz w:val="24"/>
          <w:szCs w:val="24"/>
        </w:rPr>
      </w:pPr>
    </w:p>
    <w:p w14:paraId="3E1B28F7" w14:textId="5B1FF64A" w:rsidR="0D0463AD" w:rsidRDefault="0D0463AD" w:rsidP="0D0463AD">
      <w:pPr>
        <w:jc w:val="center"/>
        <w:rPr>
          <w:rFonts w:ascii="Times New Roman" w:eastAsia="Times New Roman" w:hAnsi="Times New Roman" w:cs="Times New Roman"/>
          <w:b/>
          <w:bCs/>
          <w:sz w:val="24"/>
          <w:szCs w:val="24"/>
        </w:rPr>
      </w:pPr>
    </w:p>
    <w:p w14:paraId="6B27123E" w14:textId="0DB2861B" w:rsidR="0D0463AD" w:rsidRDefault="0D0463AD" w:rsidP="0D0463AD">
      <w:pPr>
        <w:jc w:val="center"/>
        <w:rPr>
          <w:rFonts w:ascii="Times New Roman" w:eastAsia="Times New Roman" w:hAnsi="Times New Roman" w:cs="Times New Roman"/>
          <w:b/>
          <w:bCs/>
          <w:sz w:val="24"/>
          <w:szCs w:val="24"/>
        </w:rPr>
      </w:pPr>
    </w:p>
    <w:p w14:paraId="026767A5" w14:textId="1FF0DB74" w:rsidR="0D0463AD" w:rsidRDefault="0D0463AD" w:rsidP="0D0463AD">
      <w:pPr>
        <w:jc w:val="center"/>
        <w:rPr>
          <w:rFonts w:ascii="Times New Roman" w:eastAsia="Times New Roman" w:hAnsi="Times New Roman" w:cs="Times New Roman"/>
          <w:b/>
          <w:bCs/>
          <w:sz w:val="24"/>
          <w:szCs w:val="24"/>
        </w:rPr>
      </w:pPr>
    </w:p>
    <w:p w14:paraId="021DF888" w14:textId="738B4E57" w:rsidR="0D0463AD" w:rsidRDefault="0D0463AD" w:rsidP="0D0463AD">
      <w:pPr>
        <w:jc w:val="center"/>
        <w:rPr>
          <w:rFonts w:ascii="Times New Roman" w:eastAsia="Times New Roman" w:hAnsi="Times New Roman" w:cs="Times New Roman"/>
          <w:b/>
          <w:bCs/>
          <w:sz w:val="24"/>
          <w:szCs w:val="24"/>
        </w:rPr>
      </w:pPr>
    </w:p>
    <w:p w14:paraId="0A479758" w14:textId="47CC9759" w:rsidR="0D0463AD" w:rsidRDefault="0D0463AD" w:rsidP="0D0463AD">
      <w:pPr>
        <w:jc w:val="center"/>
        <w:rPr>
          <w:rFonts w:ascii="Times New Roman" w:eastAsia="Times New Roman" w:hAnsi="Times New Roman" w:cs="Times New Roman"/>
          <w:b/>
          <w:bCs/>
          <w:sz w:val="24"/>
          <w:szCs w:val="24"/>
        </w:rPr>
      </w:pPr>
    </w:p>
    <w:p w14:paraId="38D61050" w14:textId="7240C8B0" w:rsidR="0D0463AD" w:rsidRDefault="0D0463AD" w:rsidP="0D0463AD">
      <w:pPr>
        <w:jc w:val="center"/>
        <w:rPr>
          <w:rFonts w:ascii="Times New Roman" w:eastAsia="Times New Roman" w:hAnsi="Times New Roman" w:cs="Times New Roman"/>
          <w:b/>
          <w:bCs/>
          <w:sz w:val="24"/>
          <w:szCs w:val="24"/>
        </w:rPr>
      </w:pPr>
    </w:p>
    <w:p w14:paraId="2ACF3398" w14:textId="6F5E1468" w:rsidR="0D0463AD" w:rsidRDefault="0D0463AD" w:rsidP="0D0463AD">
      <w:pPr>
        <w:jc w:val="center"/>
        <w:rPr>
          <w:rFonts w:ascii="Times New Roman" w:eastAsia="Times New Roman" w:hAnsi="Times New Roman" w:cs="Times New Roman"/>
          <w:b/>
          <w:bCs/>
          <w:sz w:val="24"/>
          <w:szCs w:val="24"/>
        </w:rPr>
      </w:pPr>
    </w:p>
    <w:p w14:paraId="3C8A7B46" w14:textId="0254ACE9" w:rsidR="0D0463AD" w:rsidRDefault="0D0463AD" w:rsidP="0D0463AD">
      <w:pPr>
        <w:jc w:val="center"/>
        <w:rPr>
          <w:rFonts w:ascii="Times New Roman" w:eastAsia="Times New Roman" w:hAnsi="Times New Roman" w:cs="Times New Roman"/>
          <w:b/>
          <w:bCs/>
          <w:sz w:val="24"/>
          <w:szCs w:val="24"/>
        </w:rPr>
      </w:pPr>
    </w:p>
    <w:p w14:paraId="75A3ACE5" w14:textId="0F407C51" w:rsidR="0D0463AD" w:rsidRDefault="0D0463AD" w:rsidP="0D0463AD">
      <w:pPr>
        <w:jc w:val="center"/>
        <w:rPr>
          <w:rFonts w:ascii="Times New Roman" w:eastAsia="Times New Roman" w:hAnsi="Times New Roman" w:cs="Times New Roman"/>
          <w:b/>
          <w:bCs/>
          <w:sz w:val="24"/>
          <w:szCs w:val="24"/>
        </w:rPr>
      </w:pPr>
    </w:p>
    <w:p w14:paraId="4A98AB43" w14:textId="7A3F1397" w:rsidR="0D0463AD" w:rsidRDefault="0D0463AD" w:rsidP="0D0463AD">
      <w:pPr>
        <w:jc w:val="center"/>
        <w:rPr>
          <w:rFonts w:ascii="Times New Roman" w:eastAsia="Times New Roman" w:hAnsi="Times New Roman" w:cs="Times New Roman"/>
          <w:b/>
          <w:bCs/>
          <w:sz w:val="24"/>
          <w:szCs w:val="24"/>
        </w:rPr>
      </w:pPr>
    </w:p>
    <w:p w14:paraId="0366A881" w14:textId="596F7475" w:rsidR="0D0463AD" w:rsidRDefault="0D0463AD" w:rsidP="0D0463AD">
      <w:pPr>
        <w:jc w:val="center"/>
        <w:rPr>
          <w:rFonts w:ascii="Times New Roman" w:eastAsia="Times New Roman" w:hAnsi="Times New Roman" w:cs="Times New Roman"/>
          <w:b/>
          <w:bCs/>
          <w:sz w:val="24"/>
          <w:szCs w:val="24"/>
        </w:rPr>
      </w:pPr>
    </w:p>
    <w:p w14:paraId="66B74316" w14:textId="44BC4B00" w:rsidR="0D0463AD" w:rsidRDefault="0D0463AD" w:rsidP="0D0463AD">
      <w:pPr>
        <w:jc w:val="center"/>
        <w:rPr>
          <w:rFonts w:ascii="Times New Roman" w:eastAsia="Times New Roman" w:hAnsi="Times New Roman" w:cs="Times New Roman"/>
          <w:b/>
          <w:bCs/>
          <w:sz w:val="24"/>
          <w:szCs w:val="24"/>
        </w:rPr>
      </w:pPr>
    </w:p>
    <w:p w14:paraId="35B307E2" w14:textId="3D9A7080" w:rsidR="0D0463AD" w:rsidRDefault="0D0463AD" w:rsidP="0D0463AD">
      <w:pPr>
        <w:jc w:val="center"/>
        <w:rPr>
          <w:rFonts w:ascii="Times New Roman" w:eastAsia="Times New Roman" w:hAnsi="Times New Roman" w:cs="Times New Roman"/>
          <w:b/>
          <w:bCs/>
          <w:sz w:val="24"/>
          <w:szCs w:val="24"/>
        </w:rPr>
      </w:pPr>
    </w:p>
    <w:p w14:paraId="28931CDC" w14:textId="59C1E6CF" w:rsidR="0D0463AD" w:rsidRDefault="0D0463AD" w:rsidP="0D0463AD">
      <w:pPr>
        <w:jc w:val="center"/>
        <w:rPr>
          <w:rFonts w:ascii="Times New Roman" w:eastAsia="Times New Roman" w:hAnsi="Times New Roman" w:cs="Times New Roman"/>
          <w:b/>
          <w:bCs/>
          <w:sz w:val="24"/>
          <w:szCs w:val="24"/>
        </w:rPr>
      </w:pPr>
    </w:p>
    <w:p w14:paraId="79A5FB58" w14:textId="0A269ADB" w:rsidR="0D0463AD" w:rsidRDefault="0D0463AD" w:rsidP="004D6B80">
      <w:pPr>
        <w:rPr>
          <w:rFonts w:ascii="Times New Roman" w:eastAsia="Times New Roman" w:hAnsi="Times New Roman" w:cs="Times New Roman"/>
          <w:b/>
          <w:bCs/>
          <w:sz w:val="24"/>
          <w:szCs w:val="24"/>
        </w:rPr>
      </w:pPr>
    </w:p>
    <w:p w14:paraId="170B1158" w14:textId="45DCA88F" w:rsidR="0D0463AD" w:rsidRDefault="0D0463AD" w:rsidP="0D0463AD">
      <w:pPr>
        <w:jc w:val="center"/>
        <w:rPr>
          <w:rFonts w:ascii="Times New Roman" w:eastAsia="Times New Roman" w:hAnsi="Times New Roman" w:cs="Times New Roman"/>
          <w:b/>
          <w:bCs/>
          <w:sz w:val="24"/>
          <w:szCs w:val="24"/>
        </w:rPr>
      </w:pPr>
    </w:p>
    <w:p w14:paraId="075556F4" w14:textId="4631749E" w:rsidR="1CC79455" w:rsidRDefault="1CC79455" w:rsidP="0D0463AD">
      <w:pPr>
        <w:jc w:val="center"/>
        <w:rPr>
          <w:rFonts w:ascii="Times New Roman" w:eastAsia="Times New Roman" w:hAnsi="Times New Roman" w:cs="Times New Roman"/>
          <w:sz w:val="24"/>
          <w:szCs w:val="24"/>
        </w:rPr>
      </w:pPr>
      <w:r w:rsidRPr="0D0463AD">
        <w:rPr>
          <w:rFonts w:ascii="Times New Roman" w:eastAsia="Times New Roman" w:hAnsi="Times New Roman" w:cs="Times New Roman"/>
          <w:b/>
          <w:bCs/>
          <w:sz w:val="24"/>
          <w:szCs w:val="24"/>
        </w:rPr>
        <w:lastRenderedPageBreak/>
        <w:t>References</w:t>
      </w:r>
    </w:p>
    <w:p w14:paraId="764E87A0" w14:textId="2C6FBEB0" w:rsidR="1CC79455" w:rsidRDefault="1CC79455" w:rsidP="0D0463AD">
      <w:pPr>
        <w:spacing w:line="480" w:lineRule="auto"/>
        <w:ind w:left="567" w:hanging="567"/>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15 USCS § 1051, </w:t>
      </w:r>
      <w:r w:rsidRPr="0D0463AD">
        <w:rPr>
          <w:rFonts w:ascii="Times New Roman" w:eastAsia="Times New Roman" w:hAnsi="Times New Roman" w:cs="Times New Roman"/>
          <w:smallCaps/>
          <w:sz w:val="24"/>
          <w:szCs w:val="24"/>
        </w:rPr>
        <w:t>Lexis</w:t>
      </w:r>
      <w:r w:rsidRPr="0D0463AD">
        <w:rPr>
          <w:rFonts w:ascii="Times New Roman" w:eastAsia="Times New Roman" w:hAnsi="Times New Roman" w:cs="Times New Roman"/>
          <w:sz w:val="24"/>
          <w:szCs w:val="24"/>
        </w:rPr>
        <w:t xml:space="preserve"> (2021), </w:t>
      </w:r>
      <w:hyperlink r:id="rId14">
        <w:r w:rsidRPr="0D0463AD">
          <w:rPr>
            <w:rStyle w:val="Hyperlink"/>
            <w:rFonts w:ascii="Times New Roman" w:eastAsia="Times New Roman" w:hAnsi="Times New Roman" w:cs="Times New Roman"/>
            <w:sz w:val="24"/>
            <w:szCs w:val="24"/>
          </w:rPr>
          <w:t>https://advance.lexis.com/document/?pdmfid=1000516&amp;crid=56f5cbee-c3ae-40d3-8fe5-a8579ab20efe&amp;pddocfullpath=%2Fshared%2Fdocument%2Fstatutes-legislation%2Furn%3AcontentItem%3A8S9D-W4W2-8T6X-715M-00000-00&amp;pdcontentcomponentid=6362&amp;pdteaserkey=sr0&amp;pditab=allpods&amp;ecomp=7zt4k&amp;earg=sr0&amp;prid=88ce8d5c-5dff-4ca3-b46e-d321bdca6925</w:t>
        </w:r>
      </w:hyperlink>
    </w:p>
    <w:p w14:paraId="691B014B" w14:textId="2F95E363" w:rsidR="240BBC0D" w:rsidRDefault="240BBC0D" w:rsidP="0D0463AD">
      <w:pPr>
        <w:spacing w:line="480" w:lineRule="auto"/>
        <w:ind w:left="567" w:hanging="567"/>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15 USCS § 1114, Part 1 of 2, </w:t>
      </w:r>
      <w:r w:rsidRPr="0D0463AD">
        <w:rPr>
          <w:rFonts w:ascii="Times New Roman" w:eastAsia="Times New Roman" w:hAnsi="Times New Roman" w:cs="Times New Roman"/>
          <w:smallCaps/>
          <w:sz w:val="24"/>
          <w:szCs w:val="24"/>
        </w:rPr>
        <w:t>Lexis</w:t>
      </w:r>
      <w:r w:rsidRPr="0D0463AD">
        <w:rPr>
          <w:rFonts w:ascii="Times New Roman" w:eastAsia="Times New Roman" w:hAnsi="Times New Roman" w:cs="Times New Roman"/>
          <w:sz w:val="24"/>
          <w:szCs w:val="24"/>
        </w:rPr>
        <w:t xml:space="preserve"> (2021), </w:t>
      </w:r>
      <w:hyperlink r:id="rId15">
        <w:r w:rsidRPr="0D0463AD">
          <w:rPr>
            <w:rStyle w:val="Hyperlink"/>
            <w:rFonts w:ascii="Times New Roman" w:eastAsia="Times New Roman" w:hAnsi="Times New Roman" w:cs="Times New Roman"/>
            <w:sz w:val="24"/>
            <w:szCs w:val="24"/>
          </w:rPr>
          <w:t>https://advance.lexis.com/document/documentlink/?pdmfid=1000516&amp;crid=d7a23e2f-8472-427a-84d0-57f972148ae0&amp;pddocfullpath=%2Fshared%2Fdocument%2Fstatutes-legislation%2Furn%3AcontentItem%3A8S9D-W4W2-8T6X-716T-00000-00&amp;pdcontentcomponentid=6362&amp;pddoctitle=15%2BU.S.C.%2B%C2%A7%2B1114&amp;pdproductcontenttypeid=urn%3Apct%3A83&amp;pdiskwicview=false&amp;ecomp=w5p2k&amp;prid=d5c850cd-535f-4324-9be5-e49dab409f34</w:t>
        </w:r>
      </w:hyperlink>
      <w:r w:rsidRPr="0D0463AD">
        <w:rPr>
          <w:rFonts w:ascii="Times New Roman" w:eastAsia="Times New Roman" w:hAnsi="Times New Roman" w:cs="Times New Roman"/>
          <w:sz w:val="24"/>
          <w:szCs w:val="24"/>
        </w:rPr>
        <w:t xml:space="preserve"> </w:t>
      </w:r>
    </w:p>
    <w:p w14:paraId="0A57F8EA" w14:textId="6A0959B5" w:rsidR="240BBC0D" w:rsidRDefault="240BBC0D" w:rsidP="0D0463AD">
      <w:pPr>
        <w:spacing w:line="480" w:lineRule="auto"/>
        <w:ind w:left="567" w:hanging="567"/>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15 USCS § 1125, Part 1 of 3, </w:t>
      </w:r>
      <w:r w:rsidRPr="0D0463AD">
        <w:rPr>
          <w:rFonts w:ascii="Times New Roman" w:eastAsia="Times New Roman" w:hAnsi="Times New Roman" w:cs="Times New Roman"/>
          <w:smallCaps/>
          <w:sz w:val="24"/>
          <w:szCs w:val="24"/>
        </w:rPr>
        <w:t>Lexis</w:t>
      </w:r>
      <w:r w:rsidRPr="0D0463AD">
        <w:rPr>
          <w:rFonts w:ascii="Times New Roman" w:eastAsia="Times New Roman" w:hAnsi="Times New Roman" w:cs="Times New Roman"/>
          <w:sz w:val="24"/>
          <w:szCs w:val="24"/>
        </w:rPr>
        <w:t xml:space="preserve"> (2021), </w:t>
      </w:r>
      <w:hyperlink r:id="rId16">
        <w:r w:rsidRPr="0D0463AD">
          <w:rPr>
            <w:rStyle w:val="Hyperlink"/>
            <w:rFonts w:ascii="Times New Roman" w:eastAsia="Times New Roman" w:hAnsi="Times New Roman" w:cs="Times New Roman"/>
            <w:sz w:val="24"/>
            <w:szCs w:val="24"/>
          </w:rPr>
          <w:t>https://advance.lexis.com/document/documentlink/?pdmfid=1000516&amp;crid=5568e8bc-a0ae-46d7-8ffb-d6b7fe17e874&amp;pddocfullpath=%2Fshared%2Fdocument%2Fstatutes-legislation%2Furn%3AcontentItem%3A8S9D-W4W2-8T6X-7177-00000-00&amp;pdpinpoint=_a&amp;pdcontentcomponentid=6362&amp;pddoctitle=15%2BU.S.C.%2B%C2%A7%2B1125%28a%29&amp;pdproductcontenttypeid=urn%3Apct%3A83&amp;pdiskwicview=false&amp;ecomp=w5p2k&amp;prid=d5c850cd-535f-4324-9be5-e49dab409f34</w:t>
        </w:r>
      </w:hyperlink>
    </w:p>
    <w:p w14:paraId="653E91E3" w14:textId="32368E2A" w:rsidR="1CC79455" w:rsidRDefault="1CC79455" w:rsidP="0D0463AD">
      <w:pPr>
        <w:spacing w:line="480" w:lineRule="auto"/>
        <w:ind w:left="567" w:hanging="567"/>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Audi AG v. D'Amato, 381 F. Supp. 2d 644, </w:t>
      </w:r>
      <w:r w:rsidRPr="0D0463AD">
        <w:rPr>
          <w:rFonts w:ascii="Times New Roman" w:eastAsia="Times New Roman" w:hAnsi="Times New Roman" w:cs="Times New Roman"/>
          <w:smallCaps/>
          <w:sz w:val="24"/>
          <w:szCs w:val="24"/>
        </w:rPr>
        <w:t>Lexis</w:t>
      </w:r>
      <w:r w:rsidRPr="0D0463AD">
        <w:rPr>
          <w:rFonts w:ascii="Times New Roman" w:eastAsia="Times New Roman" w:hAnsi="Times New Roman" w:cs="Times New Roman"/>
          <w:sz w:val="24"/>
          <w:szCs w:val="24"/>
        </w:rPr>
        <w:t xml:space="preserve"> (2005), </w:t>
      </w:r>
      <w:hyperlink r:id="rId17">
        <w:r w:rsidRPr="0D0463AD">
          <w:rPr>
            <w:rStyle w:val="Hyperlink"/>
            <w:rFonts w:ascii="Times New Roman" w:eastAsia="Times New Roman" w:hAnsi="Times New Roman" w:cs="Times New Roman"/>
            <w:sz w:val="24"/>
            <w:szCs w:val="24"/>
          </w:rPr>
          <w:t>https://advance.lexis.com/document/?pdmfid=1000516&amp;crid=d5c850cd-535f-4324-9be5-</w:t>
        </w:r>
        <w:r w:rsidRPr="0D0463AD">
          <w:rPr>
            <w:rStyle w:val="Hyperlink"/>
            <w:rFonts w:ascii="Times New Roman" w:eastAsia="Times New Roman" w:hAnsi="Times New Roman" w:cs="Times New Roman"/>
            <w:sz w:val="24"/>
            <w:szCs w:val="24"/>
          </w:rPr>
          <w:lastRenderedPageBreak/>
          <w:t>e49dab409f34&amp;pddocfullpath=%2Fshared%2Fdocument%2Fcases%2Furn%3AcontentItem%3A4H57-PPS0-TVVM-W1VM-00000-00&amp;pdcontentcomponentid=6416&amp;pdshepid=urn%3AcontentItem%3A7XWY-3F51-2NSD-R51S-00000-00&amp;pdteaserkey=sr5&amp;pditab=allpods&amp;ecomp=7zt4k&amp;earg=sr5&amp;prid=84996221-9b32-4385-9cb1-8afa7a4fec33</w:t>
        </w:r>
      </w:hyperlink>
    </w:p>
    <w:p w14:paraId="621D66A5" w14:textId="4BF76ED0" w:rsidR="1CC79455" w:rsidRDefault="1CC79455" w:rsidP="0D0463AD">
      <w:pPr>
        <w:spacing w:line="480" w:lineRule="auto"/>
        <w:ind w:left="567" w:hanging="567"/>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Hamilton-Brown Shoe Co. v. Wolf Bros. &amp; Co., 240 U.S. 251, </w:t>
      </w:r>
      <w:r w:rsidRPr="0D0463AD">
        <w:rPr>
          <w:rFonts w:ascii="Times New Roman" w:eastAsia="Times New Roman" w:hAnsi="Times New Roman" w:cs="Times New Roman"/>
          <w:smallCaps/>
          <w:sz w:val="24"/>
          <w:szCs w:val="24"/>
        </w:rPr>
        <w:t>Lexis</w:t>
      </w:r>
      <w:r w:rsidRPr="0D0463AD">
        <w:rPr>
          <w:rFonts w:ascii="Times New Roman" w:eastAsia="Times New Roman" w:hAnsi="Times New Roman" w:cs="Times New Roman"/>
          <w:sz w:val="24"/>
          <w:szCs w:val="24"/>
        </w:rPr>
        <w:t xml:space="preserve"> (1916), </w:t>
      </w:r>
      <w:hyperlink r:id="rId18">
        <w:r w:rsidRPr="0D0463AD">
          <w:rPr>
            <w:rStyle w:val="Hyperlink"/>
            <w:rFonts w:ascii="Times New Roman" w:eastAsia="Times New Roman" w:hAnsi="Times New Roman" w:cs="Times New Roman"/>
            <w:sz w:val="24"/>
            <w:szCs w:val="24"/>
          </w:rPr>
          <w:t>https://advance.lexis.com/document/?pdmfid=1000516&amp;crid=4b6a7879-f8ff-4b37-a450-ce66e25bcdba&amp;pddocfullpath=%2Fshared%2Fdocument%2Fcases%2Furn%3AcontentItem%3A3S4X-6VJ0-003B-H2FX-00000-00&amp;pdcontentcomponentid=6443&amp;pdshepid=urn%3AcontentItem%3A7XWN-03F1-2NSF-C2Y8-00000-00&amp;pdteaserkey=sr4&amp;pditab=allpods&amp;ecomp=7zt4k&amp;earg=sr4&amp;prid=00d1b279-6482-40f6-b930-321eab7d6edf</w:t>
        </w:r>
      </w:hyperlink>
    </w:p>
    <w:p w14:paraId="2BF97838" w14:textId="64AA32AC" w:rsidR="1CC79455" w:rsidRDefault="1CC79455" w:rsidP="0D0463AD">
      <w:pPr>
        <w:spacing w:line="480" w:lineRule="auto"/>
        <w:ind w:left="567" w:hanging="567"/>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Interstate Brands Corp. v. Way Baking Co., 403 Mich. 479, </w:t>
      </w:r>
      <w:r w:rsidRPr="0D0463AD">
        <w:rPr>
          <w:rFonts w:ascii="Times New Roman" w:eastAsia="Times New Roman" w:hAnsi="Times New Roman" w:cs="Times New Roman"/>
          <w:smallCaps/>
          <w:sz w:val="24"/>
          <w:szCs w:val="24"/>
        </w:rPr>
        <w:t>Lexis</w:t>
      </w:r>
      <w:r w:rsidRPr="0D0463AD">
        <w:rPr>
          <w:rFonts w:ascii="Times New Roman" w:eastAsia="Times New Roman" w:hAnsi="Times New Roman" w:cs="Times New Roman"/>
          <w:sz w:val="24"/>
          <w:szCs w:val="24"/>
        </w:rPr>
        <w:t xml:space="preserve"> (1978), </w:t>
      </w:r>
      <w:hyperlink r:id="rId19">
        <w:r w:rsidRPr="0D0463AD">
          <w:rPr>
            <w:rStyle w:val="Hyperlink"/>
            <w:rFonts w:ascii="Times New Roman" w:eastAsia="Times New Roman" w:hAnsi="Times New Roman" w:cs="Times New Roman"/>
            <w:sz w:val="24"/>
            <w:szCs w:val="24"/>
          </w:rPr>
          <w:t>https://advance.lexis.com/document/?pdmfid=1000516&amp;crid=ed7a08c5-a9a9-4bb7-8b1d-aff7b01dd2fe&amp;pddocfullpath=%2Fshared%2Fdocument%2Fcases%2Furn%3AcontentItem%3A3RX6-K8R0-003D-60SX-00000-00&amp;pdcontentcomponentid=7784&amp;pdshepid=urn%3AcontentItem%3A7XWN-J921-2NSD-N2V8-00000-00&amp;pdteaserkey=sr2&amp;pditab=allpods&amp;ecomp=7zt4k&amp;earg=sr2&amp;prid=a4b0fd4c-32f5-4ae9-839e-24b1a4df8e35</w:t>
        </w:r>
      </w:hyperlink>
    </w:p>
    <w:p w14:paraId="5A24C2DC" w14:textId="3AF4E899" w:rsidR="1CC79455" w:rsidRDefault="1CC79455" w:rsidP="0D0463AD">
      <w:pPr>
        <w:spacing w:line="480" w:lineRule="auto"/>
        <w:ind w:left="567" w:hanging="567"/>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lastRenderedPageBreak/>
        <w:t xml:space="preserve">Janet Travis, Inc. v. </w:t>
      </w:r>
      <w:proofErr w:type="spellStart"/>
      <w:r w:rsidRPr="0D0463AD">
        <w:rPr>
          <w:rFonts w:ascii="Times New Roman" w:eastAsia="Times New Roman" w:hAnsi="Times New Roman" w:cs="Times New Roman"/>
          <w:sz w:val="24"/>
          <w:szCs w:val="24"/>
        </w:rPr>
        <w:t>Preka</w:t>
      </w:r>
      <w:proofErr w:type="spellEnd"/>
      <w:r w:rsidRPr="0D0463AD">
        <w:rPr>
          <w:rFonts w:ascii="Times New Roman" w:eastAsia="Times New Roman" w:hAnsi="Times New Roman" w:cs="Times New Roman"/>
          <w:sz w:val="24"/>
          <w:szCs w:val="24"/>
        </w:rPr>
        <w:t xml:space="preserve"> Holdings, L.L.C., 306 Mich. App. 266, </w:t>
      </w:r>
      <w:r w:rsidRPr="0D0463AD">
        <w:rPr>
          <w:rFonts w:ascii="Times New Roman" w:eastAsia="Times New Roman" w:hAnsi="Times New Roman" w:cs="Times New Roman"/>
          <w:smallCaps/>
          <w:sz w:val="24"/>
          <w:szCs w:val="24"/>
        </w:rPr>
        <w:t>Lexis</w:t>
      </w:r>
      <w:r w:rsidRPr="0D0463AD">
        <w:rPr>
          <w:rFonts w:ascii="Times New Roman" w:eastAsia="Times New Roman" w:hAnsi="Times New Roman" w:cs="Times New Roman"/>
          <w:sz w:val="24"/>
          <w:szCs w:val="24"/>
        </w:rPr>
        <w:t xml:space="preserve"> (2014), </w:t>
      </w:r>
      <w:hyperlink r:id="rId20">
        <w:r w:rsidRPr="0D0463AD">
          <w:rPr>
            <w:rStyle w:val="Hyperlink"/>
            <w:rFonts w:ascii="Times New Roman" w:eastAsia="Times New Roman" w:hAnsi="Times New Roman" w:cs="Times New Roman"/>
            <w:sz w:val="24"/>
            <w:szCs w:val="24"/>
          </w:rPr>
          <w:t>https://advance.lexis.com/document/?pdmfid=1000516&amp;crid=f6de4fbd-59c7-4793-bbbb-f5fc031c412e&amp;pddocfullpath=%2Fshared%2Fdocument%2Fcases%2Furn%3AcontentItem%3A5CT8-H4S1-F04G-Y0KW-00000-00&amp;pdcontentcomponentid=7783&amp;pdshepid=urn%3AcontentItem%3A5CTB-5GX1-J9X5-R3JM-00000-00&amp;pdteaserkey=sr0&amp;pditab=allpods&amp;ecomp=7zt4k&amp;earg=sr0&amp;prid=a4b0fd4c-32f5-4ae9-839e-24b1a4df8e35</w:t>
        </w:r>
      </w:hyperlink>
      <w:r w:rsidRPr="0D0463AD">
        <w:rPr>
          <w:rFonts w:ascii="Times New Roman" w:eastAsia="Times New Roman" w:hAnsi="Times New Roman" w:cs="Times New Roman"/>
          <w:sz w:val="24"/>
          <w:szCs w:val="24"/>
        </w:rPr>
        <w:t xml:space="preserve"> </w:t>
      </w:r>
    </w:p>
    <w:p w14:paraId="4B6F3451" w14:textId="5867A7E4" w:rsidR="55F8DDEE" w:rsidRDefault="55F8DDEE" w:rsidP="0D0463AD">
      <w:pPr>
        <w:spacing w:line="480" w:lineRule="auto"/>
        <w:ind w:left="567" w:hanging="567"/>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MCLS § 429.31, </w:t>
      </w:r>
      <w:r w:rsidRPr="0D0463AD">
        <w:rPr>
          <w:rFonts w:ascii="Times New Roman" w:eastAsia="Times New Roman" w:hAnsi="Times New Roman" w:cs="Times New Roman"/>
          <w:smallCaps/>
          <w:sz w:val="24"/>
          <w:szCs w:val="24"/>
        </w:rPr>
        <w:t>Lexis</w:t>
      </w:r>
      <w:r w:rsidRPr="0D0463AD">
        <w:rPr>
          <w:rFonts w:ascii="Times New Roman" w:eastAsia="Times New Roman" w:hAnsi="Times New Roman" w:cs="Times New Roman"/>
          <w:sz w:val="24"/>
          <w:szCs w:val="24"/>
        </w:rPr>
        <w:t xml:space="preserve"> (2021), </w:t>
      </w:r>
      <w:hyperlink r:id="rId21">
        <w:r w:rsidRPr="0D0463AD">
          <w:rPr>
            <w:rStyle w:val="Hyperlink"/>
            <w:rFonts w:ascii="Times New Roman" w:eastAsia="Times New Roman" w:hAnsi="Times New Roman" w:cs="Times New Roman"/>
            <w:sz w:val="24"/>
            <w:szCs w:val="24"/>
          </w:rPr>
          <w:t>https://advance.lexis.com/document/documentlink/?pdmfid=1000516&amp;crid=d8daefd0-54b7-433a-8573-de5d7b735b82&amp;pddocfullpath=%2Fshared%2Fdocument%2Fstatutes-legislation%2Furn%3AcontentItem%3A56VF-8C01-6RDJ-8115-00000-00&amp;pdcontentcomponentid=7805&amp;pddoctitle=MCL%2B429.31%2C%2Bet%2Bseq&amp;pdproductcontenttypeid=urn%3Apct%3A83&amp;pdiskwicview=false&amp;ecomp=w5p2k&amp;prid=fe55ec38-1967-4bfd-9301-c29efffced36</w:t>
        </w:r>
      </w:hyperlink>
      <w:r w:rsidRPr="0D0463AD">
        <w:rPr>
          <w:rFonts w:ascii="Times New Roman" w:eastAsia="Times New Roman" w:hAnsi="Times New Roman" w:cs="Times New Roman"/>
          <w:sz w:val="24"/>
          <w:szCs w:val="24"/>
        </w:rPr>
        <w:t xml:space="preserve"> </w:t>
      </w:r>
    </w:p>
    <w:p w14:paraId="5D5FEA5B" w14:textId="68A106B3" w:rsidR="55F8DDEE" w:rsidRDefault="55F8DDEE" w:rsidP="0D0463AD">
      <w:pPr>
        <w:spacing w:line="480" w:lineRule="auto"/>
        <w:ind w:left="567" w:hanging="567"/>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MCLS § 429.42, </w:t>
      </w:r>
      <w:r w:rsidRPr="0D0463AD">
        <w:rPr>
          <w:rFonts w:ascii="Times New Roman" w:eastAsia="Times New Roman" w:hAnsi="Times New Roman" w:cs="Times New Roman"/>
          <w:smallCaps/>
          <w:sz w:val="24"/>
          <w:szCs w:val="24"/>
        </w:rPr>
        <w:t>Lexis</w:t>
      </w:r>
      <w:r w:rsidRPr="0D0463AD">
        <w:rPr>
          <w:rFonts w:ascii="Times New Roman" w:eastAsia="Times New Roman" w:hAnsi="Times New Roman" w:cs="Times New Roman"/>
          <w:sz w:val="24"/>
          <w:szCs w:val="24"/>
        </w:rPr>
        <w:t xml:space="preserve"> (2021), </w:t>
      </w:r>
      <w:hyperlink r:id="rId22">
        <w:r w:rsidRPr="0D0463AD">
          <w:rPr>
            <w:rStyle w:val="Hyperlink"/>
            <w:rFonts w:ascii="Times New Roman" w:eastAsia="Times New Roman" w:hAnsi="Times New Roman" w:cs="Times New Roman"/>
            <w:sz w:val="24"/>
            <w:szCs w:val="24"/>
          </w:rPr>
          <w:t>https://advance.lexis.com/document/documentlink/?pdmfid=1000516&amp;crid=c62a5687-73ee-4f2a-96ef-4bd6169bd255&amp;pddocfullpath=%2Fshared%2Fdocument%2Fstatutes-legislation%2Furn%3AcontentItem%3A56VF-8C01-6RDJ-811J-00000-00&amp;pdcontentcomponentid=7805&amp;pddoctitle=MCL%2B429.42&amp;pdproductcontenttypeid=urn%3Apct%3A83&amp;pdiskwicview=false&amp;ecomp=w5p2k&amp;prid=fe55ec38-1967-4bfd-9301-c29efffced36</w:t>
        </w:r>
      </w:hyperlink>
    </w:p>
    <w:p w14:paraId="7203622A" w14:textId="47042EF3" w:rsidR="1CC79455" w:rsidRDefault="1CC79455" w:rsidP="0D0463AD">
      <w:pPr>
        <w:spacing w:line="480" w:lineRule="auto"/>
        <w:ind w:left="567" w:hanging="567"/>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lastRenderedPageBreak/>
        <w:t xml:space="preserve">Lisa </w:t>
      </w:r>
      <w:proofErr w:type="spellStart"/>
      <w:r w:rsidRPr="0D0463AD">
        <w:rPr>
          <w:rFonts w:ascii="Times New Roman" w:eastAsia="Times New Roman" w:hAnsi="Times New Roman" w:cs="Times New Roman"/>
          <w:sz w:val="24"/>
          <w:szCs w:val="24"/>
        </w:rPr>
        <w:t>Lilliott</w:t>
      </w:r>
      <w:proofErr w:type="spellEnd"/>
      <w:r w:rsidRPr="0D0463AD">
        <w:rPr>
          <w:rFonts w:ascii="Times New Roman" w:eastAsia="Times New Roman" w:hAnsi="Times New Roman" w:cs="Times New Roman"/>
          <w:sz w:val="24"/>
          <w:szCs w:val="24"/>
        </w:rPr>
        <w:t xml:space="preserve"> Rydin, </w:t>
      </w:r>
      <w:r w:rsidRPr="0D0463AD">
        <w:rPr>
          <w:rFonts w:ascii="Times New Roman" w:eastAsia="Times New Roman" w:hAnsi="Times New Roman" w:cs="Times New Roman"/>
          <w:smallCaps/>
          <w:sz w:val="24"/>
          <w:szCs w:val="24"/>
        </w:rPr>
        <w:t>Factual research and public records: Introduction</w:t>
      </w:r>
      <w:r w:rsidRPr="0D0463AD">
        <w:rPr>
          <w:rFonts w:ascii="Times New Roman" w:eastAsia="Times New Roman" w:hAnsi="Times New Roman" w:cs="Times New Roman"/>
          <w:sz w:val="24"/>
          <w:szCs w:val="24"/>
        </w:rPr>
        <w:t xml:space="preserve"> (2021), </w:t>
      </w:r>
      <w:hyperlink r:id="rId23">
        <w:r w:rsidRPr="0D0463AD">
          <w:rPr>
            <w:rStyle w:val="Hyperlink"/>
            <w:rFonts w:ascii="Times New Roman" w:eastAsia="Times New Roman" w:hAnsi="Times New Roman" w:cs="Times New Roman"/>
            <w:sz w:val="24"/>
            <w:szCs w:val="24"/>
          </w:rPr>
          <w:t>https://guides.library.harvard.edu/law/public_records</w:t>
        </w:r>
      </w:hyperlink>
      <w:r w:rsidRPr="0D0463AD">
        <w:rPr>
          <w:rFonts w:ascii="Times New Roman" w:eastAsia="Times New Roman" w:hAnsi="Times New Roman" w:cs="Times New Roman"/>
          <w:sz w:val="24"/>
          <w:szCs w:val="24"/>
        </w:rPr>
        <w:t xml:space="preserve"> </w:t>
      </w:r>
    </w:p>
    <w:p w14:paraId="752DA9B8" w14:textId="3F9DEB61" w:rsidR="1CC79455" w:rsidRDefault="1CC79455" w:rsidP="0D0463AD">
      <w:pPr>
        <w:spacing w:line="480" w:lineRule="auto"/>
        <w:ind w:left="567" w:hanging="567"/>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Resources and Glossary, </w:t>
      </w:r>
      <w:r w:rsidRPr="0D0463AD">
        <w:rPr>
          <w:rFonts w:ascii="Times New Roman" w:eastAsia="Times New Roman" w:hAnsi="Times New Roman" w:cs="Times New Roman"/>
          <w:smallCaps/>
          <w:sz w:val="24"/>
          <w:szCs w:val="24"/>
        </w:rPr>
        <w:t>United States Patent and Trademark Office - An Agency of the Department of Commerce</w:t>
      </w:r>
      <w:r w:rsidRPr="0D0463AD">
        <w:rPr>
          <w:rFonts w:ascii="Times New Roman" w:eastAsia="Times New Roman" w:hAnsi="Times New Roman" w:cs="Times New Roman"/>
          <w:sz w:val="24"/>
          <w:szCs w:val="24"/>
        </w:rPr>
        <w:t xml:space="preserve"> (2020), </w:t>
      </w:r>
      <w:hyperlink r:id="rId24">
        <w:r w:rsidRPr="0D0463AD">
          <w:rPr>
            <w:rStyle w:val="Hyperlink"/>
            <w:rFonts w:ascii="Times New Roman" w:eastAsia="Times New Roman" w:hAnsi="Times New Roman" w:cs="Times New Roman"/>
            <w:sz w:val="24"/>
            <w:szCs w:val="24"/>
          </w:rPr>
          <w:t>https://www.uspto.gov/trademarks/resources-and-glossary</w:t>
        </w:r>
      </w:hyperlink>
    </w:p>
    <w:p w14:paraId="60143714" w14:textId="3673FDFD" w:rsidR="43CD7F06" w:rsidRDefault="43CD7F06" w:rsidP="0D0463AD">
      <w:pPr>
        <w:spacing w:line="480" w:lineRule="auto"/>
        <w:ind w:left="567" w:hanging="567"/>
        <w:rPr>
          <w:rFonts w:ascii="Times New Roman" w:eastAsia="Times New Roman" w:hAnsi="Times New Roman" w:cs="Times New Roman"/>
          <w:sz w:val="24"/>
          <w:szCs w:val="24"/>
        </w:rPr>
      </w:pPr>
      <w:r w:rsidRPr="0D0463AD">
        <w:rPr>
          <w:rFonts w:ascii="Times New Roman" w:eastAsia="Times New Roman" w:hAnsi="Times New Roman" w:cs="Times New Roman"/>
          <w:sz w:val="24"/>
          <w:szCs w:val="24"/>
        </w:rPr>
        <w:t xml:space="preserve">Savannah College of Art &amp; Design, Inc. v. </w:t>
      </w:r>
      <w:proofErr w:type="spellStart"/>
      <w:r w:rsidRPr="0D0463AD">
        <w:rPr>
          <w:rFonts w:ascii="Times New Roman" w:eastAsia="Times New Roman" w:hAnsi="Times New Roman" w:cs="Times New Roman"/>
          <w:sz w:val="24"/>
          <w:szCs w:val="24"/>
        </w:rPr>
        <w:t>Houeix</w:t>
      </w:r>
      <w:proofErr w:type="spellEnd"/>
      <w:r w:rsidRPr="0D0463AD">
        <w:rPr>
          <w:rFonts w:ascii="Times New Roman" w:eastAsia="Times New Roman" w:hAnsi="Times New Roman" w:cs="Times New Roman"/>
          <w:sz w:val="24"/>
          <w:szCs w:val="24"/>
        </w:rPr>
        <w:t xml:space="preserve">, 369 F. Supp. 2d 929, </w:t>
      </w:r>
      <w:r w:rsidRPr="0D0463AD">
        <w:rPr>
          <w:rFonts w:ascii="Times New Roman" w:eastAsia="Times New Roman" w:hAnsi="Times New Roman" w:cs="Times New Roman"/>
          <w:smallCaps/>
          <w:sz w:val="24"/>
          <w:szCs w:val="24"/>
        </w:rPr>
        <w:t>Lexis</w:t>
      </w:r>
      <w:r w:rsidRPr="0D0463AD">
        <w:rPr>
          <w:rFonts w:ascii="Times New Roman" w:eastAsia="Times New Roman" w:hAnsi="Times New Roman" w:cs="Times New Roman"/>
          <w:sz w:val="24"/>
          <w:szCs w:val="24"/>
        </w:rPr>
        <w:t xml:space="preserve"> (2004), </w:t>
      </w:r>
      <w:hyperlink r:id="rId25">
        <w:r w:rsidRPr="0D0463AD">
          <w:rPr>
            <w:rStyle w:val="Hyperlink"/>
            <w:rFonts w:ascii="Times New Roman" w:eastAsia="Times New Roman" w:hAnsi="Times New Roman" w:cs="Times New Roman"/>
            <w:sz w:val="24"/>
            <w:szCs w:val="24"/>
          </w:rPr>
          <w:t>https://advance.lexis.com/document/?pdmfid=1000516&amp;crid=796c5cb4-4f8a-4033-afa9-c082161ecbd7&amp;pddocfullpath=%2Fshared%2Fdocument%2Fcases%2Furn%3AcontentItem%3A4GJV-S3F0-TVW7-72SF-00000-00&amp;pdcontentcomponentid=6416&amp;pdshepid=urn%3AcontentItem%3A7XWN-88R1-2NSD-R03S-00000-00&amp;pdteaserkey=sr10&amp;pditab=allpods&amp;ecomp=7zt4k&amp;earg=sr10&amp;prid=2df144ca-4830-4553-a636-11f0aa465221</w:t>
        </w:r>
      </w:hyperlink>
      <w:r w:rsidRPr="0D0463AD">
        <w:rPr>
          <w:rFonts w:ascii="Times New Roman" w:eastAsia="Times New Roman" w:hAnsi="Times New Roman" w:cs="Times New Roman"/>
          <w:sz w:val="24"/>
          <w:szCs w:val="24"/>
        </w:rPr>
        <w:t xml:space="preserve"> </w:t>
      </w:r>
    </w:p>
    <w:p w14:paraId="44424C79" w14:textId="587B1B5B" w:rsidR="0D0463AD" w:rsidRDefault="0D0463AD" w:rsidP="0D0463AD">
      <w:pPr>
        <w:spacing w:line="480" w:lineRule="auto"/>
        <w:rPr>
          <w:rFonts w:ascii="Times New Roman" w:eastAsia="Times New Roman" w:hAnsi="Times New Roman" w:cs="Times New Roman"/>
          <w:sz w:val="24"/>
          <w:szCs w:val="24"/>
        </w:rPr>
      </w:pPr>
    </w:p>
    <w:p w14:paraId="5F204431" w14:textId="5918DCD6" w:rsidR="0D0463AD" w:rsidRDefault="0D0463AD" w:rsidP="0D0463AD">
      <w:pPr>
        <w:rPr>
          <w:rFonts w:ascii="Calibri" w:eastAsia="Calibri" w:hAnsi="Calibri" w:cs="Calibri"/>
        </w:rPr>
      </w:pPr>
    </w:p>
    <w:p w14:paraId="3694BEBC" w14:textId="5D3FF43B" w:rsidR="0D0463AD" w:rsidRDefault="0D0463AD" w:rsidP="0D0463AD">
      <w:pPr>
        <w:spacing w:line="480" w:lineRule="auto"/>
        <w:rPr>
          <w:rFonts w:ascii="Times New Roman" w:eastAsia="Times New Roman" w:hAnsi="Times New Roman" w:cs="Times New Roman"/>
          <w:sz w:val="24"/>
          <w:szCs w:val="24"/>
        </w:rPr>
      </w:pPr>
    </w:p>
    <w:p w14:paraId="5FE9B4ED" w14:textId="63F8119D" w:rsidR="0D0463AD" w:rsidRDefault="0D0463AD" w:rsidP="0D0463AD"/>
    <w:p w14:paraId="0ACB4961" w14:textId="19C92FF2" w:rsidR="0D0463AD" w:rsidRDefault="0D0463AD" w:rsidP="0D0463AD"/>
    <w:p w14:paraId="17485193" w14:textId="092851A1" w:rsidR="0D0463AD" w:rsidRDefault="0D0463AD" w:rsidP="0D0463AD"/>
    <w:p w14:paraId="70EF8D7C" w14:textId="430F1277" w:rsidR="0D0463AD" w:rsidRDefault="0D0463AD" w:rsidP="0D0463AD"/>
    <w:p w14:paraId="4CAAC35A" w14:textId="43AFE365" w:rsidR="0D0463AD" w:rsidRDefault="0D0463AD" w:rsidP="0D0463AD"/>
    <w:p w14:paraId="3A685663" w14:textId="39005BCF" w:rsidR="0D0463AD" w:rsidRDefault="0D0463AD" w:rsidP="0D0463AD"/>
    <w:p w14:paraId="553A14C1" w14:textId="7A3AC124" w:rsidR="0D0463AD" w:rsidRDefault="0D0463AD" w:rsidP="0D0463AD"/>
    <w:p w14:paraId="0373E9E8" w14:textId="3227BB55" w:rsidR="0D0463AD" w:rsidRDefault="0D0463AD" w:rsidP="0D0463AD"/>
    <w:p w14:paraId="38C650BC" w14:textId="19D43E32" w:rsidR="0D0463AD" w:rsidRDefault="0D0463AD" w:rsidP="0D0463AD"/>
    <w:sectPr w:rsidR="0D0463A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88F5B46"/>
    <w:multiLevelType w:val="hybridMultilevel"/>
    <w:tmpl w:val="BAEA588C"/>
    <w:lvl w:ilvl="0" w:tplc="7148676C">
      <w:start w:val="1"/>
      <w:numFmt w:val="lowerLetter"/>
      <w:lvlText w:val="%1."/>
      <w:lvlJc w:val="left"/>
      <w:pPr>
        <w:ind w:left="720" w:hanging="360"/>
      </w:pPr>
    </w:lvl>
    <w:lvl w:ilvl="1" w:tplc="0D6430A8">
      <w:start w:val="1"/>
      <w:numFmt w:val="lowerLetter"/>
      <w:lvlText w:val="%2."/>
      <w:lvlJc w:val="left"/>
      <w:pPr>
        <w:ind w:left="1440" w:hanging="360"/>
      </w:pPr>
    </w:lvl>
    <w:lvl w:ilvl="2" w:tplc="18582888">
      <w:start w:val="1"/>
      <w:numFmt w:val="lowerRoman"/>
      <w:lvlText w:val="%3."/>
      <w:lvlJc w:val="right"/>
      <w:pPr>
        <w:ind w:left="2160" w:hanging="180"/>
      </w:pPr>
    </w:lvl>
    <w:lvl w:ilvl="3" w:tplc="6EE81DF4">
      <w:start w:val="1"/>
      <w:numFmt w:val="decimal"/>
      <w:lvlText w:val="%4."/>
      <w:lvlJc w:val="left"/>
      <w:pPr>
        <w:ind w:left="2880" w:hanging="360"/>
      </w:pPr>
    </w:lvl>
    <w:lvl w:ilvl="4" w:tplc="668C8B38">
      <w:start w:val="1"/>
      <w:numFmt w:val="lowerLetter"/>
      <w:lvlText w:val="%5."/>
      <w:lvlJc w:val="left"/>
      <w:pPr>
        <w:ind w:left="3600" w:hanging="360"/>
      </w:pPr>
    </w:lvl>
    <w:lvl w:ilvl="5" w:tplc="89FC0C96">
      <w:start w:val="1"/>
      <w:numFmt w:val="lowerRoman"/>
      <w:lvlText w:val="%6."/>
      <w:lvlJc w:val="right"/>
      <w:pPr>
        <w:ind w:left="4320" w:hanging="180"/>
      </w:pPr>
    </w:lvl>
    <w:lvl w:ilvl="6" w:tplc="2B0E1656">
      <w:start w:val="1"/>
      <w:numFmt w:val="decimal"/>
      <w:lvlText w:val="%7."/>
      <w:lvlJc w:val="left"/>
      <w:pPr>
        <w:ind w:left="5040" w:hanging="360"/>
      </w:pPr>
    </w:lvl>
    <w:lvl w:ilvl="7" w:tplc="2EA86B7A">
      <w:start w:val="1"/>
      <w:numFmt w:val="lowerLetter"/>
      <w:lvlText w:val="%8."/>
      <w:lvlJc w:val="left"/>
      <w:pPr>
        <w:ind w:left="5760" w:hanging="360"/>
      </w:pPr>
    </w:lvl>
    <w:lvl w:ilvl="8" w:tplc="C8166B20">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170296F"/>
    <w:rsid w:val="004D6B80"/>
    <w:rsid w:val="00585F87"/>
    <w:rsid w:val="00A84DE1"/>
    <w:rsid w:val="01C57B3F"/>
    <w:rsid w:val="038E4922"/>
    <w:rsid w:val="03AB9F64"/>
    <w:rsid w:val="03B22D10"/>
    <w:rsid w:val="051081E7"/>
    <w:rsid w:val="0582E0D2"/>
    <w:rsid w:val="065390CC"/>
    <w:rsid w:val="06AC5248"/>
    <w:rsid w:val="075454BD"/>
    <w:rsid w:val="079827B5"/>
    <w:rsid w:val="0883FD22"/>
    <w:rsid w:val="09CACAAD"/>
    <w:rsid w:val="0B654514"/>
    <w:rsid w:val="0B9D88EC"/>
    <w:rsid w:val="0C648F68"/>
    <w:rsid w:val="0C94383F"/>
    <w:rsid w:val="0D0463AD"/>
    <w:rsid w:val="0E8AD5EA"/>
    <w:rsid w:val="0EE00B91"/>
    <w:rsid w:val="0F21F563"/>
    <w:rsid w:val="1016273E"/>
    <w:rsid w:val="11C4A1BB"/>
    <w:rsid w:val="1241D480"/>
    <w:rsid w:val="14676824"/>
    <w:rsid w:val="150B5B8E"/>
    <w:rsid w:val="156E0325"/>
    <w:rsid w:val="1628B9B6"/>
    <w:rsid w:val="16C97E08"/>
    <w:rsid w:val="186739DD"/>
    <w:rsid w:val="1A69BC23"/>
    <w:rsid w:val="1A8FF7E4"/>
    <w:rsid w:val="1ACCF56E"/>
    <w:rsid w:val="1CC79455"/>
    <w:rsid w:val="1D6AA84A"/>
    <w:rsid w:val="1DB74F56"/>
    <w:rsid w:val="2022A694"/>
    <w:rsid w:val="2185C2AF"/>
    <w:rsid w:val="230957EB"/>
    <w:rsid w:val="23788E24"/>
    <w:rsid w:val="240BBC0D"/>
    <w:rsid w:val="2437CBB1"/>
    <w:rsid w:val="25126647"/>
    <w:rsid w:val="26176411"/>
    <w:rsid w:val="26C0EFE3"/>
    <w:rsid w:val="27483C51"/>
    <w:rsid w:val="2793197A"/>
    <w:rsid w:val="29A11DE4"/>
    <w:rsid w:val="2C14BBBC"/>
    <w:rsid w:val="2E748F07"/>
    <w:rsid w:val="2FA78137"/>
    <w:rsid w:val="2FE3F95E"/>
    <w:rsid w:val="30105F68"/>
    <w:rsid w:val="30A7FBCD"/>
    <w:rsid w:val="30CFCECB"/>
    <w:rsid w:val="30EDE3C3"/>
    <w:rsid w:val="31FB35C9"/>
    <w:rsid w:val="3352D775"/>
    <w:rsid w:val="34FE26DD"/>
    <w:rsid w:val="368B195F"/>
    <w:rsid w:val="3749F232"/>
    <w:rsid w:val="37770B6F"/>
    <w:rsid w:val="3844AEE1"/>
    <w:rsid w:val="389F0637"/>
    <w:rsid w:val="399C167B"/>
    <w:rsid w:val="3AA33A14"/>
    <w:rsid w:val="3BDB9394"/>
    <w:rsid w:val="3BF4BBF1"/>
    <w:rsid w:val="3C72662B"/>
    <w:rsid w:val="3E614124"/>
    <w:rsid w:val="3EA50923"/>
    <w:rsid w:val="4063521F"/>
    <w:rsid w:val="42571241"/>
    <w:rsid w:val="42648B32"/>
    <w:rsid w:val="43CD7F06"/>
    <w:rsid w:val="4508A118"/>
    <w:rsid w:val="450B85EE"/>
    <w:rsid w:val="45271057"/>
    <w:rsid w:val="46B01B08"/>
    <w:rsid w:val="477B3697"/>
    <w:rsid w:val="4839829D"/>
    <w:rsid w:val="48670C04"/>
    <w:rsid w:val="4A18635F"/>
    <w:rsid w:val="4A5DD483"/>
    <w:rsid w:val="4B8B79B1"/>
    <w:rsid w:val="4CCC51F4"/>
    <w:rsid w:val="4D28DFF9"/>
    <w:rsid w:val="4FA080A4"/>
    <w:rsid w:val="50FC165F"/>
    <w:rsid w:val="5129BACC"/>
    <w:rsid w:val="514AC041"/>
    <w:rsid w:val="5170296F"/>
    <w:rsid w:val="5268E668"/>
    <w:rsid w:val="5354BBD5"/>
    <w:rsid w:val="54409142"/>
    <w:rsid w:val="547158FD"/>
    <w:rsid w:val="55F8DDEE"/>
    <w:rsid w:val="5850D45C"/>
    <w:rsid w:val="587A4609"/>
    <w:rsid w:val="5955D226"/>
    <w:rsid w:val="5ADACE73"/>
    <w:rsid w:val="5AF1A287"/>
    <w:rsid w:val="5B88751E"/>
    <w:rsid w:val="5F090BA1"/>
    <w:rsid w:val="629B6D0E"/>
    <w:rsid w:val="64408D9A"/>
    <w:rsid w:val="64C7DA79"/>
    <w:rsid w:val="653B36EE"/>
    <w:rsid w:val="659CB52D"/>
    <w:rsid w:val="6615F44E"/>
    <w:rsid w:val="66F1EC0D"/>
    <w:rsid w:val="6801820F"/>
    <w:rsid w:val="6813ED8E"/>
    <w:rsid w:val="6913FEBD"/>
    <w:rsid w:val="69253994"/>
    <w:rsid w:val="6A1DE922"/>
    <w:rsid w:val="6B4B8E50"/>
    <w:rsid w:val="6BA0EAE0"/>
    <w:rsid w:val="6BB9B983"/>
    <w:rsid w:val="6CAB8438"/>
    <w:rsid w:val="6D9759A5"/>
    <w:rsid w:val="6DCE4783"/>
    <w:rsid w:val="6E2E2C3C"/>
    <w:rsid w:val="6E681873"/>
    <w:rsid w:val="6EDE2730"/>
    <w:rsid w:val="700B998D"/>
    <w:rsid w:val="703827D0"/>
    <w:rsid w:val="71FC9F95"/>
    <w:rsid w:val="7279C8F3"/>
    <w:rsid w:val="72CA42FF"/>
    <w:rsid w:val="7356A035"/>
    <w:rsid w:val="76393E21"/>
    <w:rsid w:val="7784E474"/>
    <w:rsid w:val="78F33F41"/>
    <w:rsid w:val="7A04BD1D"/>
    <w:rsid w:val="7B6A0D3C"/>
    <w:rsid w:val="7BCCF388"/>
    <w:rsid w:val="7F2A83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70296F"/>
  <w15:chartTrackingRefBased/>
  <w15:docId w15:val="{3C7FE904-419B-4EAF-8565-123BD4A6D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Pr>
      <w:color w:val="0563C1" w:themeColor="hyperlink"/>
      <w:u w:val="single"/>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3763" w:themeColor="accent1" w:themeShade="7F"/>
      <w:sz w:val="24"/>
      <w:szCs w:val="24"/>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2Char">
    <w:name w:val="Heading 2 Char"/>
    <w:basedOn w:val="DefaultParagraphFont"/>
    <w:link w:val="Heading2"/>
    <w:uiPriority w:val="9"/>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ybsc.bryantstratton.edu/webapps/assignment/uploadAssignment?content_id=_5377204_1&amp;course_id=_77544_1&amp;group_id=&amp;mode=view" TargetMode="External"/><Relationship Id="rId13" Type="http://schemas.openxmlformats.org/officeDocument/2006/relationships/hyperlink" Target="https://mybsc.bryantstratton.edu/webapps/assignment/uploadAssignment?content_id=_5377193_1&amp;course_id=_77544_1&amp;group_id=&amp;mode=view" TargetMode="External"/><Relationship Id="rId18" Type="http://schemas.openxmlformats.org/officeDocument/2006/relationships/hyperlink" Target="https://advance.lexis.com/document/?pdmfid=1000516&amp;crid=4b6a7879-f8ff-4b37-a450-ce66e25bcdba&amp;pddocfullpath=%2Fshared%2Fdocument%2Fcases%2Furn%3AcontentItem%3A3S4X-6VJ0-003B-H2FX-00000-00&amp;pdcontentcomponentid=6443&amp;pdshepid=urn%3AcontentItem%3A7XWN-03F1-2NSF-C2Y8-00000-00&amp;pdteaserkey=sr4&amp;pditab=allpods&amp;ecomp=7zt4k&amp;earg=sr4&amp;prid=00d1b279-6482-40f6-b930-321eab7d6edf"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advance.lexis.com/document/documentlink/?pdmfid=1000516&amp;crid=d8daefd0-54b7-433a-8573-de5d7b735b82&amp;pddocfullpath=%2Fshared%2Fdocument%2Fstatutes-legislation%2Furn%3AcontentItem%3A56VF-8C01-6RDJ-8115-00000-00&amp;pdcontentcomponentid=7805&amp;pddoctitle=MCL%2B429.31%2C%2Bet%2Bseq&amp;pdproductcontenttypeid=urn%3Apct%3A83&amp;pdiskwicview=false&amp;ecomp=w5p2k&amp;prid=fe55ec38-1967-4bfd-9301-c29efffced36" TargetMode="External"/><Relationship Id="rId7" Type="http://schemas.openxmlformats.org/officeDocument/2006/relationships/hyperlink" Target="https://www.uspto.gov/trademarks/laws/trademark-trial-and-appeal-board" TargetMode="External"/><Relationship Id="rId12" Type="http://schemas.openxmlformats.org/officeDocument/2006/relationships/hyperlink" Target="https://advance.lexis.com/document/?pdmfid=1000516&amp;crid=4b6a7879-f8ff-4b37-a450-ce66e25bcdba&amp;pddocfullpath=%2Fshared%2Fdocument%2Fcases%2Furn%3AcontentItem%3A3S4X-6VJ0-003B-H2FX-00000-00&amp;pdcontentcomponentid=6443&amp;pdshepid=urn%3AcontentItem%3A7XWN-03F1-2NSF-C2Y8-00000-00&amp;pdteaserkey=sr4&amp;pditab=allpods&amp;ecomp=7zt4k&amp;earg=sr4&amp;prid=00d1b279-6482-40f6-b930-321eab7d6edf" TargetMode="External"/><Relationship Id="rId17" Type="http://schemas.openxmlformats.org/officeDocument/2006/relationships/hyperlink" Target="https://advance.lexis.com/document/?pdmfid=1000516&amp;crid=d5c850cd-535f-4324-9be5-e49dab409f34&amp;pddocfullpath=%2Fshared%2Fdocument%2Fcases%2Furn%3AcontentItem%3A4H57-PPS0-TVVM-W1VM-00000-00&amp;pdcontentcomponentid=6416&amp;pdshepid=urn%3AcontentItem%3A7XWY-3F51-2NSD-R51S-00000-00&amp;pdteaserkey=sr5&amp;pditab=allpods&amp;ecomp=7zt4k&amp;earg=sr5&amp;prid=84996221-9b32-4385-9cb1-8afa7a4fec33" TargetMode="External"/><Relationship Id="rId25" Type="http://schemas.openxmlformats.org/officeDocument/2006/relationships/hyperlink" Target="https://advance.lexis.com/document/?pdmfid=1000516&amp;crid=796c5cb4-4f8a-4033-afa9-c082161ecbd7&amp;pddocfullpath=%2Fshared%2Fdocument%2Fcases%2Furn%3AcontentItem%3A4GJV-S3F0-TVW7-72SF-00000-00&amp;pdcontentcomponentid=6416&amp;pdshepid=urn%3AcontentItem%3A7XWN-88R1-2NSD-R03S-00000-00&amp;pdteaserkey=sr10&amp;pditab=allpods&amp;ecomp=7zt4k&amp;earg=sr10&amp;prid=2df144ca-4830-4553-a636-11f0aa465221" TargetMode="External"/><Relationship Id="rId2" Type="http://schemas.openxmlformats.org/officeDocument/2006/relationships/styles" Target="styles.xml"/><Relationship Id="rId16" Type="http://schemas.openxmlformats.org/officeDocument/2006/relationships/hyperlink" Target="https://advance.lexis.com/document/documentlink/?pdmfid=1000516&amp;crid=5568e8bc-a0ae-46d7-8ffb-d6b7fe17e874&amp;pddocfullpath=%2Fshared%2Fdocument%2Fstatutes-legislation%2Furn%3AcontentItem%3A8S9D-W4W2-8T6X-7177-00000-00&amp;pdpinpoint=_a&amp;pdcontentcomponentid=6362&amp;pddoctitle=15%2BU.S.C.%2B%C2%A7%2B1125%28a%29&amp;pdproductcontenttypeid=urn%3Apct%3A83&amp;pdiskwicview=false&amp;ecomp=w5p2k&amp;prid=d5c850cd-535f-4324-9be5-e49dab409f34" TargetMode="External"/><Relationship Id="rId20" Type="http://schemas.openxmlformats.org/officeDocument/2006/relationships/hyperlink" Target="https://advance.lexis.com/document/?pdmfid=1000516&amp;crid=f6de4fbd-59c7-4793-bbbb-f5fc031c412e&amp;pddocfullpath=%2Fshared%2Fdocument%2Fcases%2Furn%3AcontentItem%3A5CT8-H4S1-F04G-Y0KW-00000-00&amp;pdcontentcomponentid=7783&amp;pdshepid=urn%3AcontentItem%3A5CTB-5GX1-J9X5-R3JM-00000-00&amp;pdteaserkey=sr0&amp;pditab=allpods&amp;ecomp=7zt4k&amp;earg=sr0&amp;prid=a4b0fd4c-32f5-4ae9-839e-24b1a4df8e35" TargetMode="External"/><Relationship Id="rId1" Type="http://schemas.openxmlformats.org/officeDocument/2006/relationships/numbering" Target="numbering.xml"/><Relationship Id="rId6" Type="http://schemas.openxmlformats.org/officeDocument/2006/relationships/hyperlink" Target="https://www.uspto.gov/learning-and-resources/support-centers/patent-and-trademark-resource-centers-ptrc/history-and-0" TargetMode="External"/><Relationship Id="rId11" Type="http://schemas.openxmlformats.org/officeDocument/2006/relationships/hyperlink" Target="https://advance.lexis.com/document/documentlink/?pdmfid=1000516&amp;crid=1e8cef95-d2ef-468e-9d3f-4ed08e0d0cca&amp;pddocfullpath=%2Fshared%2Fdocument%2Fcases%2Furn%3AcontentItem%3A3RVB-4GG0-003B-H00N-00000-00&amp;pdpinpoint=PAGE_214_1100&amp;pdcontentcomponentid=6443&amp;pddoctitle=Root+v.+Railway%2C+105+U.S.+189%2C+214&amp;pdproductcontenttypeid=urn%3Apct%3A30&amp;pdiskwicview=false&amp;ecomp=w5p2k&amp;prid=4b6a7879-f8ff-4b37-a450-ce66e25bcdba" TargetMode="External"/><Relationship Id="rId24" Type="http://schemas.openxmlformats.org/officeDocument/2006/relationships/hyperlink" Target="https://www.uspto.gov/trademarks/resources-and-glossary" TargetMode="External"/><Relationship Id="rId5" Type="http://schemas.openxmlformats.org/officeDocument/2006/relationships/hyperlink" Target="https://mybsc.bryantstratton.edu/webapps/assignment/uploadAssignment?content_id=_5377208_1&amp;course_id=_77544_1&amp;group_id=&amp;mode=view" TargetMode="External"/><Relationship Id="rId15" Type="http://schemas.openxmlformats.org/officeDocument/2006/relationships/hyperlink" Target="https://advance.lexis.com/document/documentlink/?pdmfid=1000516&amp;crid=d7a23e2f-8472-427a-84d0-57f972148ae0&amp;pddocfullpath=%2Fshared%2Fdocument%2Fstatutes-legislation%2Furn%3AcontentItem%3A8S9D-W4W2-8T6X-716T-00000-00&amp;pdcontentcomponentid=6362&amp;pddoctitle=15%2BU.S.C.%2B%C2%A7%2B1114&amp;pdproductcontenttypeid=urn%3Apct%3A83&amp;pdiskwicview=false&amp;ecomp=w5p2k&amp;prid=d5c850cd-535f-4324-9be5-e49dab409f34" TargetMode="External"/><Relationship Id="rId23" Type="http://schemas.openxmlformats.org/officeDocument/2006/relationships/hyperlink" Target="https://guides.library.harvard.edu/law/public_records" TargetMode="External"/><Relationship Id="rId10" Type="http://schemas.openxmlformats.org/officeDocument/2006/relationships/hyperlink" Target="https://advance.lexis.com/document/documentlink/?pdmfid=1000516&amp;crid=c17e87df-649d-413a-a45f-fb86f21cbd65&amp;pddocfullpath=%2Fshared%2Fdocument%2Fcases%2Furn%3AcontentItem%3A3S4X-HWV0-003B-H3BY-00000-00&amp;pdpinpoint=PAGE_224_1100&amp;pdcontentcomponentid=6443&amp;pddoctitle=Manhattan+Medicine+Co.+v.+Wood%2C+108+U.S.+218%2C+224&amp;pdproductcontenttypeid=urn%3Apct%3A30&amp;pdiskwicview=false&amp;ecomp=w5p2k&amp;prid=4b6a7879-f8ff-4b37-a450-ce66e25bcdba" TargetMode="External"/><Relationship Id="rId19" Type="http://schemas.openxmlformats.org/officeDocument/2006/relationships/hyperlink" Target="https://advance.lexis.com/document/?pdmfid=1000516&amp;crid=ed7a08c5-a9a9-4bb7-8b1d-aff7b01dd2fe&amp;pddocfullpath=%2Fshared%2Fdocument%2Fcases%2Furn%3AcontentItem%3A3RX6-K8R0-003D-60SX-00000-00&amp;pdcontentcomponentid=7784&amp;pdshepid=urn%3AcontentItem%3A7XWN-J921-2NSD-N2V8-00000-00&amp;pdteaserkey=sr2&amp;pditab=allpods&amp;ecomp=7zt4k&amp;earg=sr2&amp;prid=a4b0fd4c-32f5-4ae9-839e-24b1a4df8e35" TargetMode="External"/><Relationship Id="rId4" Type="http://schemas.openxmlformats.org/officeDocument/2006/relationships/webSettings" Target="webSettings.xml"/><Relationship Id="rId9" Type="http://schemas.openxmlformats.org/officeDocument/2006/relationships/hyperlink" Target="https://advance.lexis.com/document/?pdmfid=1000516&amp;crid=4b6a7879-f8ff-4b37-a450-ce66e25bcdba&amp;pddocfullpath=%2Fshared%2Fdocument%2Fcases%2Furn%3AcontentItem%3A3S4X-6VJ0-003B-H2FX-00000-00&amp;pdcontentcomponentid=6443&amp;pdshepid=urn%3AcontentItem%3A7XWN-03F1-2NSF-C2Y8-00000-00&amp;pdteaserkey=sr4&amp;pditab=allpods&amp;ecomp=7zt4k&amp;earg=sr4&amp;prid=00d1b279-6482-40f6-b930-321eab7d6edf" TargetMode="External"/><Relationship Id="rId14" Type="http://schemas.openxmlformats.org/officeDocument/2006/relationships/hyperlink" Target="https://advance.lexis.com/document/?pdmfid=1000516&amp;crid=56f5cbee-c3ae-40d3-8fe5-a8579ab20efe&amp;pddocfullpath=%2Fshared%2Fdocument%2Fstatutes-legislation%2Furn%3AcontentItem%3A8S9D-W4W2-8T6X-715M-00000-00&amp;pdcontentcomponentid=6362&amp;pdteaserkey=sr0&amp;pditab=allpods&amp;ecomp=7zt4k&amp;earg=sr0&amp;prid=88ce8d5c-5dff-4ca3-b46e-d321bdca6925" TargetMode="External"/><Relationship Id="rId22" Type="http://schemas.openxmlformats.org/officeDocument/2006/relationships/hyperlink" Target="https://advance.lexis.com/document/documentlink/?pdmfid=1000516&amp;crid=c62a5687-73ee-4f2a-96ef-4bd6169bd255&amp;pddocfullpath=%2Fshared%2Fdocument%2Fstatutes-legislation%2Furn%3AcontentItem%3A56VF-8C01-6RDJ-811J-00000-00&amp;pdcontentcomponentid=7805&amp;pddoctitle=MCL%2B429.42&amp;pdproductcontenttypeid=urn%3Apct%3A83&amp;pdiskwicview=false&amp;ecomp=w5p2k&amp;prid=fe55ec38-1967-4bfd-9301-c29efffced36"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40</Pages>
  <Words>9288</Words>
  <Characters>52944</Characters>
  <Application>Microsoft Office Word</Application>
  <DocSecurity>0</DocSecurity>
  <Lines>441</Lines>
  <Paragraphs>124</Paragraphs>
  <ScaleCrop>false</ScaleCrop>
  <Company/>
  <LinksUpToDate>false</LinksUpToDate>
  <CharactersWithSpaces>62108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on.pittman.danielle.n</dc:creator>
  <cp:keywords/>
  <dc:description/>
  <cp:lastModifiedBy>dani.pittman1104@gmail.com</cp:lastModifiedBy>
  <cp:revision>2</cp:revision>
  <dcterms:created xsi:type="dcterms:W3CDTF">2021-04-25T06:09:00Z</dcterms:created>
  <dcterms:modified xsi:type="dcterms:W3CDTF">2021-04-25T06:09:00Z</dcterms:modified>
</cp:coreProperties>
</file>