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B7128" w14:textId="77777777" w:rsidR="00DE1B5A" w:rsidRPr="002C5165" w:rsidRDefault="00DE1B5A" w:rsidP="002C5165">
      <w:pPr>
        <w:spacing w:line="480" w:lineRule="auto"/>
        <w:rPr>
          <w:rFonts w:ascii="Times New Roman" w:hAnsi="Times New Roman" w:cs="Times New Roman"/>
          <w:sz w:val="28"/>
          <w:szCs w:val="28"/>
        </w:rPr>
      </w:pPr>
    </w:p>
    <w:p w14:paraId="5F36FBD2" w14:textId="77777777" w:rsidR="00DE1B5A" w:rsidRPr="002C5165" w:rsidRDefault="00DE1B5A" w:rsidP="00FC3D12">
      <w:pPr>
        <w:spacing w:line="480" w:lineRule="auto"/>
        <w:jc w:val="center"/>
        <w:rPr>
          <w:rFonts w:ascii="Times New Roman" w:hAnsi="Times New Roman" w:cs="Times New Roman"/>
          <w:b/>
          <w:bCs/>
          <w:sz w:val="28"/>
          <w:szCs w:val="28"/>
        </w:rPr>
      </w:pPr>
    </w:p>
    <w:p w14:paraId="0B40535A" w14:textId="0F80E752" w:rsidR="00FC3D12" w:rsidRPr="002C5165" w:rsidRDefault="00DE1B5A" w:rsidP="00FC3D12">
      <w:pPr>
        <w:spacing w:line="480" w:lineRule="auto"/>
        <w:jc w:val="center"/>
        <w:rPr>
          <w:rFonts w:ascii="Times New Roman" w:hAnsi="Times New Roman" w:cs="Times New Roman"/>
          <w:b/>
          <w:bCs/>
          <w:sz w:val="28"/>
          <w:szCs w:val="28"/>
        </w:rPr>
      </w:pPr>
      <w:r w:rsidRPr="002C5165">
        <w:rPr>
          <w:rFonts w:ascii="Times New Roman" w:hAnsi="Times New Roman" w:cs="Times New Roman"/>
          <w:b/>
          <w:bCs/>
          <w:sz w:val="28"/>
          <w:szCs w:val="28"/>
        </w:rPr>
        <w:t>Selena R. Sola-Wright</w:t>
      </w:r>
    </w:p>
    <w:p w14:paraId="3DCA6076" w14:textId="77777777" w:rsidR="00FC3D12" w:rsidRPr="002C5165" w:rsidRDefault="00FC3D12" w:rsidP="00FC3D12">
      <w:pPr>
        <w:spacing w:line="480" w:lineRule="auto"/>
        <w:jc w:val="center"/>
        <w:rPr>
          <w:rFonts w:ascii="Times New Roman" w:hAnsi="Times New Roman" w:cs="Times New Roman"/>
          <w:sz w:val="28"/>
          <w:szCs w:val="28"/>
        </w:rPr>
      </w:pPr>
      <w:r w:rsidRPr="002C5165">
        <w:rPr>
          <w:rFonts w:ascii="Times New Roman" w:hAnsi="Times New Roman" w:cs="Times New Roman"/>
          <w:sz w:val="28"/>
          <w:szCs w:val="28"/>
        </w:rPr>
        <w:t>Bryant &amp; Stratton College</w:t>
      </w:r>
    </w:p>
    <w:p w14:paraId="17E3749F" w14:textId="77777777" w:rsidR="00FC3D12" w:rsidRPr="002C5165" w:rsidRDefault="00FC3D12" w:rsidP="00FC3D12">
      <w:pPr>
        <w:spacing w:line="480" w:lineRule="auto"/>
        <w:jc w:val="center"/>
        <w:rPr>
          <w:rFonts w:ascii="Times New Roman" w:hAnsi="Times New Roman" w:cs="Times New Roman"/>
          <w:sz w:val="28"/>
          <w:szCs w:val="28"/>
        </w:rPr>
      </w:pPr>
      <w:r w:rsidRPr="002C5165">
        <w:rPr>
          <w:rFonts w:ascii="Times New Roman" w:hAnsi="Times New Roman" w:cs="Times New Roman"/>
          <w:sz w:val="28"/>
          <w:szCs w:val="28"/>
        </w:rPr>
        <w:t>ECON195 – Macroeconomics</w:t>
      </w:r>
    </w:p>
    <w:p w14:paraId="0BFDC4DE" w14:textId="44EBD8B6" w:rsidR="00FC3D12" w:rsidRPr="002C5165" w:rsidRDefault="00DE1B5A" w:rsidP="00FC3D12">
      <w:pPr>
        <w:spacing w:line="480" w:lineRule="auto"/>
        <w:jc w:val="center"/>
        <w:rPr>
          <w:rFonts w:ascii="Times New Roman" w:hAnsi="Times New Roman" w:cs="Times New Roman"/>
          <w:sz w:val="28"/>
          <w:szCs w:val="28"/>
        </w:rPr>
      </w:pPr>
      <w:r w:rsidRPr="002C5165">
        <w:rPr>
          <w:rFonts w:ascii="Times New Roman" w:hAnsi="Times New Roman" w:cs="Times New Roman"/>
          <w:sz w:val="28"/>
          <w:szCs w:val="28"/>
        </w:rPr>
        <w:t>Dr. Sushma Shukla</w:t>
      </w:r>
    </w:p>
    <w:p w14:paraId="2176289B" w14:textId="058CDCBF" w:rsidR="00FC3D12" w:rsidRPr="002C5165" w:rsidRDefault="00DE1B5A" w:rsidP="00FC3D12">
      <w:pPr>
        <w:spacing w:line="480" w:lineRule="auto"/>
        <w:jc w:val="center"/>
        <w:rPr>
          <w:rFonts w:ascii="Times New Roman" w:hAnsi="Times New Roman" w:cs="Times New Roman"/>
          <w:sz w:val="28"/>
          <w:szCs w:val="28"/>
        </w:rPr>
      </w:pPr>
      <w:r w:rsidRPr="002C5165">
        <w:rPr>
          <w:rFonts w:ascii="Times New Roman" w:hAnsi="Times New Roman" w:cs="Times New Roman"/>
          <w:sz w:val="28"/>
          <w:szCs w:val="28"/>
        </w:rPr>
        <w:t>10/11/12</w:t>
      </w:r>
    </w:p>
    <w:p w14:paraId="20AF2DA0" w14:textId="021FF218" w:rsidR="00BA0D11" w:rsidRPr="002C5165" w:rsidRDefault="00BA0D11">
      <w:pPr>
        <w:rPr>
          <w:rFonts w:ascii="Times New Roman" w:hAnsi="Times New Roman" w:cs="Times New Roman"/>
          <w:sz w:val="28"/>
          <w:szCs w:val="28"/>
        </w:rPr>
      </w:pPr>
    </w:p>
    <w:p w14:paraId="33D18599" w14:textId="77777777" w:rsidR="00FC7542" w:rsidRDefault="00FC7542">
      <w:pPr>
        <w:rPr>
          <w:rFonts w:ascii="Book Antiqua" w:hAnsi="Book Antiqua"/>
          <w:b/>
          <w:bCs/>
          <w:sz w:val="24"/>
        </w:rPr>
      </w:pPr>
    </w:p>
    <w:p w14:paraId="5E7E6E3E" w14:textId="77777777" w:rsidR="00FC7542" w:rsidRDefault="00FC7542">
      <w:pPr>
        <w:rPr>
          <w:rFonts w:ascii="Book Antiqua" w:hAnsi="Book Antiqua"/>
          <w:b/>
          <w:bCs/>
          <w:sz w:val="24"/>
        </w:rPr>
      </w:pPr>
    </w:p>
    <w:p w14:paraId="5A116440" w14:textId="77777777" w:rsidR="00FC7542" w:rsidRDefault="00FC7542">
      <w:pPr>
        <w:rPr>
          <w:rFonts w:ascii="Book Antiqua" w:hAnsi="Book Antiqua"/>
          <w:b/>
          <w:bCs/>
          <w:sz w:val="24"/>
        </w:rPr>
      </w:pPr>
    </w:p>
    <w:p w14:paraId="75F3C16C" w14:textId="77777777" w:rsidR="00FC7542" w:rsidRDefault="00FC7542">
      <w:pPr>
        <w:rPr>
          <w:rFonts w:ascii="Book Antiqua" w:hAnsi="Book Antiqua"/>
          <w:b/>
          <w:bCs/>
          <w:sz w:val="24"/>
        </w:rPr>
      </w:pPr>
    </w:p>
    <w:p w14:paraId="5B4C0DF4" w14:textId="77777777" w:rsidR="00FC7542" w:rsidRDefault="00FC7542">
      <w:pPr>
        <w:rPr>
          <w:rFonts w:ascii="Book Antiqua" w:hAnsi="Book Antiqua"/>
          <w:b/>
          <w:bCs/>
          <w:sz w:val="24"/>
        </w:rPr>
      </w:pPr>
    </w:p>
    <w:p w14:paraId="592696F7" w14:textId="77777777" w:rsidR="00FC7542" w:rsidRDefault="00FC7542">
      <w:pPr>
        <w:rPr>
          <w:rFonts w:ascii="Book Antiqua" w:hAnsi="Book Antiqua"/>
          <w:b/>
          <w:bCs/>
          <w:sz w:val="24"/>
        </w:rPr>
      </w:pPr>
    </w:p>
    <w:p w14:paraId="4CEBF59C" w14:textId="77777777" w:rsidR="00FC7542" w:rsidRDefault="00FC7542">
      <w:pPr>
        <w:rPr>
          <w:rFonts w:ascii="Book Antiqua" w:hAnsi="Book Antiqua"/>
          <w:b/>
          <w:bCs/>
          <w:sz w:val="24"/>
        </w:rPr>
      </w:pPr>
    </w:p>
    <w:p w14:paraId="3E17EA98" w14:textId="77777777" w:rsidR="00FC7542" w:rsidRDefault="00FC7542">
      <w:pPr>
        <w:rPr>
          <w:rFonts w:ascii="Book Antiqua" w:hAnsi="Book Antiqua"/>
          <w:b/>
          <w:bCs/>
          <w:sz w:val="24"/>
        </w:rPr>
      </w:pPr>
    </w:p>
    <w:p w14:paraId="41551244" w14:textId="77777777" w:rsidR="00FC7542" w:rsidRDefault="00FC7542">
      <w:pPr>
        <w:rPr>
          <w:rFonts w:ascii="Book Antiqua" w:hAnsi="Book Antiqua"/>
          <w:b/>
          <w:bCs/>
          <w:sz w:val="24"/>
        </w:rPr>
      </w:pPr>
    </w:p>
    <w:p w14:paraId="651D1529" w14:textId="77777777" w:rsidR="00FC7542" w:rsidRDefault="00FC7542">
      <w:pPr>
        <w:rPr>
          <w:rFonts w:ascii="Book Antiqua" w:hAnsi="Book Antiqua"/>
          <w:b/>
          <w:bCs/>
          <w:sz w:val="24"/>
        </w:rPr>
      </w:pPr>
    </w:p>
    <w:p w14:paraId="4ACBF8F3" w14:textId="77777777" w:rsidR="00FC7542" w:rsidRDefault="00FC7542">
      <w:pPr>
        <w:rPr>
          <w:rFonts w:ascii="Book Antiqua" w:hAnsi="Book Antiqua"/>
          <w:b/>
          <w:bCs/>
          <w:sz w:val="24"/>
        </w:rPr>
      </w:pPr>
    </w:p>
    <w:p w14:paraId="262FA6D8" w14:textId="77777777" w:rsidR="00FC7542" w:rsidRDefault="00FC7542">
      <w:pPr>
        <w:rPr>
          <w:rFonts w:ascii="Book Antiqua" w:hAnsi="Book Antiqua"/>
          <w:b/>
          <w:bCs/>
          <w:sz w:val="24"/>
        </w:rPr>
      </w:pPr>
    </w:p>
    <w:p w14:paraId="33771A40" w14:textId="77777777" w:rsidR="00FC7542" w:rsidRDefault="00FC7542">
      <w:pPr>
        <w:rPr>
          <w:rFonts w:ascii="Book Antiqua" w:hAnsi="Book Antiqua"/>
          <w:b/>
          <w:bCs/>
          <w:sz w:val="24"/>
        </w:rPr>
      </w:pPr>
    </w:p>
    <w:p w14:paraId="04E92D10" w14:textId="77777777" w:rsidR="00FC7542" w:rsidRDefault="00FC7542">
      <w:pPr>
        <w:rPr>
          <w:rFonts w:ascii="Book Antiqua" w:hAnsi="Book Antiqua"/>
          <w:b/>
          <w:bCs/>
          <w:sz w:val="24"/>
        </w:rPr>
      </w:pPr>
    </w:p>
    <w:p w14:paraId="43D638B1" w14:textId="77777777" w:rsidR="00FC7542" w:rsidRDefault="00FC7542">
      <w:pPr>
        <w:rPr>
          <w:rFonts w:ascii="Book Antiqua" w:hAnsi="Book Antiqua"/>
          <w:b/>
          <w:bCs/>
          <w:sz w:val="24"/>
        </w:rPr>
      </w:pPr>
    </w:p>
    <w:p w14:paraId="004FFB11" w14:textId="77777777" w:rsidR="00FC7542" w:rsidRDefault="00FC7542">
      <w:pPr>
        <w:rPr>
          <w:rFonts w:ascii="Book Antiqua" w:hAnsi="Book Antiqua"/>
          <w:b/>
          <w:bCs/>
          <w:sz w:val="24"/>
        </w:rPr>
      </w:pPr>
    </w:p>
    <w:p w14:paraId="4383AA13" w14:textId="77777777" w:rsidR="00FC7542" w:rsidRDefault="00FC7542">
      <w:pPr>
        <w:rPr>
          <w:rFonts w:ascii="Book Antiqua" w:hAnsi="Book Antiqua"/>
          <w:b/>
          <w:bCs/>
          <w:sz w:val="24"/>
        </w:rPr>
      </w:pPr>
    </w:p>
    <w:p w14:paraId="501F62C6" w14:textId="77777777" w:rsidR="00FC7542" w:rsidRDefault="00FC7542">
      <w:pPr>
        <w:rPr>
          <w:rFonts w:ascii="Book Antiqua" w:hAnsi="Book Antiqua"/>
          <w:b/>
          <w:bCs/>
          <w:sz w:val="24"/>
        </w:rPr>
      </w:pPr>
    </w:p>
    <w:p w14:paraId="7BA356DF" w14:textId="77777777" w:rsidR="00FC7542" w:rsidRDefault="00FC7542">
      <w:pPr>
        <w:rPr>
          <w:rFonts w:ascii="Book Antiqua" w:hAnsi="Book Antiqua"/>
          <w:b/>
          <w:bCs/>
          <w:sz w:val="24"/>
        </w:rPr>
      </w:pPr>
    </w:p>
    <w:p w14:paraId="33AFE7CC" w14:textId="77777777" w:rsidR="00FC7542" w:rsidRDefault="00FC7542">
      <w:pPr>
        <w:rPr>
          <w:rFonts w:ascii="Book Antiqua" w:hAnsi="Book Antiqua"/>
          <w:b/>
          <w:bCs/>
          <w:sz w:val="24"/>
        </w:rPr>
      </w:pPr>
    </w:p>
    <w:p w14:paraId="34363FD8" w14:textId="77777777" w:rsidR="00FC7542" w:rsidRDefault="00FC7542">
      <w:pPr>
        <w:rPr>
          <w:rFonts w:ascii="Book Antiqua" w:hAnsi="Book Antiqua"/>
          <w:b/>
          <w:bCs/>
          <w:sz w:val="24"/>
        </w:rPr>
      </w:pPr>
    </w:p>
    <w:p w14:paraId="39DCDACF" w14:textId="77777777" w:rsidR="00FC7542" w:rsidRDefault="00FC7542">
      <w:pPr>
        <w:rPr>
          <w:rFonts w:ascii="Book Antiqua" w:hAnsi="Book Antiqua"/>
          <w:b/>
          <w:bCs/>
          <w:sz w:val="24"/>
        </w:rPr>
      </w:pPr>
    </w:p>
    <w:p w14:paraId="1B1EA496" w14:textId="77777777" w:rsidR="00FC7542" w:rsidRDefault="00FC7542">
      <w:pPr>
        <w:rPr>
          <w:rFonts w:ascii="Book Antiqua" w:hAnsi="Book Antiqua"/>
          <w:b/>
          <w:bCs/>
          <w:sz w:val="24"/>
        </w:rPr>
      </w:pPr>
    </w:p>
    <w:p w14:paraId="7A4DA4C6" w14:textId="77777777" w:rsidR="00FC7542" w:rsidRDefault="00FC7542">
      <w:pPr>
        <w:rPr>
          <w:rFonts w:ascii="Book Antiqua" w:hAnsi="Book Antiqua"/>
          <w:b/>
          <w:bCs/>
          <w:sz w:val="24"/>
        </w:rPr>
      </w:pPr>
    </w:p>
    <w:p w14:paraId="0304C293" w14:textId="77777777" w:rsidR="00FC7542" w:rsidRDefault="00FC7542">
      <w:pPr>
        <w:rPr>
          <w:rFonts w:ascii="Book Antiqua" w:hAnsi="Book Antiqua"/>
          <w:b/>
          <w:bCs/>
          <w:sz w:val="24"/>
        </w:rPr>
      </w:pPr>
    </w:p>
    <w:p w14:paraId="3DB4D50B" w14:textId="77777777" w:rsidR="00FC7542" w:rsidRDefault="00FC7542">
      <w:pPr>
        <w:rPr>
          <w:rFonts w:ascii="Book Antiqua" w:hAnsi="Book Antiqua"/>
          <w:b/>
          <w:bCs/>
          <w:sz w:val="24"/>
        </w:rPr>
      </w:pPr>
    </w:p>
    <w:p w14:paraId="751A0853" w14:textId="77777777" w:rsidR="00FC7542" w:rsidRDefault="00FC7542">
      <w:pPr>
        <w:rPr>
          <w:rFonts w:ascii="Book Antiqua" w:hAnsi="Book Antiqua"/>
          <w:b/>
          <w:bCs/>
          <w:sz w:val="24"/>
        </w:rPr>
      </w:pPr>
    </w:p>
    <w:p w14:paraId="5BB7E826" w14:textId="77777777" w:rsidR="00FC7542" w:rsidRDefault="00FC7542">
      <w:pPr>
        <w:rPr>
          <w:rFonts w:ascii="Book Antiqua" w:hAnsi="Book Antiqua"/>
          <w:b/>
          <w:bCs/>
          <w:sz w:val="24"/>
        </w:rPr>
      </w:pPr>
    </w:p>
    <w:p w14:paraId="14EED593" w14:textId="77777777" w:rsidR="00FC7542" w:rsidRDefault="00FC7542">
      <w:pPr>
        <w:rPr>
          <w:rFonts w:ascii="Book Antiqua" w:hAnsi="Book Antiqua"/>
          <w:b/>
          <w:bCs/>
          <w:sz w:val="24"/>
        </w:rPr>
      </w:pPr>
    </w:p>
    <w:p w14:paraId="1E9724F7" w14:textId="3951DF43" w:rsidR="00BA0D11" w:rsidRPr="00FD70B9" w:rsidRDefault="00BA0D11">
      <w:pPr>
        <w:rPr>
          <w:rFonts w:ascii="Book Antiqua" w:hAnsi="Book Antiqua"/>
          <w:b/>
          <w:bCs/>
          <w:sz w:val="24"/>
        </w:rPr>
      </w:pPr>
      <w:r w:rsidRPr="00FD70B9">
        <w:rPr>
          <w:rFonts w:ascii="Book Antiqua" w:hAnsi="Book Antiqua"/>
          <w:b/>
          <w:bCs/>
          <w:sz w:val="24"/>
        </w:rPr>
        <w:t>Scenario 1 Findings and Analysis</w:t>
      </w:r>
    </w:p>
    <w:p w14:paraId="70E2AC25" w14:textId="5459BA29" w:rsidR="00BA0D11" w:rsidRPr="00FD70B9" w:rsidRDefault="00BA0D11">
      <w:pPr>
        <w:rPr>
          <w:rFonts w:ascii="Book Antiqua" w:hAnsi="Book Antiqua"/>
          <w:sz w:val="24"/>
        </w:rPr>
      </w:pPr>
    </w:p>
    <w:p w14:paraId="5430E2CD" w14:textId="77777777" w:rsidR="00FC3D12" w:rsidRDefault="00FC3D12" w:rsidP="00FC3D12">
      <w:pPr>
        <w:rPr>
          <w:rFonts w:ascii="Book Antiqua" w:hAnsi="Book Antiqua"/>
          <w:sz w:val="24"/>
        </w:rPr>
      </w:pPr>
      <w:r>
        <w:rPr>
          <w:rFonts w:ascii="Book Antiqua" w:hAnsi="Book Antiqua"/>
          <w:sz w:val="24"/>
        </w:rPr>
        <w:t>To: Audit Department</w:t>
      </w:r>
    </w:p>
    <w:p w14:paraId="7279AB69" w14:textId="77777777" w:rsidR="00FC3D12" w:rsidRDefault="00FC3D12" w:rsidP="00FC3D12">
      <w:pPr>
        <w:rPr>
          <w:rFonts w:ascii="Book Antiqua" w:hAnsi="Book Antiqua"/>
          <w:sz w:val="24"/>
        </w:rPr>
      </w:pPr>
    </w:p>
    <w:p w14:paraId="40B1CC49" w14:textId="253D3706" w:rsidR="00FC3D12" w:rsidRDefault="00FC3D12" w:rsidP="00FC3D12">
      <w:pPr>
        <w:rPr>
          <w:rFonts w:ascii="Book Antiqua" w:hAnsi="Book Antiqua"/>
          <w:sz w:val="24"/>
        </w:rPr>
      </w:pPr>
      <w:r>
        <w:rPr>
          <w:rFonts w:ascii="Book Antiqua" w:hAnsi="Book Antiqua"/>
          <w:sz w:val="24"/>
        </w:rPr>
        <w:t xml:space="preserve">From: </w:t>
      </w:r>
      <w:r w:rsidR="00DE1B5A">
        <w:rPr>
          <w:rFonts w:ascii="Book Antiqua" w:hAnsi="Book Antiqua"/>
          <w:sz w:val="24"/>
        </w:rPr>
        <w:t>Selena Sola-Wright</w:t>
      </w:r>
    </w:p>
    <w:p w14:paraId="3F8E1679" w14:textId="02E767DC" w:rsidR="00FC3D12" w:rsidRDefault="002C5165" w:rsidP="00FC3D12">
      <w:pPr>
        <w:rPr>
          <w:rFonts w:ascii="Book Antiqua" w:hAnsi="Book Antiqua"/>
          <w:sz w:val="24"/>
        </w:rPr>
      </w:pPr>
      <w:r>
        <w:rPr>
          <w:rFonts w:ascii="Book Antiqua" w:hAnsi="Book Antiqua"/>
          <w:sz w:val="24"/>
        </w:rPr>
        <w:br/>
      </w:r>
      <w:r w:rsidR="00FC3D12">
        <w:rPr>
          <w:rFonts w:ascii="Book Antiqua" w:hAnsi="Book Antiqua"/>
          <w:sz w:val="24"/>
        </w:rPr>
        <w:t xml:space="preserve">Date: </w:t>
      </w:r>
      <w:r w:rsidR="00DE1B5A">
        <w:rPr>
          <w:rFonts w:ascii="Book Antiqua" w:hAnsi="Book Antiqua"/>
          <w:sz w:val="24"/>
        </w:rPr>
        <w:t>10/11/2022</w:t>
      </w:r>
    </w:p>
    <w:p w14:paraId="6752F9E4" w14:textId="028816ED" w:rsidR="00DE1B5A" w:rsidRDefault="002C5165" w:rsidP="00DE1B5A">
      <w:pPr>
        <w:rPr>
          <w:rFonts w:ascii="Book Antiqua" w:hAnsi="Book Antiqua"/>
          <w:sz w:val="24"/>
        </w:rPr>
      </w:pPr>
      <w:r>
        <w:rPr>
          <w:rFonts w:ascii="Book Antiqua" w:hAnsi="Book Antiqua"/>
          <w:sz w:val="24"/>
        </w:rPr>
        <w:br/>
      </w:r>
      <w:r w:rsidR="00DE1B5A">
        <w:rPr>
          <w:rFonts w:ascii="Book Antiqua" w:hAnsi="Book Antiqua"/>
          <w:sz w:val="24"/>
        </w:rPr>
        <w:t xml:space="preserve">RE: </w:t>
      </w:r>
      <w:r w:rsidR="00DE1B5A">
        <w:rPr>
          <w:rFonts w:ascii="Book Antiqua" w:hAnsi="Book Antiqua"/>
          <w:sz w:val="24"/>
        </w:rPr>
        <w:t>Maintenance Cost Explanation</w:t>
      </w:r>
    </w:p>
    <w:p w14:paraId="4900E783" w14:textId="77777777" w:rsidR="00FC3D12" w:rsidRDefault="00FC3D12" w:rsidP="00FC3D12">
      <w:pPr>
        <w:rPr>
          <w:rFonts w:ascii="Book Antiqua" w:hAnsi="Book Antiqua"/>
          <w:sz w:val="24"/>
        </w:rPr>
      </w:pPr>
    </w:p>
    <w:p w14:paraId="54C10B1C" w14:textId="2564E233" w:rsidR="00FC3D12" w:rsidRPr="00FD70B9" w:rsidRDefault="00FC3D12" w:rsidP="00DE1B5A">
      <w:pPr>
        <w:rPr>
          <w:rFonts w:ascii="Book Antiqua" w:hAnsi="Book Antiqua"/>
          <w:sz w:val="24"/>
        </w:rPr>
      </w:pPr>
      <w:r>
        <w:rPr>
          <w:rFonts w:ascii="Book Antiqua" w:hAnsi="Book Antiqua"/>
          <w:sz w:val="24"/>
        </w:rPr>
        <w:t xml:space="preserve"> </w:t>
      </w:r>
      <w:r w:rsidR="00DE1B5A">
        <w:rPr>
          <w:noProof/>
        </w:rPr>
        <w:drawing>
          <wp:inline distT="0" distB="0" distL="0" distR="0" wp14:anchorId="424AF093" wp14:editId="1FA3795C">
            <wp:extent cx="5953125" cy="3533775"/>
            <wp:effectExtent l="0" t="0" r="9525" b="9525"/>
            <wp:docPr id="2" name="Chart 2">
              <a:extLst xmlns:a="http://schemas.openxmlformats.org/drawingml/2006/main">
                <a:ext uri="{FF2B5EF4-FFF2-40B4-BE49-F238E27FC236}">
                  <a16:creationId xmlns:a16="http://schemas.microsoft.com/office/drawing/2014/main" id="{DFC9A19F-9072-4FFD-BF3D-4E9E09C0255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0440BD56" w14:textId="77777777" w:rsidR="00DE0BE4" w:rsidRDefault="00DE0BE4" w:rsidP="00FC3D12">
      <w:pPr>
        <w:rPr>
          <w:rFonts w:ascii="Book Antiqua" w:hAnsi="Book Antiqua"/>
          <w:sz w:val="24"/>
          <w:highlight w:val="yellow"/>
        </w:rPr>
      </w:pPr>
    </w:p>
    <w:p w14:paraId="6399D896" w14:textId="77777777" w:rsidR="00DE0BE4" w:rsidRDefault="00DE0BE4" w:rsidP="00FC3D12">
      <w:pPr>
        <w:rPr>
          <w:rFonts w:ascii="Book Antiqua" w:hAnsi="Book Antiqua"/>
          <w:sz w:val="24"/>
          <w:highlight w:val="yellow"/>
        </w:rPr>
      </w:pPr>
    </w:p>
    <w:p w14:paraId="3DE541B1" w14:textId="76EF15A7" w:rsidR="00FC3D12" w:rsidRPr="00FC7542" w:rsidRDefault="00FC3D12" w:rsidP="00FC3D12">
      <w:pPr>
        <w:rPr>
          <w:rFonts w:ascii="Times New Roman" w:hAnsi="Times New Roman" w:cs="Times New Roman"/>
          <w:sz w:val="28"/>
          <w:szCs w:val="28"/>
          <w:highlight w:val="yellow"/>
        </w:rPr>
      </w:pPr>
    </w:p>
    <w:p w14:paraId="28A66F4F" w14:textId="4CC3D1AF" w:rsidR="001A127E" w:rsidRPr="00FC7542" w:rsidRDefault="001A127E" w:rsidP="00FC7542">
      <w:pPr>
        <w:rPr>
          <w:rFonts w:ascii="Times New Roman" w:hAnsi="Times New Roman" w:cs="Times New Roman"/>
          <w:sz w:val="28"/>
          <w:szCs w:val="28"/>
        </w:rPr>
      </w:pPr>
      <w:r w:rsidRPr="00FC7542">
        <w:rPr>
          <w:rFonts w:ascii="Times New Roman" w:hAnsi="Times New Roman" w:cs="Times New Roman"/>
          <w:sz w:val="28"/>
          <w:szCs w:val="28"/>
        </w:rPr>
        <w:t xml:space="preserve">The increase in repair cost </w:t>
      </w:r>
      <w:r w:rsidR="005C30E1" w:rsidRPr="00FC7542">
        <w:rPr>
          <w:rFonts w:ascii="Times New Roman" w:hAnsi="Times New Roman" w:cs="Times New Roman"/>
          <w:sz w:val="28"/>
          <w:szCs w:val="28"/>
        </w:rPr>
        <w:t>is</w:t>
      </w:r>
      <w:r w:rsidRPr="00FC7542">
        <w:rPr>
          <w:rFonts w:ascii="Times New Roman" w:hAnsi="Times New Roman" w:cs="Times New Roman"/>
          <w:sz w:val="28"/>
          <w:szCs w:val="28"/>
        </w:rPr>
        <w:t xml:space="preserve"> being caused by </w:t>
      </w:r>
      <w:r w:rsidR="005C30E1" w:rsidRPr="00FC7542">
        <w:rPr>
          <w:rFonts w:ascii="Times New Roman" w:hAnsi="Times New Roman" w:cs="Times New Roman"/>
          <w:sz w:val="28"/>
          <w:szCs w:val="28"/>
        </w:rPr>
        <w:t>the</w:t>
      </w:r>
      <w:r w:rsidRPr="00FC7542">
        <w:rPr>
          <w:rFonts w:ascii="Times New Roman" w:hAnsi="Times New Roman" w:cs="Times New Roman"/>
          <w:sz w:val="28"/>
          <w:szCs w:val="28"/>
        </w:rPr>
        <w:t xml:space="preserve"> rise in demand and supply. </w:t>
      </w:r>
      <w:r w:rsidR="005C30E1" w:rsidRPr="00FC7542">
        <w:rPr>
          <w:rFonts w:ascii="Times New Roman" w:hAnsi="Times New Roman" w:cs="Times New Roman"/>
          <w:sz w:val="28"/>
          <w:szCs w:val="28"/>
        </w:rPr>
        <w:t xml:space="preserve">When demand increases the cost of screws will increase, the demand for screws would increase when people need to do home improvement. </w:t>
      </w:r>
      <w:r w:rsidRPr="00FC7542">
        <w:rPr>
          <w:rFonts w:ascii="Times New Roman" w:hAnsi="Times New Roman" w:cs="Times New Roman"/>
          <w:sz w:val="28"/>
          <w:szCs w:val="28"/>
        </w:rPr>
        <w:br/>
      </w:r>
      <w:r w:rsidR="005C30E1" w:rsidRPr="00FC7542">
        <w:rPr>
          <w:rFonts w:ascii="Times New Roman" w:hAnsi="Times New Roman" w:cs="Times New Roman"/>
          <w:sz w:val="28"/>
          <w:szCs w:val="28"/>
        </w:rPr>
        <w:t xml:space="preserve">When the supply of nails decreases then the cost will decrease and the need for production decreases causing an equilibrium price fall. </w:t>
      </w:r>
      <w:r w:rsidR="00FC7542" w:rsidRPr="00FC7542">
        <w:rPr>
          <w:rFonts w:ascii="Times New Roman" w:hAnsi="Times New Roman" w:cs="Times New Roman"/>
          <w:sz w:val="28"/>
          <w:szCs w:val="28"/>
        </w:rPr>
        <w:t>If individuals stop or slowed down with their home improvement, then the supply and the cost of screws will decrease due to unpopular demand. The final market equilibrium means that as the supply and demands increases, the price will increase.</w:t>
      </w:r>
    </w:p>
    <w:p w14:paraId="37B18420" w14:textId="77777777" w:rsidR="001A127E" w:rsidRDefault="001A127E" w:rsidP="00FC3D12">
      <w:pPr>
        <w:jc w:val="both"/>
        <w:rPr>
          <w:rFonts w:ascii="Book Antiqua" w:hAnsi="Book Antiqua"/>
          <w:b/>
          <w:bCs/>
          <w:sz w:val="24"/>
        </w:rPr>
      </w:pPr>
    </w:p>
    <w:p w14:paraId="58F4A866" w14:textId="77777777" w:rsidR="001A127E" w:rsidRDefault="001A127E" w:rsidP="00FC3D12">
      <w:pPr>
        <w:jc w:val="both"/>
        <w:rPr>
          <w:rFonts w:ascii="Book Antiqua" w:hAnsi="Book Antiqua"/>
          <w:b/>
          <w:bCs/>
          <w:sz w:val="24"/>
        </w:rPr>
      </w:pPr>
    </w:p>
    <w:p w14:paraId="2F9E3DC4" w14:textId="17A6115C" w:rsidR="00BA0D11" w:rsidRPr="00FC3D12" w:rsidRDefault="00BA0D11" w:rsidP="00FC3D12">
      <w:pPr>
        <w:jc w:val="both"/>
        <w:rPr>
          <w:rFonts w:ascii="Book Antiqua" w:hAnsi="Book Antiqua"/>
          <w:sz w:val="24"/>
        </w:rPr>
      </w:pPr>
      <w:r w:rsidRPr="00FC3D12">
        <w:rPr>
          <w:rFonts w:ascii="Book Antiqua" w:hAnsi="Book Antiqua"/>
          <w:b/>
          <w:bCs/>
          <w:sz w:val="24"/>
        </w:rPr>
        <w:t>Scenario 2 Findings and Analysis</w:t>
      </w:r>
    </w:p>
    <w:p w14:paraId="403AFBC6" w14:textId="31D9A615" w:rsidR="00BA0D11" w:rsidRPr="00FD70B9" w:rsidRDefault="00BA0D11">
      <w:pPr>
        <w:rPr>
          <w:rFonts w:ascii="Book Antiqua" w:hAnsi="Book Antiqua"/>
          <w:sz w:val="24"/>
        </w:rPr>
      </w:pPr>
    </w:p>
    <w:p w14:paraId="5D7477CC" w14:textId="77777777" w:rsidR="00FC3D12" w:rsidRDefault="00FC3D12" w:rsidP="00FC3D12">
      <w:pPr>
        <w:rPr>
          <w:rFonts w:ascii="Book Antiqua" w:hAnsi="Book Antiqua"/>
          <w:sz w:val="24"/>
        </w:rPr>
      </w:pPr>
      <w:r>
        <w:rPr>
          <w:rFonts w:ascii="Book Antiqua" w:hAnsi="Book Antiqua"/>
          <w:sz w:val="24"/>
        </w:rPr>
        <w:t>To: Office of the Mayor</w:t>
      </w:r>
    </w:p>
    <w:p w14:paraId="5824ABE4" w14:textId="77777777" w:rsidR="00FC3D12" w:rsidRDefault="00FC3D12" w:rsidP="00FC3D12">
      <w:pPr>
        <w:rPr>
          <w:rFonts w:ascii="Book Antiqua" w:hAnsi="Book Antiqua"/>
          <w:sz w:val="24"/>
        </w:rPr>
      </w:pPr>
    </w:p>
    <w:p w14:paraId="11E3416B" w14:textId="11138E0C" w:rsidR="00FC3D12" w:rsidRDefault="00FC3D12" w:rsidP="00FC3D12">
      <w:pPr>
        <w:rPr>
          <w:rFonts w:ascii="Book Antiqua" w:hAnsi="Book Antiqua"/>
          <w:sz w:val="24"/>
        </w:rPr>
      </w:pPr>
      <w:r>
        <w:rPr>
          <w:rFonts w:ascii="Book Antiqua" w:hAnsi="Book Antiqua"/>
          <w:sz w:val="24"/>
        </w:rPr>
        <w:t xml:space="preserve">From: </w:t>
      </w:r>
      <w:r w:rsidR="00FC7542">
        <w:rPr>
          <w:rFonts w:ascii="Book Antiqua" w:hAnsi="Book Antiqua"/>
          <w:sz w:val="24"/>
        </w:rPr>
        <w:t>Selena Sola-Wright</w:t>
      </w:r>
    </w:p>
    <w:p w14:paraId="56515573" w14:textId="77777777" w:rsidR="00FC3D12" w:rsidRDefault="00FC3D12" w:rsidP="00FC3D12">
      <w:pPr>
        <w:rPr>
          <w:rFonts w:ascii="Book Antiqua" w:hAnsi="Book Antiqua"/>
          <w:sz w:val="24"/>
        </w:rPr>
      </w:pPr>
    </w:p>
    <w:p w14:paraId="094803BC" w14:textId="79E5A27D" w:rsidR="00FC3D12" w:rsidRDefault="00FC3D12" w:rsidP="00FC3D12">
      <w:pPr>
        <w:rPr>
          <w:rFonts w:ascii="Book Antiqua" w:hAnsi="Book Antiqua"/>
          <w:sz w:val="24"/>
        </w:rPr>
      </w:pPr>
      <w:r>
        <w:rPr>
          <w:rFonts w:ascii="Book Antiqua" w:hAnsi="Book Antiqua"/>
          <w:sz w:val="24"/>
        </w:rPr>
        <w:t xml:space="preserve">Date: </w:t>
      </w:r>
      <w:r w:rsidR="00FC7542">
        <w:rPr>
          <w:rFonts w:ascii="Book Antiqua" w:hAnsi="Book Antiqua"/>
          <w:sz w:val="24"/>
        </w:rPr>
        <w:t>10/11/2022</w:t>
      </w:r>
    </w:p>
    <w:p w14:paraId="2AC3E671" w14:textId="77777777" w:rsidR="00FC3D12" w:rsidRDefault="00FC3D12" w:rsidP="00FC3D12">
      <w:pPr>
        <w:rPr>
          <w:rFonts w:ascii="Book Antiqua" w:hAnsi="Book Antiqua"/>
          <w:sz w:val="24"/>
        </w:rPr>
      </w:pPr>
    </w:p>
    <w:p w14:paraId="386C37CC" w14:textId="77777777" w:rsidR="00FC3D12" w:rsidRDefault="00FC3D12" w:rsidP="00FC3D12">
      <w:pPr>
        <w:rPr>
          <w:rFonts w:ascii="Book Antiqua" w:hAnsi="Book Antiqua"/>
          <w:sz w:val="24"/>
        </w:rPr>
      </w:pPr>
      <w:r>
        <w:rPr>
          <w:rFonts w:ascii="Book Antiqua" w:hAnsi="Book Antiqua"/>
          <w:sz w:val="24"/>
        </w:rPr>
        <w:t>RE: Impact of Rental Control</w:t>
      </w:r>
    </w:p>
    <w:p w14:paraId="02D1446A" w14:textId="10E7BD5F" w:rsidR="00FC3D12" w:rsidRPr="002C5165" w:rsidRDefault="00FC7542" w:rsidP="00D364C4">
      <w:pPr>
        <w:rPr>
          <w:rFonts w:ascii="Times New Roman" w:hAnsi="Times New Roman" w:cs="Times New Roman"/>
          <w:sz w:val="28"/>
          <w:szCs w:val="28"/>
        </w:rPr>
      </w:pPr>
      <w:r>
        <w:rPr>
          <w:rFonts w:ascii="Book Antiqua" w:hAnsi="Book Antiqua"/>
          <w:sz w:val="24"/>
        </w:rPr>
        <w:br/>
      </w:r>
      <w:r>
        <w:rPr>
          <w:rFonts w:ascii="Book Antiqua" w:hAnsi="Book Antiqua"/>
          <w:sz w:val="24"/>
        </w:rPr>
        <w:br/>
      </w:r>
      <w:r w:rsidR="00D364C4">
        <w:rPr>
          <w:noProof/>
        </w:rPr>
        <w:drawing>
          <wp:inline distT="0" distB="0" distL="0" distR="0" wp14:anchorId="3CBAAC7A" wp14:editId="715353DA">
            <wp:extent cx="5246914" cy="3515995"/>
            <wp:effectExtent l="0" t="0" r="11430" b="8255"/>
            <wp:docPr id="3" name="Chart 3">
              <a:extLst xmlns:a="http://schemas.openxmlformats.org/drawingml/2006/main">
                <a:ext uri="{FF2B5EF4-FFF2-40B4-BE49-F238E27FC236}">
                  <a16:creationId xmlns:a16="http://schemas.microsoft.com/office/drawing/2014/main" id="{258D9903-F496-4378-9A06-E6AE348B32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rFonts w:ascii="Book Antiqua" w:hAnsi="Book Antiqua"/>
          <w:sz w:val="24"/>
        </w:rPr>
        <w:br/>
      </w:r>
      <w:r w:rsidR="002C5165">
        <w:rPr>
          <w:rFonts w:ascii="Times New Roman" w:hAnsi="Times New Roman" w:cs="Times New Roman"/>
          <w:sz w:val="28"/>
          <w:szCs w:val="28"/>
        </w:rPr>
        <w:br/>
      </w:r>
      <w:r w:rsidR="00D364C4" w:rsidRPr="002C5165">
        <w:rPr>
          <w:rFonts w:ascii="Times New Roman" w:hAnsi="Times New Roman" w:cs="Times New Roman"/>
          <w:sz w:val="28"/>
          <w:szCs w:val="28"/>
        </w:rPr>
        <w:t xml:space="preserve">The local market has impacted people by the offshoring of production, with the loss of higher paying production jobs, they were forced to obtain lower paying jobs. With the decrease in income, the demand for housing decreased, but the demand for renal unites increased. The government put a price ceiling in 2000 per month thus decreasing the units available. Consequences that could arise is the number of housing available, the area it is available, and if the size is beneficial. </w:t>
      </w:r>
      <w:r w:rsidR="00FC3D12" w:rsidRPr="002C5165">
        <w:rPr>
          <w:rFonts w:ascii="Times New Roman" w:hAnsi="Times New Roman" w:cs="Times New Roman"/>
          <w:sz w:val="28"/>
          <w:szCs w:val="28"/>
        </w:rPr>
        <w:t>Evaluate the market impact that resulted from the price ceiling imposed by the local government.</w:t>
      </w:r>
      <w:r w:rsidR="002C5165" w:rsidRPr="002C5165">
        <w:rPr>
          <w:rFonts w:ascii="Times New Roman" w:hAnsi="Times New Roman" w:cs="Times New Roman"/>
          <w:sz w:val="28"/>
          <w:szCs w:val="28"/>
        </w:rPr>
        <w:t xml:space="preserve"> The government could help units more affordable by decreasing price per unit or increase wages and job opportunities. </w:t>
      </w:r>
    </w:p>
    <w:p w14:paraId="7ADF487E" w14:textId="4E5CA501" w:rsidR="00BA0D11" w:rsidRPr="00FD70B9" w:rsidRDefault="00BA0D11">
      <w:pPr>
        <w:rPr>
          <w:rFonts w:ascii="Book Antiqua" w:hAnsi="Book Antiqua"/>
        </w:rPr>
      </w:pPr>
    </w:p>
    <w:p w14:paraId="5333098E" w14:textId="68025F88" w:rsidR="00B53817" w:rsidRPr="00FD70B9" w:rsidRDefault="00B53817">
      <w:pPr>
        <w:rPr>
          <w:rFonts w:ascii="Book Antiqua" w:hAnsi="Book Antiqua"/>
        </w:rPr>
      </w:pPr>
    </w:p>
    <w:sectPr w:rsidR="00B53817" w:rsidRPr="00FD70B9" w:rsidSect="00FC3D12">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8BEFD" w14:textId="77777777" w:rsidR="002C384A" w:rsidRDefault="002C384A" w:rsidP="00FC3D12">
      <w:r>
        <w:separator/>
      </w:r>
    </w:p>
  </w:endnote>
  <w:endnote w:type="continuationSeparator" w:id="0">
    <w:p w14:paraId="0CC5DEB2" w14:textId="77777777" w:rsidR="002C384A" w:rsidRDefault="002C384A" w:rsidP="00FC3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6637A" w14:textId="77777777" w:rsidR="002C384A" w:rsidRDefault="002C384A" w:rsidP="00FC3D12">
      <w:r>
        <w:separator/>
      </w:r>
    </w:p>
  </w:footnote>
  <w:footnote w:type="continuationSeparator" w:id="0">
    <w:p w14:paraId="0819A2E8" w14:textId="77777777" w:rsidR="002C384A" w:rsidRDefault="002C384A" w:rsidP="00FC3D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4E91C" w14:textId="55187698" w:rsidR="00FC3D12" w:rsidRPr="00FC3D12" w:rsidRDefault="00FC3D12">
    <w:pPr>
      <w:pStyle w:val="Header"/>
      <w:jc w:val="right"/>
      <w:rPr>
        <w:rFonts w:ascii="Book Antiqua" w:hAnsi="Book Antiqua"/>
      </w:rPr>
    </w:pPr>
    <w:r w:rsidRPr="00FC3D12">
      <w:rPr>
        <w:rFonts w:ascii="Book Antiqua" w:hAnsi="Book Antiqua"/>
      </w:rPr>
      <w:t>ECON195 – Fin</w:t>
    </w:r>
    <w:r>
      <w:rPr>
        <w:rFonts w:ascii="Book Antiqua" w:hAnsi="Book Antiqua"/>
      </w:rPr>
      <w:t>al</w:t>
    </w:r>
    <w:r w:rsidRPr="00FC3D12">
      <w:rPr>
        <w:rFonts w:ascii="Book Antiqua" w:hAnsi="Book Antiqua"/>
      </w:rPr>
      <w:t xml:space="preserve"> ePortfolio Submission Template</w:t>
    </w:r>
    <w:r w:rsidRPr="00FC3D12">
      <w:rPr>
        <w:rFonts w:ascii="Book Antiqua" w:hAnsi="Book Antiqua"/>
      </w:rPr>
      <w:tab/>
    </w:r>
    <w:sdt>
      <w:sdtPr>
        <w:rPr>
          <w:rFonts w:ascii="Book Antiqua" w:hAnsi="Book Antiqua"/>
        </w:rPr>
        <w:id w:val="1512340553"/>
        <w:docPartObj>
          <w:docPartGallery w:val="Page Numbers (Top of Page)"/>
          <w:docPartUnique/>
        </w:docPartObj>
      </w:sdtPr>
      <w:sdtEndPr>
        <w:rPr>
          <w:noProof/>
        </w:rPr>
      </w:sdtEndPr>
      <w:sdtContent>
        <w:r w:rsidRPr="00FC3D12">
          <w:rPr>
            <w:rFonts w:ascii="Book Antiqua" w:hAnsi="Book Antiqua"/>
          </w:rPr>
          <w:fldChar w:fldCharType="begin"/>
        </w:r>
        <w:r w:rsidRPr="00FC3D12">
          <w:rPr>
            <w:rFonts w:ascii="Book Antiqua" w:hAnsi="Book Antiqua"/>
          </w:rPr>
          <w:instrText xml:space="preserve"> PAGE   \* MERGEFORMAT </w:instrText>
        </w:r>
        <w:r w:rsidRPr="00FC3D12">
          <w:rPr>
            <w:rFonts w:ascii="Book Antiqua" w:hAnsi="Book Antiqua"/>
          </w:rPr>
          <w:fldChar w:fldCharType="separate"/>
        </w:r>
        <w:r w:rsidRPr="00FC3D12">
          <w:rPr>
            <w:rFonts w:ascii="Book Antiqua" w:hAnsi="Book Antiqua"/>
            <w:noProof/>
          </w:rPr>
          <w:t>2</w:t>
        </w:r>
        <w:r w:rsidRPr="00FC3D12">
          <w:rPr>
            <w:rFonts w:ascii="Book Antiqua" w:hAnsi="Book Antiqua"/>
            <w:noProof/>
          </w:rPr>
          <w:fldChar w:fldCharType="end"/>
        </w:r>
      </w:sdtContent>
    </w:sdt>
  </w:p>
  <w:p w14:paraId="49A06063" w14:textId="77777777" w:rsidR="00FC3D12" w:rsidRDefault="00FC3D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BB4186"/>
    <w:multiLevelType w:val="hybridMultilevel"/>
    <w:tmpl w:val="EF5066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C75DD3"/>
    <w:multiLevelType w:val="hybridMultilevel"/>
    <w:tmpl w:val="592A26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368529976">
    <w:abstractNumId w:val="0"/>
  </w:num>
  <w:num w:numId="2" w16cid:durableId="8825236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yNzYwMTMwN7CwMDFW0lEKTi0uzszPAykwqwUAyRYQSSwAAAA="/>
  </w:docVars>
  <w:rsids>
    <w:rsidRoot w:val="00CC31F2"/>
    <w:rsid w:val="00152F29"/>
    <w:rsid w:val="001A127E"/>
    <w:rsid w:val="002C384A"/>
    <w:rsid w:val="002C5165"/>
    <w:rsid w:val="003554FD"/>
    <w:rsid w:val="00555155"/>
    <w:rsid w:val="00591C7E"/>
    <w:rsid w:val="005C30E1"/>
    <w:rsid w:val="006029CF"/>
    <w:rsid w:val="00652023"/>
    <w:rsid w:val="007F7029"/>
    <w:rsid w:val="00891C28"/>
    <w:rsid w:val="00984ECC"/>
    <w:rsid w:val="00AD5DFA"/>
    <w:rsid w:val="00B046D5"/>
    <w:rsid w:val="00B53817"/>
    <w:rsid w:val="00BA0D11"/>
    <w:rsid w:val="00BC55C6"/>
    <w:rsid w:val="00CC31F2"/>
    <w:rsid w:val="00D364C4"/>
    <w:rsid w:val="00D532E9"/>
    <w:rsid w:val="00DE0BE4"/>
    <w:rsid w:val="00DE1B5A"/>
    <w:rsid w:val="00DE33C7"/>
    <w:rsid w:val="00E374AF"/>
    <w:rsid w:val="00F2279B"/>
    <w:rsid w:val="00F815DF"/>
    <w:rsid w:val="00FC3D12"/>
    <w:rsid w:val="00FC7542"/>
    <w:rsid w:val="00FD7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7F62B"/>
  <w15:chartTrackingRefBased/>
  <w15:docId w15:val="{04ABD652-C017-49FA-9D35-546629C30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70B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3817"/>
    <w:pPr>
      <w:ind w:left="720"/>
      <w:contextualSpacing/>
    </w:pPr>
  </w:style>
  <w:style w:type="paragraph" w:styleId="BalloonText">
    <w:name w:val="Balloon Text"/>
    <w:basedOn w:val="Normal"/>
    <w:link w:val="BalloonTextChar"/>
    <w:uiPriority w:val="99"/>
    <w:semiHidden/>
    <w:unhideWhenUsed/>
    <w:rsid w:val="00B046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46D5"/>
    <w:rPr>
      <w:rFonts w:ascii="Segoe UI" w:hAnsi="Segoe UI" w:cs="Segoe UI"/>
      <w:sz w:val="18"/>
      <w:szCs w:val="18"/>
    </w:rPr>
  </w:style>
  <w:style w:type="character" w:customStyle="1" w:styleId="Heading1Char">
    <w:name w:val="Heading 1 Char"/>
    <w:basedOn w:val="DefaultParagraphFont"/>
    <w:link w:val="Heading1"/>
    <w:uiPriority w:val="9"/>
    <w:rsid w:val="00FD70B9"/>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891C28"/>
    <w:rPr>
      <w:sz w:val="16"/>
      <w:szCs w:val="16"/>
    </w:rPr>
  </w:style>
  <w:style w:type="paragraph" w:styleId="CommentText">
    <w:name w:val="annotation text"/>
    <w:basedOn w:val="Normal"/>
    <w:link w:val="CommentTextChar"/>
    <w:uiPriority w:val="99"/>
    <w:semiHidden/>
    <w:unhideWhenUsed/>
    <w:rsid w:val="00891C28"/>
    <w:rPr>
      <w:sz w:val="20"/>
      <w:szCs w:val="20"/>
    </w:rPr>
  </w:style>
  <w:style w:type="character" w:customStyle="1" w:styleId="CommentTextChar">
    <w:name w:val="Comment Text Char"/>
    <w:basedOn w:val="DefaultParagraphFont"/>
    <w:link w:val="CommentText"/>
    <w:uiPriority w:val="99"/>
    <w:semiHidden/>
    <w:rsid w:val="00891C28"/>
    <w:rPr>
      <w:sz w:val="20"/>
      <w:szCs w:val="20"/>
    </w:rPr>
  </w:style>
  <w:style w:type="paragraph" w:styleId="CommentSubject">
    <w:name w:val="annotation subject"/>
    <w:basedOn w:val="CommentText"/>
    <w:next w:val="CommentText"/>
    <w:link w:val="CommentSubjectChar"/>
    <w:uiPriority w:val="99"/>
    <w:semiHidden/>
    <w:unhideWhenUsed/>
    <w:rsid w:val="00891C28"/>
    <w:rPr>
      <w:b/>
      <w:bCs/>
    </w:rPr>
  </w:style>
  <w:style w:type="character" w:customStyle="1" w:styleId="CommentSubjectChar">
    <w:name w:val="Comment Subject Char"/>
    <w:basedOn w:val="CommentTextChar"/>
    <w:link w:val="CommentSubject"/>
    <w:uiPriority w:val="99"/>
    <w:semiHidden/>
    <w:rsid w:val="00891C28"/>
    <w:rPr>
      <w:b/>
      <w:bCs/>
      <w:sz w:val="20"/>
      <w:szCs w:val="20"/>
    </w:rPr>
  </w:style>
  <w:style w:type="paragraph" w:styleId="Header">
    <w:name w:val="header"/>
    <w:basedOn w:val="Normal"/>
    <w:link w:val="HeaderChar"/>
    <w:uiPriority w:val="99"/>
    <w:unhideWhenUsed/>
    <w:rsid w:val="00FC3D12"/>
    <w:pPr>
      <w:tabs>
        <w:tab w:val="center" w:pos="4680"/>
        <w:tab w:val="right" w:pos="9360"/>
      </w:tabs>
    </w:pPr>
  </w:style>
  <w:style w:type="character" w:customStyle="1" w:styleId="HeaderChar">
    <w:name w:val="Header Char"/>
    <w:basedOn w:val="DefaultParagraphFont"/>
    <w:link w:val="Header"/>
    <w:uiPriority w:val="99"/>
    <w:rsid w:val="00FC3D12"/>
  </w:style>
  <w:style w:type="paragraph" w:styleId="Footer">
    <w:name w:val="footer"/>
    <w:basedOn w:val="Normal"/>
    <w:link w:val="FooterChar"/>
    <w:uiPriority w:val="99"/>
    <w:unhideWhenUsed/>
    <w:rsid w:val="00FC3D12"/>
    <w:pPr>
      <w:tabs>
        <w:tab w:val="center" w:pos="4680"/>
        <w:tab w:val="right" w:pos="9360"/>
      </w:tabs>
    </w:pPr>
  </w:style>
  <w:style w:type="character" w:customStyle="1" w:styleId="FooterChar">
    <w:name w:val="Footer Char"/>
    <w:basedOn w:val="DefaultParagraphFont"/>
    <w:link w:val="Footer"/>
    <w:uiPriority w:val="99"/>
    <w:rsid w:val="00FC3D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Selena\OneDrive\Documents\Econ195\ECON195%20-%20Portfolio%20Project%20.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Selena\OneDrive\Documents\Econ195\ECON195%20-%20Portfolio%20Project%20.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Part</a:t>
            </a:r>
            <a:r>
              <a:rPr lang="en-US" baseline="0"/>
              <a:t> D:</a:t>
            </a:r>
            <a:br>
              <a:rPr lang="en-US" baseline="0"/>
            </a:br>
            <a:r>
              <a:rPr lang="en-US" baseline="0"/>
              <a:t>Market for Construction Screws</a:t>
            </a:r>
            <a:endParaRPr lang="en-US"/>
          </a:p>
        </c:rich>
      </c:tx>
      <c:overlay val="0"/>
      <c:spPr>
        <a:noFill/>
        <a:ln>
          <a:noFill/>
        </a:ln>
        <a:effectLst/>
      </c:spPr>
    </c:title>
    <c:autoTitleDeleted val="0"/>
    <c:plotArea>
      <c:layout/>
      <c:scatterChart>
        <c:scatterStyle val="lineMarker"/>
        <c:varyColors val="0"/>
        <c:ser>
          <c:idx val="0"/>
          <c:order val="0"/>
          <c:tx>
            <c:strRef>
              <c:f>'Scenario 1'!$C$5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dLbls>
            <c:dLbl>
              <c:idx val="0"/>
              <c:delete val="1"/>
              <c:extLst>
                <c:ext xmlns:c15="http://schemas.microsoft.com/office/drawing/2012/chart" uri="{CE6537A1-D6FC-4f65-9D91-7224C49458BB}"/>
                <c:ext xmlns:c16="http://schemas.microsoft.com/office/drawing/2014/chart" uri="{C3380CC4-5D6E-409C-BE32-E72D297353CC}">
                  <c16:uniqueId val="{00000000-F3C4-4BA0-9D12-C3DFA1918398}"/>
                </c:ext>
              </c:extLst>
            </c:dLbl>
            <c:dLbl>
              <c:idx val="1"/>
              <c:delete val="1"/>
              <c:extLst>
                <c:ext xmlns:c15="http://schemas.microsoft.com/office/drawing/2012/chart" uri="{CE6537A1-D6FC-4f65-9D91-7224C49458BB}"/>
                <c:ext xmlns:c16="http://schemas.microsoft.com/office/drawing/2014/chart" uri="{C3380CC4-5D6E-409C-BE32-E72D297353CC}">
                  <c16:uniqueId val="{00000001-F3C4-4BA0-9D12-C3DFA1918398}"/>
                </c:ext>
              </c:extLst>
            </c:dLbl>
            <c:dLbl>
              <c:idx val="2"/>
              <c:delete val="1"/>
              <c:extLst>
                <c:ext xmlns:c15="http://schemas.microsoft.com/office/drawing/2012/chart" uri="{CE6537A1-D6FC-4f65-9D91-7224C49458BB}"/>
                <c:ext xmlns:c16="http://schemas.microsoft.com/office/drawing/2014/chart" uri="{C3380CC4-5D6E-409C-BE32-E72D297353CC}">
                  <c16:uniqueId val="{00000002-F3C4-4BA0-9D12-C3DFA1918398}"/>
                </c:ext>
              </c:extLst>
            </c:dLbl>
            <c:dLbl>
              <c:idx val="3"/>
              <c:tx>
                <c:rich>
                  <a:bodyPr/>
                  <a:lstStyle/>
                  <a:p>
                    <a:r>
                      <a:rPr lang="en-US"/>
                      <a:t>A</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F3C4-4BA0-9D12-C3DFA1918398}"/>
                </c:ext>
              </c:extLst>
            </c:dLbl>
            <c:dLbl>
              <c:idx val="4"/>
              <c:delete val="1"/>
              <c:extLst>
                <c:ext xmlns:c15="http://schemas.microsoft.com/office/drawing/2012/chart" uri="{CE6537A1-D6FC-4f65-9D91-7224C49458BB}"/>
                <c:ext xmlns:c16="http://schemas.microsoft.com/office/drawing/2014/chart" uri="{C3380CC4-5D6E-409C-BE32-E72D297353CC}">
                  <c16:uniqueId val="{00000004-F3C4-4BA0-9D12-C3DFA1918398}"/>
                </c:ext>
              </c:extLst>
            </c:dLbl>
            <c:dLbl>
              <c:idx val="5"/>
              <c:delete val="1"/>
              <c:extLst>
                <c:ext xmlns:c15="http://schemas.microsoft.com/office/drawing/2012/chart" uri="{CE6537A1-D6FC-4f65-9D91-7224C49458BB}"/>
                <c:ext xmlns:c16="http://schemas.microsoft.com/office/drawing/2014/chart" uri="{C3380CC4-5D6E-409C-BE32-E72D297353CC}">
                  <c16:uniqueId val="{00000005-F3C4-4BA0-9D12-C3DFA1918398}"/>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1"/>
            <c:showCatName val="1"/>
            <c:showSerName val="0"/>
            <c:showPercent val="0"/>
            <c:showBubbleSize val="0"/>
            <c:showLeaderLines val="0"/>
            <c:extLst>
              <c:ext xmlns:c15="http://schemas.microsoft.com/office/drawing/2012/chart" uri="{CE6537A1-D6FC-4f65-9D91-7224C49458BB}">
                <c15:spPr xmlns:c15="http://schemas.microsoft.com/office/drawing/2012/chart">
                  <a:prstGeom prst="wedgeRectCallout">
                    <a:avLst/>
                  </a:prstGeom>
                </c15:spPr>
                <c15:showLeaderLines val="1"/>
                <c15:leaderLines>
                  <c:spPr>
                    <a:ln w="9525" cap="flat" cmpd="sng" algn="ctr">
                      <a:solidFill>
                        <a:schemeClr val="tx1">
                          <a:lumMod val="35000"/>
                          <a:lumOff val="65000"/>
                        </a:schemeClr>
                      </a:solidFill>
                      <a:round/>
                    </a:ln>
                    <a:effectLst/>
                  </c:spPr>
                </c15:leaderLines>
              </c:ext>
            </c:extLst>
          </c:dLbls>
          <c:xVal>
            <c:numRef>
              <c:f>'Scenario 1'!$C$6:$C$11</c:f>
              <c:numCache>
                <c:formatCode>General</c:formatCode>
                <c:ptCount val="6"/>
                <c:pt idx="0">
                  <c:v>0</c:v>
                </c:pt>
                <c:pt idx="1">
                  <c:v>400</c:v>
                </c:pt>
                <c:pt idx="2">
                  <c:v>800</c:v>
                </c:pt>
                <c:pt idx="3">
                  <c:v>1200</c:v>
                </c:pt>
                <c:pt idx="4">
                  <c:v>1600</c:v>
                </c:pt>
                <c:pt idx="5">
                  <c:v>2000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6-F3C4-4BA0-9D12-C3DFA1918398}"/>
            </c:ext>
          </c:extLst>
        </c:ser>
        <c:ser>
          <c:idx val="1"/>
          <c:order val="1"/>
          <c:tx>
            <c:strRef>
              <c:f>'Scenario 1'!$D$5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'Scenario 1'!$D$6:$D$11</c:f>
              <c:numCache>
                <c:formatCode>General</c:formatCode>
                <c:ptCount val="6"/>
                <c:pt idx="0">
                  <c:v>2400</c:v>
                </c:pt>
                <c:pt idx="1">
                  <c:v>2000</c:v>
                </c:pt>
                <c:pt idx="2">
                  <c:v>1600</c:v>
                </c:pt>
                <c:pt idx="3">
                  <c:v>1200</c:v>
                </c:pt>
                <c:pt idx="4">
                  <c:v>800</c:v>
                </c:pt>
                <c:pt idx="5">
                  <c:v>400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7-F3C4-4BA0-9D12-C3DFA1918398}"/>
            </c:ext>
          </c:extLst>
        </c:ser>
        <c:ser>
          <c:idx val="2"/>
          <c:order val="2"/>
          <c:tx>
            <c:strRef>
              <c:f>'Scenario 1'!$F$5</c:f>
              <c:strCache>
                <c:ptCount val="1"/>
                <c:pt idx="0">
                  <c:v>New Qs</c:v>
                </c:pt>
              </c:strCache>
            </c:strRef>
          </c:tx>
          <c:dLbls>
            <c:dLbl>
              <c:idx val="0"/>
              <c:delete val="1"/>
              <c:extLst>
                <c:ext xmlns:c15="http://schemas.microsoft.com/office/drawing/2012/chart" uri="{CE6537A1-D6FC-4f65-9D91-7224C49458BB}"/>
                <c:ext xmlns:c16="http://schemas.microsoft.com/office/drawing/2014/chart" uri="{C3380CC4-5D6E-409C-BE32-E72D297353CC}">
                  <c16:uniqueId val="{00000008-F3C4-4BA0-9D12-C3DFA1918398}"/>
                </c:ext>
              </c:extLst>
            </c:dLbl>
            <c:dLbl>
              <c:idx val="1"/>
              <c:delete val="1"/>
              <c:extLst>
                <c:ext xmlns:c15="http://schemas.microsoft.com/office/drawing/2012/chart" uri="{CE6537A1-D6FC-4f65-9D91-7224C49458BB}"/>
                <c:ext xmlns:c16="http://schemas.microsoft.com/office/drawing/2014/chart" uri="{C3380CC4-5D6E-409C-BE32-E72D297353CC}">
                  <c16:uniqueId val="{00000009-F3C4-4BA0-9D12-C3DFA1918398}"/>
                </c:ext>
              </c:extLst>
            </c:dLbl>
            <c:dLbl>
              <c:idx val="2"/>
              <c:layout>
                <c:manualLayout>
                  <c:x val="-7.7510699974202249E-2"/>
                  <c:y val="1.320132013201312E-2"/>
                </c:manualLayout>
              </c:layout>
              <c:tx>
                <c:rich>
                  <a:bodyPr/>
                  <a:lstStyle/>
                  <a:p>
                    <a:r>
                      <a:rPr lang="en-US"/>
                      <a:t>C</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F3C4-4BA0-9D12-C3DFA1918398}"/>
                </c:ext>
              </c:extLst>
            </c:dLbl>
            <c:dLbl>
              <c:idx val="3"/>
              <c:delete val="1"/>
              <c:extLst>
                <c:ext xmlns:c15="http://schemas.microsoft.com/office/drawing/2012/chart" uri="{CE6537A1-D6FC-4f65-9D91-7224C49458BB}"/>
                <c:ext xmlns:c16="http://schemas.microsoft.com/office/drawing/2014/chart" uri="{C3380CC4-5D6E-409C-BE32-E72D297353CC}">
                  <c16:uniqueId val="{0000000B-F3C4-4BA0-9D12-C3DFA1918398}"/>
                </c:ext>
              </c:extLst>
            </c:dLbl>
            <c:dLbl>
              <c:idx val="4"/>
              <c:delete val="1"/>
              <c:extLst>
                <c:ext xmlns:c15="http://schemas.microsoft.com/office/drawing/2012/chart" uri="{CE6537A1-D6FC-4f65-9D91-7224C49458BB}"/>
                <c:ext xmlns:c16="http://schemas.microsoft.com/office/drawing/2014/chart" uri="{C3380CC4-5D6E-409C-BE32-E72D297353CC}">
                  <c16:uniqueId val="{0000000C-F3C4-4BA0-9D12-C3DFA1918398}"/>
                </c:ext>
              </c:extLst>
            </c:dLbl>
            <c:dLbl>
              <c:idx val="5"/>
              <c:delete val="1"/>
              <c:extLst>
                <c:ext xmlns:c15="http://schemas.microsoft.com/office/drawing/2012/chart" uri="{CE6537A1-D6FC-4f65-9D91-7224C49458BB}"/>
                <c:ext xmlns:c16="http://schemas.microsoft.com/office/drawing/2014/chart" uri="{C3380CC4-5D6E-409C-BE32-E72D297353CC}">
                  <c16:uniqueId val="{0000000D-F3C4-4BA0-9D12-C3DFA1918398}"/>
                </c:ext>
              </c:extLst>
            </c:dLbl>
            <c:spPr>
              <a:solidFill>
                <a:sysClr val="window" lastClr="FFFFFF"/>
              </a:solidFill>
              <a:ln>
                <a:solidFill>
                  <a:sysClr val="windowText" lastClr="000000">
                    <a:lumMod val="65000"/>
                    <a:lumOff val="35000"/>
                  </a:sysClr>
                </a:solidFill>
              </a:ln>
              <a:effectLst/>
            </c:spPr>
            <c:showLegendKey val="0"/>
            <c:showVal val="1"/>
            <c:showCatName val="1"/>
            <c:showSerName val="0"/>
            <c:showPercent val="0"/>
            <c:showBubbleSize val="0"/>
            <c:showLeaderLines val="0"/>
            <c:extLst>
              <c:ext xmlns:c15="http://schemas.microsoft.com/office/drawing/2012/chart" uri="{CE6537A1-D6FC-4f65-9D91-7224C49458BB}">
                <c15:spPr xmlns:c15="http://schemas.microsoft.com/office/drawing/2012/chart">
                  <a:prstGeom prst="wedgeRectCallout">
                    <a:avLst/>
                  </a:prstGeom>
                </c15:spPr>
                <c15:showLeaderLines val="0"/>
              </c:ext>
            </c:extLst>
          </c:dLbls>
          <c:xVal>
            <c:numRef>
              <c:f>'Scenario 1'!$F$6:$F$11</c:f>
              <c:numCache>
                <c:formatCode>General</c:formatCode>
                <c:ptCount val="6"/>
                <c:pt idx="0">
                  <c:v>1600</c:v>
                </c:pt>
                <c:pt idx="1">
                  <c:v>1200</c:v>
                </c:pt>
                <c:pt idx="2">
                  <c:v>800</c:v>
                </c:pt>
                <c:pt idx="3">
                  <c:v>400</c:v>
                </c:pt>
                <c:pt idx="4">
                  <c:v>0</c:v>
                </c:pt>
                <c:pt idx="5">
                  <c:v>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E-F3C4-4BA0-9D12-C3DFA1918398}"/>
            </c:ext>
          </c:extLst>
        </c:ser>
        <c:ser>
          <c:idx val="3"/>
          <c:order val="3"/>
          <c:tx>
            <c:strRef>
              <c:f>'Scenario 1'!$E$5</c:f>
              <c:strCache>
                <c:ptCount val="1"/>
                <c:pt idx="0">
                  <c:v>New Qd</c:v>
                </c:pt>
              </c:strCache>
            </c:strRef>
          </c:tx>
          <c:dLbls>
            <c:dLbl>
              <c:idx val="0"/>
              <c:delete val="1"/>
              <c:extLst>
                <c:ext xmlns:c15="http://schemas.microsoft.com/office/drawing/2012/chart" uri="{CE6537A1-D6FC-4f65-9D91-7224C49458BB}"/>
                <c:ext xmlns:c16="http://schemas.microsoft.com/office/drawing/2014/chart" uri="{C3380CC4-5D6E-409C-BE32-E72D297353CC}">
                  <c16:uniqueId val="{0000000F-F3C4-4BA0-9D12-C3DFA1918398}"/>
                </c:ext>
              </c:extLst>
            </c:dLbl>
            <c:dLbl>
              <c:idx val="1"/>
              <c:tx>
                <c:rich>
                  <a:bodyPr wrap="square" lIns="38100" tIns="19050" rIns="38100" bIns="19050" anchor="ctr">
                    <a:noAutofit/>
                  </a:bodyPr>
                  <a:lstStyle/>
                  <a:p>
                    <a:pPr>
                      <a:defRPr/>
                    </a:pPr>
                    <a:r>
                      <a:rPr lang="en-US"/>
                      <a:t>D</a:t>
                    </a:r>
                  </a:p>
                </c:rich>
              </c:tx>
              <c:spPr>
                <a:solidFill>
                  <a:sysClr val="window" lastClr="FFFFFF"/>
                </a:solidFill>
                <a:ln>
                  <a:solidFill>
                    <a:sysClr val="windowText" lastClr="000000">
                      <a:lumMod val="65000"/>
                      <a:lumOff val="35000"/>
                    </a:sysClr>
                  </a:solidFill>
                </a:ln>
                <a:effectLst/>
              </c:spPr>
              <c:showLegendKey val="0"/>
              <c:showVal val="1"/>
              <c:showCatName val="1"/>
              <c:showSerName val="0"/>
              <c:showPercent val="0"/>
              <c:showBubbleSize val="0"/>
              <c:extLst>
                <c:ext xmlns:c15="http://schemas.microsoft.com/office/drawing/2012/chart" uri="{CE6537A1-D6FC-4f65-9D91-7224C49458BB}">
                  <c15:spPr xmlns:c15="http://schemas.microsoft.com/office/drawing/2012/chart">
                    <a:prstGeom prst="wedgeRectCallout">
                      <a:avLst/>
                    </a:prstGeom>
                  </c15:spPr>
                  <c15:layout>
                    <c:manualLayout>
                      <c:w val="5.1481001310545838E-2"/>
                      <c:h val="6.3161906741855289E-2"/>
                    </c:manualLayout>
                  </c15:layout>
                  <c15:showDataLabelsRange val="0"/>
                </c:ext>
                <c:ext xmlns:c16="http://schemas.microsoft.com/office/drawing/2014/chart" uri="{C3380CC4-5D6E-409C-BE32-E72D297353CC}">
                  <c16:uniqueId val="{00000010-F3C4-4BA0-9D12-C3DFA1918398}"/>
                </c:ext>
              </c:extLst>
            </c:dLbl>
            <c:dLbl>
              <c:idx val="2"/>
              <c:layout>
                <c:manualLayout>
                  <c:x val="-2.3849446145908375E-2"/>
                  <c:y val="-1.3201320132013201E-2"/>
                </c:manualLayout>
              </c:layout>
              <c:tx>
                <c:rich>
                  <a:bodyPr/>
                  <a:lstStyle/>
                  <a:p>
                    <a:r>
                      <a:rPr lang="en-US"/>
                      <a:t>B</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F3C4-4BA0-9D12-C3DFA1918398}"/>
                </c:ext>
              </c:extLst>
            </c:dLbl>
            <c:dLbl>
              <c:idx val="3"/>
              <c:delete val="1"/>
              <c:extLst>
                <c:ext xmlns:c15="http://schemas.microsoft.com/office/drawing/2012/chart" uri="{CE6537A1-D6FC-4f65-9D91-7224C49458BB}"/>
                <c:ext xmlns:c16="http://schemas.microsoft.com/office/drawing/2014/chart" uri="{C3380CC4-5D6E-409C-BE32-E72D297353CC}">
                  <c16:uniqueId val="{00000012-F3C4-4BA0-9D12-C3DFA1918398}"/>
                </c:ext>
              </c:extLst>
            </c:dLbl>
            <c:dLbl>
              <c:idx val="4"/>
              <c:delete val="1"/>
              <c:extLst>
                <c:ext xmlns:c15="http://schemas.microsoft.com/office/drawing/2012/chart" uri="{CE6537A1-D6FC-4f65-9D91-7224C49458BB}"/>
                <c:ext xmlns:c16="http://schemas.microsoft.com/office/drawing/2014/chart" uri="{C3380CC4-5D6E-409C-BE32-E72D297353CC}">
                  <c16:uniqueId val="{00000013-F3C4-4BA0-9D12-C3DFA1918398}"/>
                </c:ext>
              </c:extLst>
            </c:dLbl>
            <c:dLbl>
              <c:idx val="5"/>
              <c:delete val="1"/>
              <c:extLst>
                <c:ext xmlns:c15="http://schemas.microsoft.com/office/drawing/2012/chart" uri="{CE6537A1-D6FC-4f65-9D91-7224C49458BB}"/>
                <c:ext xmlns:c16="http://schemas.microsoft.com/office/drawing/2014/chart" uri="{C3380CC4-5D6E-409C-BE32-E72D297353CC}">
                  <c16:uniqueId val="{00000014-F3C4-4BA0-9D12-C3DFA1918398}"/>
                </c:ext>
              </c:extLst>
            </c:dLbl>
            <c:spPr>
              <a:solidFill>
                <a:sysClr val="window" lastClr="FFFFFF"/>
              </a:solidFill>
              <a:ln>
                <a:solidFill>
                  <a:sysClr val="windowText" lastClr="000000">
                    <a:lumMod val="65000"/>
                    <a:lumOff val="35000"/>
                  </a:sysClr>
                </a:solidFill>
              </a:ln>
              <a:effectLst/>
            </c:spPr>
            <c:showLegendKey val="0"/>
            <c:showVal val="1"/>
            <c:showCatName val="1"/>
            <c:showSerName val="0"/>
            <c:showPercent val="0"/>
            <c:showBubbleSize val="0"/>
            <c:showLeaderLines val="0"/>
            <c:extLst>
              <c:ext xmlns:c15="http://schemas.microsoft.com/office/drawing/2012/chart" uri="{CE6537A1-D6FC-4f65-9D91-7224C49458BB}">
                <c15:spPr xmlns:c15="http://schemas.microsoft.com/office/drawing/2012/chart">
                  <a:prstGeom prst="wedgeRectCallout">
                    <a:avLst/>
                  </a:prstGeom>
                </c15:spPr>
                <c15:showLeaderLines val="0"/>
              </c:ext>
            </c:extLst>
          </c:dLbls>
          <c:xVal>
            <c:numRef>
              <c:f>'Scenario 1'!$E$6:$E$11</c:f>
              <c:numCache>
                <c:formatCode>General</c:formatCode>
                <c:ptCount val="6"/>
                <c:pt idx="0">
                  <c:v>800</c:v>
                </c:pt>
                <c:pt idx="1">
                  <c:v>1200</c:v>
                </c:pt>
                <c:pt idx="2">
                  <c:v>1600</c:v>
                </c:pt>
                <c:pt idx="3">
                  <c:v>2000</c:v>
                </c:pt>
                <c:pt idx="4">
                  <c:v>2400</c:v>
                </c:pt>
                <c:pt idx="5">
                  <c:v>2800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15-F3C4-4BA0-9D12-C3DFA1918398}"/>
            </c:ext>
          </c:extLst>
        </c:ser>
        <c:dLbls>
          <c:showLegendKey val="0"/>
          <c:showVal val="0"/>
          <c:showCatName val="0"/>
          <c:showSerName val="0"/>
          <c:showPercent val="0"/>
          <c:showBubbleSize val="0"/>
        </c:dLbls>
        <c:axId val="522216352"/>
        <c:axId val="522215696"/>
      </c:scatterChart>
      <c:valAx>
        <c:axId val="52221635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Quantity</a:t>
                </a:r>
                <a:r>
                  <a:rPr lang="en-US" baseline="0"/>
                  <a:t> in Boxes</a:t>
                </a:r>
                <a:endParaRPr lang="en-US"/>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2215696"/>
        <c:crosses val="autoZero"/>
        <c:crossBetween val="midCat"/>
      </c:valAx>
      <c:valAx>
        <c:axId val="5222156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 per Box</a:t>
                </a:r>
              </a:p>
            </c:rich>
          </c:tx>
          <c:overlay val="0"/>
          <c:spPr>
            <a:noFill/>
            <a:ln>
              <a:noFill/>
            </a:ln>
            <a:effectLst/>
          </c:spPr>
        </c:title>
        <c:numFmt formatCode="&quot;$&quot;#,##0.00_);[Red]\(&quot;$&quot;#,##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2216352"/>
        <c:crosses val="autoZero"/>
        <c:crossBetween val="midCat"/>
      </c:valAx>
    </c:plotArea>
    <c:legend>
      <c:legendPos val="r"/>
      <c:layout>
        <c:manualLayout>
          <c:xMode val="edge"/>
          <c:yMode val="edge"/>
          <c:x val="0.77039680079360173"/>
          <c:y val="0.26099975463407021"/>
          <c:w val="0.22697852729038795"/>
          <c:h val="0.36084024150446542"/>
        </c:manualLayout>
      </c:layout>
      <c:overlay val="1"/>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chart>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Market for Rental</a:t>
            </a:r>
            <a:r>
              <a:rPr lang="en-US" baseline="0"/>
              <a:t> Units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'Scenario 2'!$C$5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'Scenario 2'!$C$6:$C$11</c:f>
              <c:numCache>
                <c:formatCode>General</c:formatCode>
                <c:ptCount val="6"/>
                <c:pt idx="0">
                  <c:v>500</c:v>
                </c:pt>
                <c:pt idx="1">
                  <c:v>750</c:v>
                </c:pt>
                <c:pt idx="2">
                  <c:v>1000</c:v>
                </c:pt>
                <c:pt idx="3">
                  <c:v>1250</c:v>
                </c:pt>
                <c:pt idx="4">
                  <c:v>1500</c:v>
                </c:pt>
                <c:pt idx="5">
                  <c:v>1750</c:v>
                </c:pt>
              </c:numCache>
            </c:numRef>
          </c:xVal>
          <c:yVal>
            <c:numRef>
              <c:f>'Scenario 2'!$B$6:$B$11</c:f>
              <c:numCache>
                <c:formatCode>_("$"* #,##0_);_("$"* \(#,##0\);_("$"* "-"??_);_(@_)</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0-9FF7-47C2-95DC-53FA5EAB6AB0}"/>
            </c:ext>
          </c:extLst>
        </c:ser>
        <c:ser>
          <c:idx val="1"/>
          <c:order val="1"/>
          <c:tx>
            <c:strRef>
              <c:f>'Scenario 2'!$D$5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2"/>
              <c:tx>
                <c:rich>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r>
                      <a:rPr lang="en-US"/>
                      <a:t>E</a:t>
                    </a:r>
                  </a:p>
                </c:rich>
              </c:tx>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1"/>
              <c:showCatName val="1"/>
              <c:showSerName val="0"/>
              <c:showPercent val="0"/>
              <c:showBubbleSize val="0"/>
              <c:extLst>
                <c:ext xmlns:c15="http://schemas.microsoft.com/office/drawing/2012/chart" uri="{CE6537A1-D6FC-4f65-9D91-7224C49458BB}">
                  <c15:spPr xmlns:c15="http://schemas.microsoft.com/office/drawing/2012/chart">
                    <a:prstGeom prst="wedgeRectCallout">
                      <a:avLst/>
                    </a:prstGeom>
                    <a:noFill/>
                    <a:ln>
                      <a:noFill/>
                    </a:ln>
                  </c15:spPr>
                  <c15:showDataLabelsRange val="0"/>
                </c:ext>
                <c:ext xmlns:c16="http://schemas.microsoft.com/office/drawing/2014/chart" uri="{C3380CC4-5D6E-409C-BE32-E72D297353CC}">
                  <c16:uniqueId val="{00000001-9FF7-47C2-95DC-53FA5EAB6AB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0"/>
              </c:ext>
            </c:extLst>
          </c:dLbls>
          <c:xVal>
            <c:numRef>
              <c:f>'Scenario 2'!$D$6:$D$11</c:f>
              <c:numCache>
                <c:formatCode>General</c:formatCode>
                <c:ptCount val="6"/>
                <c:pt idx="0">
                  <c:v>1500</c:v>
                </c:pt>
                <c:pt idx="1">
                  <c:v>1250</c:v>
                </c:pt>
                <c:pt idx="2">
                  <c:v>1000</c:v>
                </c:pt>
                <c:pt idx="3">
                  <c:v>750</c:v>
                </c:pt>
                <c:pt idx="4">
                  <c:v>500</c:v>
                </c:pt>
                <c:pt idx="5">
                  <c:v>250</c:v>
                </c:pt>
              </c:numCache>
            </c:numRef>
          </c:xVal>
          <c:yVal>
            <c:numRef>
              <c:f>'Scenario 2'!$B$6:$B$11</c:f>
              <c:numCache>
                <c:formatCode>_("$"* #,##0_);_("$"* \(#,##0\);_("$"* "-"??_);_(@_)</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2-9FF7-47C2-95DC-53FA5EAB6AB0}"/>
            </c:ext>
          </c:extLst>
        </c:ser>
        <c:ser>
          <c:idx val="2"/>
          <c:order val="2"/>
          <c:tx>
            <c:strRef>
              <c:f>'Scenario 2'!$I$10:$J$10</c:f>
              <c:strCache>
                <c:ptCount val="1"/>
                <c:pt idx="0">
                  <c:v>Part C: Price Ceiling Values</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'Scenario 2'!$I$13:$I$14</c:f>
              <c:numCache>
                <c:formatCode>General</c:formatCode>
                <c:ptCount val="2"/>
                <c:pt idx="0">
                  <c:v>1250</c:v>
                </c:pt>
                <c:pt idx="1">
                  <c:v>750</c:v>
                </c:pt>
              </c:numCache>
            </c:numRef>
          </c:xVal>
          <c:yVal>
            <c:numRef>
              <c:f>'Scenario 2'!$J$13:$J$14</c:f>
              <c:numCache>
                <c:formatCode>_("$"* #,##0.00_);_("$"* \(#,##0.00\);_("$"* "-"??_);_(@_)</c:formatCode>
                <c:ptCount val="2"/>
                <c:pt idx="0">
                  <c:v>2000</c:v>
                </c:pt>
                <c:pt idx="1">
                  <c:v>2000</c:v>
                </c:pt>
              </c:numCache>
            </c:numRef>
          </c:yVal>
          <c:smooth val="0"/>
          <c:extLst>
            <c:ext xmlns:c16="http://schemas.microsoft.com/office/drawing/2014/chart" uri="{C3380CC4-5D6E-409C-BE32-E72D297353CC}">
              <c16:uniqueId val="{00000003-9FF7-47C2-95DC-53FA5EAB6AB0}"/>
            </c:ext>
          </c:extLst>
        </c:ser>
        <c:dLbls>
          <c:showLegendKey val="0"/>
          <c:showVal val="0"/>
          <c:showCatName val="0"/>
          <c:showSerName val="0"/>
          <c:showPercent val="0"/>
          <c:showBubbleSize val="0"/>
        </c:dLbls>
        <c:axId val="211497887"/>
        <c:axId val="211499551"/>
      </c:scatterChart>
      <c:valAx>
        <c:axId val="21149788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Quanitity</a:t>
                </a:r>
                <a:r>
                  <a:rPr lang="en-US" baseline="0"/>
                  <a:t> (Number of Rental Units)</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9551"/>
        <c:crosses val="autoZero"/>
        <c:crossBetween val="midCat"/>
      </c:valAx>
      <c:valAx>
        <c:axId val="21149955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a:t>
                </a:r>
                <a:r>
                  <a:rPr lang="en-US" baseline="0"/>
                  <a:t> (Monthly Rent) </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_(&quot;$&quot;* #,##0_);_(&quot;$&quot;* \(#,##0\);_(&quot;$&quot;* &quot;-&quot;??_);_(@_)"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7887"/>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254</Words>
  <Characters>1451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Wesolowski, James A</dc:creator>
  <cp:keywords/>
  <dc:description/>
  <cp:lastModifiedBy>hp.solawright.selena.r</cp:lastModifiedBy>
  <cp:revision>2</cp:revision>
  <dcterms:created xsi:type="dcterms:W3CDTF">2022-10-11T15:56:00Z</dcterms:created>
  <dcterms:modified xsi:type="dcterms:W3CDTF">2022-10-11T15:56:00Z</dcterms:modified>
</cp:coreProperties>
</file>