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8B8E7C" w14:textId="77777777" w:rsidR="005811D8" w:rsidRPr="00E04623" w:rsidRDefault="005811D8" w:rsidP="005F3490">
      <w:pPr>
        <w:spacing w:after="0" w:line="480" w:lineRule="auto"/>
        <w:rPr>
          <w:rFonts w:ascii="Times New Roman" w:hAnsi="Times New Roman" w:cs="Times New Roman"/>
          <w:sz w:val="24"/>
          <w:szCs w:val="24"/>
        </w:rPr>
      </w:pPr>
    </w:p>
    <w:p w14:paraId="7BE6197D" w14:textId="77777777" w:rsidR="009C7E08" w:rsidRPr="00E04623" w:rsidRDefault="009C7E08" w:rsidP="005F3490">
      <w:pPr>
        <w:spacing w:after="0" w:line="480" w:lineRule="auto"/>
        <w:rPr>
          <w:rFonts w:ascii="Times New Roman" w:hAnsi="Times New Roman" w:cs="Times New Roman"/>
          <w:sz w:val="24"/>
          <w:szCs w:val="24"/>
        </w:rPr>
      </w:pPr>
    </w:p>
    <w:p w14:paraId="456CC692" w14:textId="77777777" w:rsidR="009C7E08" w:rsidRPr="00E04623" w:rsidRDefault="009C7E08" w:rsidP="005F3490">
      <w:pPr>
        <w:spacing w:after="0" w:line="480" w:lineRule="auto"/>
        <w:rPr>
          <w:rFonts w:ascii="Times New Roman" w:hAnsi="Times New Roman" w:cs="Times New Roman"/>
          <w:sz w:val="24"/>
          <w:szCs w:val="24"/>
        </w:rPr>
      </w:pPr>
    </w:p>
    <w:p w14:paraId="790ABA1C" w14:textId="77777777" w:rsidR="009C7E08" w:rsidRPr="00E04623" w:rsidRDefault="009C7E08" w:rsidP="005F3490">
      <w:pPr>
        <w:spacing w:after="0" w:line="480" w:lineRule="auto"/>
        <w:rPr>
          <w:rFonts w:ascii="Times New Roman" w:hAnsi="Times New Roman" w:cs="Times New Roman"/>
          <w:sz w:val="24"/>
          <w:szCs w:val="24"/>
        </w:rPr>
      </w:pPr>
    </w:p>
    <w:p w14:paraId="2B92B3AB" w14:textId="77777777" w:rsidR="009C7E08" w:rsidRPr="00E04623" w:rsidRDefault="009C7E08" w:rsidP="005F3490">
      <w:pPr>
        <w:spacing w:after="0" w:line="480" w:lineRule="auto"/>
        <w:rPr>
          <w:rFonts w:ascii="Times New Roman" w:hAnsi="Times New Roman" w:cs="Times New Roman"/>
          <w:sz w:val="24"/>
          <w:szCs w:val="24"/>
        </w:rPr>
      </w:pPr>
    </w:p>
    <w:p w14:paraId="36036563" w14:textId="77777777" w:rsidR="009C7E08" w:rsidRPr="00E04623" w:rsidRDefault="009C7E08" w:rsidP="005F3490">
      <w:pPr>
        <w:spacing w:after="0" w:line="480" w:lineRule="auto"/>
        <w:rPr>
          <w:rFonts w:ascii="Times New Roman" w:hAnsi="Times New Roman" w:cs="Times New Roman"/>
          <w:sz w:val="24"/>
          <w:szCs w:val="24"/>
        </w:rPr>
      </w:pPr>
    </w:p>
    <w:p w14:paraId="3B555EA2" w14:textId="536C7FCD" w:rsidR="009C7E08" w:rsidRDefault="00BA20B3" w:rsidP="003F5A00">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Jahaira Cubero</w:t>
      </w:r>
    </w:p>
    <w:p w14:paraId="6422045E" w14:textId="1CAE494A" w:rsidR="00174EC1" w:rsidRPr="00E04623" w:rsidRDefault="00BA20B3" w:rsidP="003F5A00">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Evaluation Report</w:t>
      </w:r>
    </w:p>
    <w:p w14:paraId="449DF9BE" w14:textId="77777777" w:rsidR="009C7E08" w:rsidRPr="00E04623" w:rsidRDefault="009C7E08" w:rsidP="003F5A00">
      <w:pPr>
        <w:spacing w:after="0" w:line="480" w:lineRule="auto"/>
        <w:jc w:val="center"/>
        <w:rPr>
          <w:rFonts w:ascii="Times New Roman" w:hAnsi="Times New Roman" w:cs="Times New Roman"/>
          <w:sz w:val="24"/>
          <w:szCs w:val="24"/>
        </w:rPr>
      </w:pPr>
      <w:r w:rsidRPr="00E04623">
        <w:rPr>
          <w:rFonts w:ascii="Times New Roman" w:hAnsi="Times New Roman" w:cs="Times New Roman"/>
          <w:sz w:val="24"/>
          <w:szCs w:val="24"/>
        </w:rPr>
        <w:t>Bryant &amp; Stratton College</w:t>
      </w:r>
    </w:p>
    <w:p w14:paraId="64EC476D" w14:textId="45DF3241" w:rsidR="009C7E08" w:rsidRDefault="00BA20B3" w:rsidP="003F5A00">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K. Nash</w:t>
      </w:r>
    </w:p>
    <w:p w14:paraId="37385D36" w14:textId="14FF2121" w:rsidR="003F5A00" w:rsidRPr="00E04623" w:rsidRDefault="00BA20B3" w:rsidP="003F5A00">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02/</w:t>
      </w:r>
      <w:r w:rsidR="0068505C">
        <w:rPr>
          <w:rFonts w:ascii="Times New Roman" w:hAnsi="Times New Roman" w:cs="Times New Roman"/>
          <w:sz w:val="24"/>
          <w:szCs w:val="24"/>
        </w:rPr>
        <w:t>27</w:t>
      </w:r>
      <w:r>
        <w:rPr>
          <w:rFonts w:ascii="Times New Roman" w:hAnsi="Times New Roman" w:cs="Times New Roman"/>
          <w:sz w:val="24"/>
          <w:szCs w:val="24"/>
        </w:rPr>
        <w:t>/2021</w:t>
      </w:r>
    </w:p>
    <w:p w14:paraId="750CF967" w14:textId="77777777" w:rsidR="009C7E08" w:rsidRPr="00E04623" w:rsidRDefault="009C7E08">
      <w:pPr>
        <w:rPr>
          <w:rFonts w:ascii="Times New Roman" w:hAnsi="Times New Roman" w:cs="Times New Roman"/>
          <w:sz w:val="24"/>
          <w:szCs w:val="24"/>
        </w:rPr>
      </w:pPr>
      <w:r w:rsidRPr="00E04623">
        <w:rPr>
          <w:rFonts w:ascii="Times New Roman" w:hAnsi="Times New Roman" w:cs="Times New Roman"/>
          <w:sz w:val="24"/>
          <w:szCs w:val="24"/>
        </w:rPr>
        <w:br w:type="page"/>
      </w:r>
    </w:p>
    <w:p w14:paraId="6D090FC0" w14:textId="550E206C" w:rsidR="00961A9A" w:rsidRPr="00E04623" w:rsidRDefault="00961A9A" w:rsidP="00E04623">
      <w:pPr>
        <w:tabs>
          <w:tab w:val="left" w:pos="7040"/>
        </w:tabs>
        <w:spacing w:after="0" w:line="480" w:lineRule="auto"/>
        <w:rPr>
          <w:rFonts w:ascii="Times New Roman" w:hAnsi="Times New Roman" w:cs="Times New Roman"/>
          <w:color w:val="000000" w:themeColor="text1"/>
          <w:sz w:val="24"/>
          <w:szCs w:val="24"/>
        </w:rPr>
      </w:pPr>
    </w:p>
    <w:p w14:paraId="45FA6145" w14:textId="7FFD432F" w:rsidR="00E04623" w:rsidRDefault="00E04623" w:rsidP="00174EC1">
      <w:pPr>
        <w:jc w:val="center"/>
        <w:rPr>
          <w:rFonts w:ascii="Times New Roman" w:hAnsi="Times New Roman" w:cs="Times New Roman"/>
          <w:b/>
          <w:noProof/>
          <w:sz w:val="24"/>
          <w:szCs w:val="24"/>
        </w:rPr>
      </w:pPr>
      <w:r w:rsidRPr="00E04623">
        <w:rPr>
          <w:rFonts w:ascii="Times New Roman" w:hAnsi="Times New Roman" w:cs="Times New Roman"/>
          <w:b/>
          <w:noProof/>
          <w:sz w:val="24"/>
          <w:szCs w:val="24"/>
        </w:rPr>
        <w:t>Introduction</w:t>
      </w:r>
    </w:p>
    <w:p w14:paraId="62041C16" w14:textId="77777777" w:rsidR="00BA20B3" w:rsidRDefault="00BA20B3" w:rsidP="00BA20B3">
      <w:pPr>
        <w:ind w:firstLine="720"/>
      </w:pPr>
      <w:r>
        <w:t>Suicide in adolescents can be connected to depression. The cause of this is the lack of attention when it comes to a person’s mental health. It creates depression which may bring along feelings that make you feel like you have no one or no help. Parents taking classes for adolescents can help stop the youth from taking their own life by taking the time to learn and understand their perspective on things. There are also many factors that play in part of this such as mental health, social, economic, and genetic influences or race, age, and gender.</w:t>
      </w:r>
    </w:p>
    <w:p w14:paraId="32076D98" w14:textId="77777777" w:rsidR="00BA20B3" w:rsidRDefault="00BA20B3" w:rsidP="00174EC1">
      <w:pPr>
        <w:jc w:val="center"/>
        <w:rPr>
          <w:rFonts w:ascii="Times New Roman" w:hAnsi="Times New Roman" w:cs="Times New Roman"/>
          <w:b/>
          <w:noProof/>
          <w:sz w:val="24"/>
          <w:szCs w:val="24"/>
        </w:rPr>
      </w:pPr>
    </w:p>
    <w:p w14:paraId="1A95E717" w14:textId="03CF103C" w:rsidR="00174EC1" w:rsidRDefault="00174EC1" w:rsidP="00174EC1">
      <w:pPr>
        <w:jc w:val="center"/>
        <w:rPr>
          <w:rFonts w:ascii="Times New Roman" w:hAnsi="Times New Roman" w:cs="Times New Roman"/>
          <w:b/>
          <w:noProof/>
          <w:sz w:val="24"/>
          <w:szCs w:val="24"/>
        </w:rPr>
      </w:pPr>
    </w:p>
    <w:p w14:paraId="39AE8E16" w14:textId="77777777" w:rsidR="00174EC1" w:rsidRPr="00174EC1" w:rsidRDefault="00174EC1" w:rsidP="00174EC1">
      <w:pPr>
        <w:jc w:val="center"/>
        <w:rPr>
          <w:rFonts w:ascii="Times New Roman" w:hAnsi="Times New Roman" w:cs="Times New Roman"/>
          <w:b/>
          <w:noProof/>
          <w:sz w:val="24"/>
          <w:szCs w:val="24"/>
        </w:rPr>
      </w:pPr>
    </w:p>
    <w:p w14:paraId="31725CF9" w14:textId="6532B6D3" w:rsidR="00E04623" w:rsidRDefault="00E04623" w:rsidP="00E04623">
      <w:pPr>
        <w:pStyle w:val="ListParagraph"/>
        <w:ind w:left="0"/>
        <w:jc w:val="center"/>
        <w:rPr>
          <w:rFonts w:ascii="Times New Roman" w:hAnsi="Times New Roman"/>
          <w:b/>
          <w:szCs w:val="24"/>
        </w:rPr>
      </w:pPr>
      <w:r w:rsidRPr="00E04623">
        <w:rPr>
          <w:rFonts w:ascii="Times New Roman" w:hAnsi="Times New Roman"/>
          <w:b/>
          <w:szCs w:val="24"/>
        </w:rPr>
        <w:t>Personal Bias(es)</w:t>
      </w:r>
    </w:p>
    <w:p w14:paraId="44E13EF4" w14:textId="77777777" w:rsidR="00BA20B3" w:rsidRDefault="00BA20B3" w:rsidP="00BA20B3">
      <w:pPr>
        <w:ind w:firstLine="720"/>
      </w:pPr>
      <w:r>
        <w:t xml:space="preserve">In the article The Factors Influencing Suicide Attempts Among Adolescents by </w:t>
      </w:r>
      <w:sdt>
        <w:sdtPr>
          <w:id w:val="358634234"/>
          <w:citation/>
        </w:sdtPr>
        <w:sdtEndPr/>
        <w:sdtContent>
          <w:r>
            <w:fldChar w:fldCharType="begin"/>
          </w:r>
          <w:r>
            <w:instrText xml:space="preserve"> CITATION Moh20 \l 1033 </w:instrText>
          </w:r>
          <w:r>
            <w:fldChar w:fldCharType="separate"/>
          </w:r>
          <w:r>
            <w:rPr>
              <w:noProof/>
            </w:rPr>
            <w:t>(Mohammad-Rafi Bazrafshan, 2020)</w:t>
          </w:r>
          <w:r>
            <w:fldChar w:fldCharType="end"/>
          </w:r>
        </w:sdtContent>
      </w:sdt>
      <w:r>
        <w:t xml:space="preserve"> speaks upon suicidal factors such as social factors, and family factors. When it comes to social factors the results show that relationships between the students’ interest in their field of study and the amount of stress, anxiety and depression experienced in them, so that reducing interest in the students’ field of study increases their psychological problems. These psychological problems expose the adolescents to high-risk behaviors such as suicidal attempts. Researchers have found that suicidal attempts can affect a person’s thinking or behavior, especially in adolescents. A sudden change in the family’s economic status can be a trigger suicide in adolescents. Those who commit suicide do not receive special psychological care before they die, while receiving specialized care reduces the chances of suicide in adolescents. Family factors shows that interaction between adolescents and parents is affected by the parents’ reaction to the adolescent’s sense of independence and freedom. The quality of the relationship between parents and adolescents significantly increases the chances of high-risk behaviors including suicidal behaviors in adolescents. The structure that has been formulated by the family can have negative consequences for the children of such families. Studies show that adolescents living in families where parents are not present due to death, divorce, or having a job that requires them to stay away from their family environment suffer from many emotional and psychological disorders, such as feelings, rejection, disappointment, anger, antisocial behavior, and depression which are associated with adolescents’ suicide. </w:t>
      </w:r>
    </w:p>
    <w:p w14:paraId="1038E22C" w14:textId="77777777" w:rsidR="00BA20B3" w:rsidRDefault="00BA20B3" w:rsidP="00BA20B3">
      <w:r>
        <w:tab/>
        <w:t>The suicide risk factors of this topic are mental health, social, economic, and genetic influences. Mental health includes depression, bipolar disorder, borderline personality disorder, and PTSD comes with heightened risk of suicidal thoughts or attempts</w:t>
      </w:r>
      <w:sdt>
        <w:sdtPr>
          <w:id w:val="270898913"/>
          <w:citation/>
        </w:sdtPr>
        <w:sdtEndPr/>
        <w:sdtContent>
          <w:r>
            <w:fldChar w:fldCharType="begin"/>
          </w:r>
          <w:r>
            <w:instrText xml:space="preserve"> CITATION Psy21 \l 1033 </w:instrText>
          </w:r>
          <w:r>
            <w:fldChar w:fldCharType="separate"/>
          </w:r>
          <w:r>
            <w:rPr>
              <w:noProof/>
            </w:rPr>
            <w:t xml:space="preserve"> (Psychology Today Sussex Publishers, 2021)</w:t>
          </w:r>
          <w:r>
            <w:fldChar w:fldCharType="end"/>
          </w:r>
        </w:sdtContent>
      </w:sdt>
      <w:r>
        <w:t xml:space="preserve">. Symptoms of despair, emptiness, or hopelessness may lead someone with depression, bipolar disorder, or PTSD to consider taking their own life; in disorders such as borderline personality disorder, ADHD, bipolar disorder, mood swings or impulsivity can contribute to suicidality. Social, economic, and genetic </w:t>
      </w:r>
      <w:r>
        <w:lastRenderedPageBreak/>
        <w:t xml:space="preserve">influences are those who make the decision to take their own life may attribute to one or several of wide range of physical or sociocultural factors, such as chronic pain or illness, unemployment or job loss, or serious legal troubles. Demographic factors such as age, race, or gender, as well as genetics, also appear to play a role in suicidal ideation and completion, though in some cases the root of their influence is multifaceted or not yet fully understood </w:t>
      </w:r>
      <w:sdt>
        <w:sdtPr>
          <w:id w:val="1518961602"/>
          <w:citation/>
        </w:sdtPr>
        <w:sdtEndPr/>
        <w:sdtContent>
          <w:r>
            <w:fldChar w:fldCharType="begin"/>
          </w:r>
          <w:r>
            <w:instrText xml:space="preserve"> CITATION Psy211 \l 1033 </w:instrText>
          </w:r>
          <w:r>
            <w:fldChar w:fldCharType="separate"/>
          </w:r>
          <w:r>
            <w:rPr>
              <w:noProof/>
            </w:rPr>
            <w:t>(Psychology Today Sussex Publishers, Risk Factors: Social, Economic, and Genetic Influences, 2021)</w:t>
          </w:r>
          <w:r>
            <w:fldChar w:fldCharType="end"/>
          </w:r>
        </w:sdtContent>
      </w:sdt>
      <w:r>
        <w:t>.</w:t>
      </w:r>
    </w:p>
    <w:p w14:paraId="7149690E" w14:textId="77777777" w:rsidR="00BA20B3" w:rsidRDefault="00BA20B3" w:rsidP="00BA20B3">
      <w:r>
        <w:tab/>
        <w:t xml:space="preserve">Studies show that cultural bias in psychiatry for African Americans was found that it was a belief that African Americans was too unsophisticated to get depressed or commit suicide, a characteristic attributed as well to other marginalized ethic groups such as Chinese or eastern European immigrants, said sherry Davis Molock, PHD and associate professor of psychology at George Washington University. Some of that bias remains, predisposing clinicians to errors in diagnosis and treatment, she added </w:t>
      </w:r>
      <w:sdt>
        <w:sdtPr>
          <w:id w:val="-1411389879"/>
          <w:citation/>
        </w:sdtPr>
        <w:sdtEndPr/>
        <w:sdtContent>
          <w:r>
            <w:fldChar w:fldCharType="begin"/>
          </w:r>
          <w:r>
            <w:instrText xml:space="preserve"> CITATION Lev07 \l 1033 </w:instrText>
          </w:r>
          <w:r>
            <w:fldChar w:fldCharType="separate"/>
          </w:r>
          <w:r>
            <w:rPr>
              <w:noProof/>
            </w:rPr>
            <w:t>(Levin, 2007)</w:t>
          </w:r>
          <w:r>
            <w:fldChar w:fldCharType="end"/>
          </w:r>
        </w:sdtContent>
      </w:sdt>
      <w:r>
        <w:t>. Gender nonconformity is a risk factor for suicidality. Especially pronounced when a young person comes out early about their sexuality or at all they usually experience conflicts with family or bullied and victimized. Clinicians need to be cautious about use of language, even when inadvertent, that might turn off young people who are during grappling with their sexual orientation. Asking a young man if he has a “girlfriend” can signal that a doctor or counselor is unwilling to face the boy’s true feelings of sexuality.</w:t>
      </w:r>
    </w:p>
    <w:p w14:paraId="659CA134" w14:textId="77777777" w:rsidR="00BA20B3" w:rsidRDefault="00BA20B3" w:rsidP="00E04623">
      <w:pPr>
        <w:pStyle w:val="ListParagraph"/>
        <w:ind w:left="0"/>
        <w:jc w:val="center"/>
        <w:rPr>
          <w:rFonts w:ascii="Times New Roman" w:hAnsi="Times New Roman"/>
          <w:b/>
          <w:szCs w:val="24"/>
        </w:rPr>
      </w:pPr>
    </w:p>
    <w:p w14:paraId="6F8B7623" w14:textId="544004A4" w:rsidR="00174EC1" w:rsidRDefault="00174EC1" w:rsidP="00E04623">
      <w:pPr>
        <w:pStyle w:val="ListParagraph"/>
        <w:ind w:left="0"/>
        <w:jc w:val="center"/>
        <w:rPr>
          <w:rFonts w:ascii="Times New Roman" w:hAnsi="Times New Roman"/>
          <w:b/>
          <w:szCs w:val="24"/>
        </w:rPr>
      </w:pPr>
    </w:p>
    <w:p w14:paraId="36FEDF05" w14:textId="6ABE9BAE" w:rsidR="00174EC1" w:rsidRDefault="00174EC1" w:rsidP="00E04623">
      <w:pPr>
        <w:pStyle w:val="ListParagraph"/>
        <w:ind w:left="0"/>
        <w:jc w:val="center"/>
        <w:rPr>
          <w:rFonts w:ascii="Times New Roman" w:hAnsi="Times New Roman"/>
          <w:b/>
          <w:szCs w:val="24"/>
        </w:rPr>
      </w:pPr>
    </w:p>
    <w:p w14:paraId="2D674C63" w14:textId="77777777" w:rsidR="00174EC1" w:rsidRPr="00E04623" w:rsidRDefault="00174EC1" w:rsidP="00E04623">
      <w:pPr>
        <w:pStyle w:val="ListParagraph"/>
        <w:ind w:left="0"/>
        <w:jc w:val="center"/>
        <w:rPr>
          <w:rFonts w:ascii="Times New Roman" w:hAnsi="Times New Roman"/>
          <w:b/>
          <w:szCs w:val="24"/>
        </w:rPr>
      </w:pPr>
    </w:p>
    <w:p w14:paraId="2ACAB72A" w14:textId="77777777" w:rsidR="00BA20B3" w:rsidRDefault="00E04623" w:rsidP="00E04623">
      <w:pPr>
        <w:jc w:val="center"/>
        <w:rPr>
          <w:rFonts w:ascii="Times New Roman" w:hAnsi="Times New Roman" w:cs="Times New Roman"/>
          <w:b/>
          <w:noProof/>
          <w:sz w:val="24"/>
          <w:szCs w:val="24"/>
        </w:rPr>
      </w:pPr>
      <w:r w:rsidRPr="00E04623">
        <w:rPr>
          <w:rFonts w:ascii="Times New Roman" w:hAnsi="Times New Roman" w:cs="Times New Roman"/>
          <w:b/>
          <w:noProof/>
          <w:sz w:val="24"/>
          <w:szCs w:val="24"/>
        </w:rPr>
        <w:t>Education and Outreach</w:t>
      </w:r>
    </w:p>
    <w:p w14:paraId="3DE186EC" w14:textId="77777777" w:rsidR="00BA20B3" w:rsidRDefault="00BA20B3" w:rsidP="00BA20B3">
      <w:pPr>
        <w:ind w:firstLine="720"/>
      </w:pPr>
      <w:r>
        <w:t xml:space="preserve">There are three resources that will be helpful for those who are going through suicidal attempts or thoughts. I found a website called Suicide Awareness and Prevention </w:t>
      </w:r>
      <w:sdt>
        <w:sdtPr>
          <w:id w:val="416132950"/>
          <w:citation/>
        </w:sdtPr>
        <w:sdtEndPr/>
        <w:sdtContent>
          <w:r>
            <w:fldChar w:fldCharType="begin"/>
          </w:r>
          <w:r>
            <w:instrText xml:space="preserve"> CITATION Beh18 \l 1033 </w:instrText>
          </w:r>
          <w:r>
            <w:fldChar w:fldCharType="separate"/>
          </w:r>
          <w:r>
            <w:rPr>
              <w:noProof/>
            </w:rPr>
            <w:t>(Behavioral, 2018)</w:t>
          </w:r>
          <w:r>
            <w:fldChar w:fldCharType="end"/>
          </w:r>
        </w:sdtContent>
      </w:sdt>
      <w:r>
        <w:t xml:space="preserve"> which gives you a list of organizations and foundations who are professionalized and have had personal experiences on suicide. The Jason Foundation is a not-for-profit organization that was found by Clark Flatt, after his 16-year-old son, Jason, committed suicide. Their tagline is keeping more than dreams alive and a quick look around their website shows the valuable work this organization is doing. The Trevor Project provides suicide prevention and crisis intervention to youth under the age of 25 who are struggling. Their focus is on gay, lesbian, bisexual, queer, transgender, and questioning (LGBTQ) young people. Mental Health First Aid is an organization that offers 8-hour course that teaches people how to respond in a suicide crisis. It teaches you how to identify the signs of suicide and substance abuse and helps you to understand what the person in crisis may be going through. Their website contains a blog with helpful advice and further resources. </w:t>
      </w:r>
    </w:p>
    <w:p w14:paraId="4A82A0FF" w14:textId="3987D387" w:rsidR="00E04623" w:rsidRDefault="00E04623" w:rsidP="00E04623">
      <w:pPr>
        <w:jc w:val="center"/>
        <w:rPr>
          <w:rFonts w:ascii="Times New Roman" w:hAnsi="Times New Roman" w:cs="Times New Roman"/>
          <w:sz w:val="24"/>
          <w:szCs w:val="24"/>
        </w:rPr>
      </w:pPr>
      <w:r w:rsidRPr="00E04623">
        <w:rPr>
          <w:rFonts w:ascii="Times New Roman" w:hAnsi="Times New Roman" w:cs="Times New Roman"/>
          <w:b/>
          <w:noProof/>
          <w:sz w:val="24"/>
          <w:szCs w:val="24"/>
        </w:rPr>
        <w:br/>
      </w:r>
    </w:p>
    <w:p w14:paraId="29E1783F" w14:textId="49CEDC22" w:rsidR="00174EC1" w:rsidRDefault="00174EC1" w:rsidP="00E04623">
      <w:pPr>
        <w:jc w:val="center"/>
        <w:rPr>
          <w:rFonts w:ascii="Times New Roman" w:hAnsi="Times New Roman" w:cs="Times New Roman"/>
          <w:sz w:val="24"/>
          <w:szCs w:val="24"/>
        </w:rPr>
      </w:pPr>
    </w:p>
    <w:p w14:paraId="1FDFD6A0" w14:textId="77777777" w:rsidR="00174EC1" w:rsidRPr="00E04623" w:rsidRDefault="00174EC1" w:rsidP="00E04623">
      <w:pPr>
        <w:jc w:val="center"/>
        <w:rPr>
          <w:rFonts w:ascii="Times New Roman" w:hAnsi="Times New Roman" w:cs="Times New Roman"/>
          <w:sz w:val="24"/>
          <w:szCs w:val="24"/>
        </w:rPr>
      </w:pPr>
    </w:p>
    <w:p w14:paraId="106720D2" w14:textId="454F07E4" w:rsidR="00E04623" w:rsidRDefault="00E04623" w:rsidP="00E04623">
      <w:pPr>
        <w:jc w:val="center"/>
        <w:rPr>
          <w:rFonts w:ascii="Times New Roman" w:hAnsi="Times New Roman" w:cs="Times New Roman"/>
          <w:b/>
          <w:noProof/>
          <w:sz w:val="24"/>
          <w:szCs w:val="24"/>
        </w:rPr>
      </w:pPr>
      <w:r w:rsidRPr="00E04623">
        <w:rPr>
          <w:rFonts w:ascii="Times New Roman" w:hAnsi="Times New Roman" w:cs="Times New Roman"/>
          <w:b/>
          <w:noProof/>
          <w:sz w:val="24"/>
          <w:szCs w:val="24"/>
        </w:rPr>
        <w:t>Conclusion</w:t>
      </w:r>
    </w:p>
    <w:p w14:paraId="16C7105F" w14:textId="77777777" w:rsidR="00BA20B3" w:rsidRDefault="00BA20B3" w:rsidP="00BA20B3">
      <w:pPr>
        <w:ind w:firstLine="720"/>
      </w:pPr>
      <w:r>
        <w:t xml:space="preserve">Suicide in adolescents can be connected to depression. Relationships between the students’ interest in their field of study and the amount of stress, anxiety and depression experienced in them. The interaction between adolescents and parents is affected by the parents’ reaction to the adolescent’s sense of independence and freedom. When the adolescent’s sense of independence and freedom makes them to behave like their peers, but the parents resist the adolescent’s desire, this action of the parents affects the adolescent-parent relationship. It is also found that clinicians need to be cautious on how they speak to the younger people when they’re in the state of mind to commit suicide or when and after a patient speaks upon his feelings and sexuality because it can trigger them. A safe care plan is needed and my idea of a care plan for those who are suicidal is keep accurate and through records of patients behaviors, follow protocol to give the patient a safe environment, try to encourage the patient to speak about their feelings but don’t force the issue, and also keep track of their mood and verbatim statements, this should be done every 15 minutes. </w:t>
      </w:r>
    </w:p>
    <w:p w14:paraId="03EE8D80" w14:textId="71B7088A" w:rsidR="00E04623" w:rsidRDefault="00E04623" w:rsidP="00E04623">
      <w:pPr>
        <w:jc w:val="center"/>
        <w:rPr>
          <w:rFonts w:ascii="Times New Roman" w:hAnsi="Times New Roman" w:cs="Times New Roman"/>
          <w:b/>
          <w:noProof/>
          <w:sz w:val="24"/>
          <w:szCs w:val="24"/>
        </w:rPr>
      </w:pPr>
    </w:p>
    <w:p w14:paraId="15CF9A4F" w14:textId="585F8C0F" w:rsidR="00E04623" w:rsidRDefault="00E04623" w:rsidP="00E04623">
      <w:pPr>
        <w:jc w:val="center"/>
        <w:rPr>
          <w:rFonts w:ascii="Times New Roman" w:hAnsi="Times New Roman" w:cs="Times New Roman"/>
          <w:b/>
          <w:noProof/>
          <w:sz w:val="24"/>
          <w:szCs w:val="24"/>
        </w:rPr>
      </w:pPr>
    </w:p>
    <w:p w14:paraId="648D009A" w14:textId="105CF608" w:rsidR="00E04623" w:rsidRDefault="00E04623" w:rsidP="00E04623">
      <w:pPr>
        <w:jc w:val="center"/>
        <w:rPr>
          <w:rFonts w:ascii="Times New Roman" w:hAnsi="Times New Roman" w:cs="Times New Roman"/>
          <w:b/>
          <w:noProof/>
          <w:sz w:val="24"/>
          <w:szCs w:val="24"/>
        </w:rPr>
      </w:pPr>
    </w:p>
    <w:p w14:paraId="59573B77" w14:textId="029124AB" w:rsidR="00E04623" w:rsidRDefault="00E04623" w:rsidP="00E04623">
      <w:pPr>
        <w:jc w:val="center"/>
        <w:rPr>
          <w:rFonts w:ascii="Times New Roman" w:hAnsi="Times New Roman" w:cs="Times New Roman"/>
          <w:b/>
          <w:noProof/>
          <w:sz w:val="24"/>
          <w:szCs w:val="24"/>
        </w:rPr>
      </w:pPr>
    </w:p>
    <w:p w14:paraId="15385ED5" w14:textId="2E9AD964" w:rsidR="00E04623" w:rsidRDefault="00E04623" w:rsidP="00E04623">
      <w:pPr>
        <w:jc w:val="center"/>
        <w:rPr>
          <w:rFonts w:ascii="Times New Roman" w:hAnsi="Times New Roman" w:cs="Times New Roman"/>
          <w:b/>
          <w:noProof/>
          <w:sz w:val="24"/>
          <w:szCs w:val="24"/>
        </w:rPr>
      </w:pPr>
    </w:p>
    <w:p w14:paraId="05928ACD" w14:textId="61E39A29" w:rsidR="00E04623" w:rsidRDefault="00E04623" w:rsidP="00E04623">
      <w:pPr>
        <w:jc w:val="center"/>
        <w:rPr>
          <w:rFonts w:ascii="Times New Roman" w:hAnsi="Times New Roman" w:cs="Times New Roman"/>
          <w:b/>
          <w:noProof/>
          <w:sz w:val="24"/>
          <w:szCs w:val="24"/>
        </w:rPr>
      </w:pPr>
    </w:p>
    <w:p w14:paraId="739DFFDE" w14:textId="0F6DD3D9" w:rsidR="00E04623" w:rsidRDefault="00E04623" w:rsidP="00E04623">
      <w:pPr>
        <w:jc w:val="center"/>
        <w:rPr>
          <w:rFonts w:ascii="Times New Roman" w:hAnsi="Times New Roman" w:cs="Times New Roman"/>
          <w:b/>
          <w:noProof/>
          <w:sz w:val="24"/>
          <w:szCs w:val="24"/>
        </w:rPr>
      </w:pPr>
    </w:p>
    <w:p w14:paraId="0364EA67" w14:textId="5181183B" w:rsidR="00E04623" w:rsidRDefault="00E04623" w:rsidP="00E04623">
      <w:pPr>
        <w:jc w:val="center"/>
        <w:rPr>
          <w:rFonts w:ascii="Times New Roman" w:hAnsi="Times New Roman" w:cs="Times New Roman"/>
          <w:b/>
          <w:noProof/>
          <w:sz w:val="24"/>
          <w:szCs w:val="24"/>
        </w:rPr>
      </w:pPr>
    </w:p>
    <w:p w14:paraId="608B6CB8" w14:textId="5FD6AE27" w:rsidR="00E04623" w:rsidRDefault="00E04623" w:rsidP="00E04623">
      <w:pPr>
        <w:jc w:val="center"/>
        <w:rPr>
          <w:rFonts w:ascii="Times New Roman" w:hAnsi="Times New Roman" w:cs="Times New Roman"/>
          <w:b/>
          <w:noProof/>
          <w:sz w:val="24"/>
          <w:szCs w:val="24"/>
        </w:rPr>
      </w:pPr>
    </w:p>
    <w:p w14:paraId="49E3E9CE" w14:textId="5C417A94" w:rsidR="00E04623" w:rsidRDefault="00E04623" w:rsidP="00E04623">
      <w:pPr>
        <w:jc w:val="center"/>
        <w:rPr>
          <w:rFonts w:ascii="Times New Roman" w:hAnsi="Times New Roman" w:cs="Times New Roman"/>
          <w:b/>
          <w:noProof/>
          <w:sz w:val="24"/>
          <w:szCs w:val="24"/>
        </w:rPr>
      </w:pPr>
    </w:p>
    <w:p w14:paraId="160B5F70" w14:textId="77777777" w:rsidR="007372F4" w:rsidRDefault="007372F4" w:rsidP="00BA20B3">
      <w:pPr>
        <w:ind w:left="3600" w:firstLine="720"/>
        <w:rPr>
          <w:rFonts w:ascii="Times New Roman" w:hAnsi="Times New Roman" w:cs="Times New Roman"/>
          <w:b/>
          <w:noProof/>
          <w:sz w:val="24"/>
          <w:szCs w:val="24"/>
        </w:rPr>
      </w:pPr>
    </w:p>
    <w:p w14:paraId="6B3060B2" w14:textId="77777777" w:rsidR="007372F4" w:rsidRDefault="007372F4" w:rsidP="00BA20B3">
      <w:pPr>
        <w:ind w:left="3600" w:firstLine="720"/>
        <w:rPr>
          <w:rFonts w:ascii="Times New Roman" w:hAnsi="Times New Roman" w:cs="Times New Roman"/>
          <w:b/>
          <w:noProof/>
          <w:sz w:val="24"/>
          <w:szCs w:val="24"/>
        </w:rPr>
      </w:pPr>
    </w:p>
    <w:p w14:paraId="58D8F667" w14:textId="77777777" w:rsidR="007372F4" w:rsidRDefault="007372F4" w:rsidP="00BA20B3">
      <w:pPr>
        <w:ind w:left="3600" w:firstLine="720"/>
        <w:rPr>
          <w:rFonts w:ascii="Times New Roman" w:hAnsi="Times New Roman" w:cs="Times New Roman"/>
          <w:b/>
          <w:noProof/>
          <w:sz w:val="24"/>
          <w:szCs w:val="24"/>
        </w:rPr>
      </w:pPr>
    </w:p>
    <w:p w14:paraId="20EE035E" w14:textId="77777777" w:rsidR="007372F4" w:rsidRDefault="007372F4" w:rsidP="00BA20B3">
      <w:pPr>
        <w:ind w:left="3600" w:firstLine="720"/>
        <w:rPr>
          <w:rFonts w:ascii="Times New Roman" w:hAnsi="Times New Roman" w:cs="Times New Roman"/>
          <w:b/>
          <w:noProof/>
          <w:sz w:val="24"/>
          <w:szCs w:val="24"/>
        </w:rPr>
      </w:pPr>
    </w:p>
    <w:p w14:paraId="3F347BA2" w14:textId="77777777" w:rsidR="007372F4" w:rsidRDefault="007372F4" w:rsidP="00BA20B3">
      <w:pPr>
        <w:ind w:left="3600" w:firstLine="720"/>
        <w:rPr>
          <w:rFonts w:ascii="Times New Roman" w:hAnsi="Times New Roman" w:cs="Times New Roman"/>
          <w:b/>
          <w:noProof/>
          <w:sz w:val="24"/>
          <w:szCs w:val="24"/>
        </w:rPr>
      </w:pPr>
    </w:p>
    <w:p w14:paraId="48C32DCF" w14:textId="5B77BED5" w:rsidR="00E04623" w:rsidRDefault="00E04623" w:rsidP="00BA20B3">
      <w:pPr>
        <w:ind w:left="3600" w:firstLine="720"/>
        <w:rPr>
          <w:rFonts w:ascii="Times New Roman" w:hAnsi="Times New Roman" w:cs="Times New Roman"/>
          <w:b/>
          <w:noProof/>
          <w:sz w:val="24"/>
          <w:szCs w:val="24"/>
        </w:rPr>
      </w:pPr>
      <w:r>
        <w:rPr>
          <w:rFonts w:ascii="Times New Roman" w:hAnsi="Times New Roman" w:cs="Times New Roman"/>
          <w:b/>
          <w:noProof/>
          <w:sz w:val="24"/>
          <w:szCs w:val="24"/>
        </w:rPr>
        <w:lastRenderedPageBreak/>
        <w:t xml:space="preserve">References </w:t>
      </w:r>
    </w:p>
    <w:sdt>
      <w:sdtPr>
        <w:id w:val="648715343"/>
        <w:bibliography/>
      </w:sdtPr>
      <w:sdtEndPr>
        <w:rPr>
          <w:rFonts w:eastAsiaTheme="minorEastAsia"/>
        </w:rPr>
      </w:sdtEndPr>
      <w:sdtContent>
        <w:p w14:paraId="692FF88A" w14:textId="77777777" w:rsidR="007372F4" w:rsidRDefault="007372F4" w:rsidP="007372F4">
          <w:pPr>
            <w:pStyle w:val="Bibliography"/>
            <w:ind w:left="720" w:hanging="720"/>
            <w:rPr>
              <w:noProof/>
              <w:sz w:val="24"/>
              <w:szCs w:val="24"/>
            </w:rPr>
          </w:pPr>
          <w:r>
            <w:fldChar w:fldCharType="begin"/>
          </w:r>
          <w:r>
            <w:instrText xml:space="preserve"> BIBLIOGRAPHY </w:instrText>
          </w:r>
          <w:r>
            <w:fldChar w:fldCharType="separate"/>
          </w:r>
          <w:r>
            <w:rPr>
              <w:noProof/>
            </w:rPr>
            <w:t>Behavioral, G. T. (2018, 09 19). Be Prepared: Suicide Awareness and Prevention Resources. Retrieved from https://www.georgetownbehavioral.com/blog/suicide-awareness-and-prevention</w:t>
          </w:r>
        </w:p>
        <w:p w14:paraId="705EBE17" w14:textId="77777777" w:rsidR="007372F4" w:rsidRDefault="007372F4" w:rsidP="007372F4">
          <w:pPr>
            <w:pStyle w:val="Bibliography"/>
            <w:ind w:left="720" w:hanging="720"/>
            <w:rPr>
              <w:noProof/>
            </w:rPr>
          </w:pPr>
          <w:r>
            <w:rPr>
              <w:noProof/>
            </w:rPr>
            <w:t>Levin, A. (2007, 08 17). Cultural Bias Complicates-Prevention Efforts. Retrieved from https://doi.org/10.1176/pn.42.16.0017</w:t>
          </w:r>
        </w:p>
        <w:p w14:paraId="7DAF7123" w14:textId="77777777" w:rsidR="007372F4" w:rsidRDefault="007372F4" w:rsidP="007372F4">
          <w:pPr>
            <w:pStyle w:val="Bibliography"/>
            <w:ind w:left="720" w:hanging="720"/>
            <w:rPr>
              <w:noProof/>
            </w:rPr>
          </w:pPr>
          <w:r>
            <w:rPr>
              <w:noProof/>
            </w:rPr>
            <w:t xml:space="preserve">Mohammad-Rafi Bazrafshan, H. D. (2020). The factors influencing suicide attempts among adolescents. </w:t>
          </w:r>
          <w:r>
            <w:rPr>
              <w:i/>
              <w:iCs/>
              <w:noProof/>
            </w:rPr>
            <w:t>Journal od Health Sciences and Surveillance System</w:t>
          </w:r>
          <w:r>
            <w:rPr>
              <w:noProof/>
            </w:rPr>
            <w:t>, pp. 8(1), 10-15. Retrieved from https://doi.org/10.30476/jhsss.2020.86164.1083</w:t>
          </w:r>
        </w:p>
        <w:p w14:paraId="4E94446C" w14:textId="77777777" w:rsidR="007372F4" w:rsidRDefault="007372F4" w:rsidP="007372F4">
          <w:pPr>
            <w:pStyle w:val="Bibliography"/>
            <w:ind w:left="720" w:hanging="720"/>
            <w:rPr>
              <w:noProof/>
            </w:rPr>
          </w:pPr>
          <w:r>
            <w:rPr>
              <w:noProof/>
            </w:rPr>
            <w:t>Psychology Today Sussex Publishers, L. (2021). Risk Factors: Mental Health. Retrieved from https://www.psychologytoday.com/us/basics/suicide/suicide-risk-factors-mental-health</w:t>
          </w:r>
        </w:p>
        <w:p w14:paraId="2911D50D" w14:textId="77777777" w:rsidR="007372F4" w:rsidRDefault="007372F4" w:rsidP="007372F4">
          <w:pPr>
            <w:pStyle w:val="Bibliography"/>
            <w:ind w:left="720" w:hanging="720"/>
            <w:rPr>
              <w:noProof/>
            </w:rPr>
          </w:pPr>
          <w:r>
            <w:rPr>
              <w:noProof/>
            </w:rPr>
            <w:t>Psychology Today Sussex Publishers, L. (2021). Risk Factors: Social, Economic, and Genetic Influences. Retrieved from https://www.psychologytoday.com/us/basics/suicide/suicide-risk-factors-social-economic-genetic</w:t>
          </w:r>
        </w:p>
        <w:p w14:paraId="2C272A31" w14:textId="77777777" w:rsidR="007372F4" w:rsidRDefault="007372F4" w:rsidP="007372F4">
          <w:r>
            <w:rPr>
              <w:b/>
              <w:bCs/>
              <w:noProof/>
            </w:rPr>
            <w:fldChar w:fldCharType="end"/>
          </w:r>
        </w:p>
      </w:sdtContent>
    </w:sdt>
    <w:p w14:paraId="758A64CD" w14:textId="77777777" w:rsidR="007372F4" w:rsidRDefault="007372F4" w:rsidP="007372F4"/>
    <w:p w14:paraId="594A05DB" w14:textId="77777777" w:rsidR="007372F4" w:rsidRDefault="007372F4" w:rsidP="007372F4"/>
    <w:p w14:paraId="1BE0C813" w14:textId="77777777" w:rsidR="007372F4" w:rsidRDefault="007372F4" w:rsidP="00BA20B3">
      <w:pPr>
        <w:ind w:left="3600" w:firstLine="720"/>
        <w:rPr>
          <w:rFonts w:ascii="Times New Roman" w:hAnsi="Times New Roman" w:cs="Times New Roman"/>
          <w:b/>
          <w:noProof/>
          <w:sz w:val="24"/>
          <w:szCs w:val="24"/>
        </w:rPr>
      </w:pPr>
    </w:p>
    <w:sdt>
      <w:sdtPr>
        <w:rPr>
          <w:rFonts w:eastAsiaTheme="minorEastAsia"/>
        </w:rPr>
        <w:id w:val="-573587230"/>
        <w:showingPlcHdr/>
        <w:bibliography/>
      </w:sdtPr>
      <w:sdtEndPr>
        <w:rPr>
          <w:rFonts w:eastAsiaTheme="majorEastAsia"/>
        </w:rPr>
      </w:sdtEndPr>
      <w:sdtContent>
        <w:p w14:paraId="0B738310" w14:textId="74DDEDC0" w:rsidR="00BA20B3" w:rsidRDefault="007372F4" w:rsidP="007372F4">
          <w:pPr>
            <w:pStyle w:val="Heading1"/>
          </w:pPr>
          <w:r>
            <w:rPr>
              <w:rFonts w:eastAsiaTheme="minorEastAsia"/>
            </w:rPr>
            <w:t xml:space="preserve">     </w:t>
          </w:r>
        </w:p>
      </w:sdtContent>
    </w:sdt>
    <w:p w14:paraId="012E3E9B" w14:textId="77777777" w:rsidR="00BA20B3" w:rsidRPr="00BA20B3" w:rsidRDefault="00BA20B3" w:rsidP="00BA20B3">
      <w:pPr>
        <w:ind w:left="3600" w:firstLine="720"/>
        <w:rPr>
          <w:rFonts w:ascii="Times New Roman" w:hAnsi="Times New Roman" w:cs="Times New Roman"/>
          <w:bCs/>
          <w:noProof/>
          <w:sz w:val="24"/>
          <w:szCs w:val="24"/>
        </w:rPr>
      </w:pPr>
    </w:p>
    <w:p w14:paraId="158CE1A7" w14:textId="0C601212" w:rsidR="007751BC" w:rsidRPr="00E04623" w:rsidRDefault="007751BC" w:rsidP="00E04623">
      <w:pPr>
        <w:jc w:val="center"/>
        <w:rPr>
          <w:rFonts w:ascii="Times New Roman" w:hAnsi="Times New Roman" w:cs="Times New Roman"/>
          <w:b/>
          <w:noProof/>
          <w:sz w:val="24"/>
          <w:szCs w:val="24"/>
        </w:rPr>
      </w:pPr>
    </w:p>
    <w:p w14:paraId="0FF449FD" w14:textId="77777777" w:rsidR="00961A9A" w:rsidRPr="00E04623" w:rsidRDefault="00961A9A" w:rsidP="005F3490">
      <w:pPr>
        <w:spacing w:after="0" w:line="480" w:lineRule="auto"/>
        <w:rPr>
          <w:rFonts w:ascii="Times New Roman" w:hAnsi="Times New Roman" w:cs="Times New Roman"/>
          <w:color w:val="000000" w:themeColor="text1"/>
          <w:sz w:val="24"/>
          <w:szCs w:val="24"/>
        </w:rPr>
      </w:pPr>
    </w:p>
    <w:p w14:paraId="29C71773" w14:textId="77777777" w:rsidR="00961A9A" w:rsidRPr="00E04623" w:rsidRDefault="00961A9A" w:rsidP="005F3490">
      <w:pPr>
        <w:spacing w:after="0" w:line="480" w:lineRule="auto"/>
        <w:rPr>
          <w:rFonts w:ascii="Times New Roman" w:hAnsi="Times New Roman" w:cs="Times New Roman"/>
          <w:color w:val="000000" w:themeColor="text1"/>
          <w:sz w:val="24"/>
          <w:szCs w:val="24"/>
        </w:rPr>
      </w:pPr>
    </w:p>
    <w:p w14:paraId="55DB5484" w14:textId="77777777" w:rsidR="00961A9A" w:rsidRPr="00E04623" w:rsidRDefault="00961A9A" w:rsidP="005F3490">
      <w:pPr>
        <w:spacing w:after="0" w:line="480" w:lineRule="auto"/>
        <w:rPr>
          <w:rFonts w:ascii="Times New Roman" w:hAnsi="Times New Roman" w:cs="Times New Roman"/>
          <w:color w:val="000000" w:themeColor="text1"/>
          <w:sz w:val="24"/>
          <w:szCs w:val="24"/>
        </w:rPr>
      </w:pPr>
    </w:p>
    <w:p w14:paraId="5A463F91" w14:textId="77777777" w:rsidR="00961A9A" w:rsidRPr="00E04623" w:rsidRDefault="00961A9A" w:rsidP="005F3490">
      <w:pPr>
        <w:spacing w:after="0" w:line="480" w:lineRule="auto"/>
        <w:rPr>
          <w:rFonts w:ascii="Times New Roman" w:hAnsi="Times New Roman" w:cs="Times New Roman"/>
          <w:color w:val="000000" w:themeColor="text1"/>
          <w:sz w:val="24"/>
          <w:szCs w:val="24"/>
        </w:rPr>
      </w:pPr>
    </w:p>
    <w:p w14:paraId="540181EE" w14:textId="77777777" w:rsidR="00961A9A" w:rsidRPr="00E04623" w:rsidRDefault="00961A9A" w:rsidP="005F3490">
      <w:pPr>
        <w:spacing w:after="0" w:line="480" w:lineRule="auto"/>
        <w:rPr>
          <w:rFonts w:ascii="Times New Roman" w:hAnsi="Times New Roman" w:cs="Times New Roman"/>
          <w:color w:val="000000" w:themeColor="text1"/>
          <w:sz w:val="24"/>
          <w:szCs w:val="24"/>
        </w:rPr>
      </w:pPr>
    </w:p>
    <w:p w14:paraId="58E262A6" w14:textId="77777777" w:rsidR="00961A9A" w:rsidRPr="00E04623" w:rsidRDefault="00961A9A" w:rsidP="005F3490">
      <w:pPr>
        <w:spacing w:after="0" w:line="480" w:lineRule="auto"/>
        <w:rPr>
          <w:rFonts w:ascii="Times New Roman" w:hAnsi="Times New Roman" w:cs="Times New Roman"/>
          <w:color w:val="000000" w:themeColor="text1"/>
          <w:sz w:val="24"/>
          <w:szCs w:val="24"/>
        </w:rPr>
      </w:pPr>
    </w:p>
    <w:p w14:paraId="7FEF5650" w14:textId="77777777" w:rsidR="00961A9A" w:rsidRPr="00E04623" w:rsidRDefault="00961A9A" w:rsidP="005F3490">
      <w:pPr>
        <w:spacing w:after="0" w:line="480" w:lineRule="auto"/>
        <w:rPr>
          <w:rFonts w:ascii="Times New Roman" w:hAnsi="Times New Roman" w:cs="Times New Roman"/>
          <w:color w:val="000000" w:themeColor="text1"/>
          <w:sz w:val="24"/>
          <w:szCs w:val="24"/>
        </w:rPr>
      </w:pPr>
    </w:p>
    <w:p w14:paraId="1BCF3D5E" w14:textId="77777777" w:rsidR="00961A9A" w:rsidRPr="00E04623" w:rsidRDefault="00961A9A" w:rsidP="005F3490">
      <w:pPr>
        <w:spacing w:after="0" w:line="480" w:lineRule="auto"/>
        <w:rPr>
          <w:rFonts w:ascii="Times New Roman" w:hAnsi="Times New Roman" w:cs="Times New Roman"/>
          <w:color w:val="000000" w:themeColor="text1"/>
          <w:sz w:val="24"/>
          <w:szCs w:val="24"/>
        </w:rPr>
      </w:pPr>
    </w:p>
    <w:p w14:paraId="7871EDD3" w14:textId="77777777" w:rsidR="00961A9A" w:rsidRPr="00E04623" w:rsidRDefault="00961A9A" w:rsidP="005F3490">
      <w:pPr>
        <w:spacing w:after="0" w:line="480" w:lineRule="auto"/>
        <w:rPr>
          <w:rFonts w:ascii="Times New Roman" w:hAnsi="Times New Roman" w:cs="Times New Roman"/>
          <w:color w:val="000000" w:themeColor="text1"/>
          <w:sz w:val="24"/>
          <w:szCs w:val="24"/>
        </w:rPr>
      </w:pPr>
    </w:p>
    <w:p w14:paraId="45BDBE13" w14:textId="77777777" w:rsidR="00961A9A" w:rsidRPr="00E04623" w:rsidRDefault="00961A9A" w:rsidP="005F3490">
      <w:pPr>
        <w:spacing w:after="0" w:line="480" w:lineRule="auto"/>
        <w:rPr>
          <w:rFonts w:ascii="Times New Roman" w:hAnsi="Times New Roman" w:cs="Times New Roman"/>
          <w:color w:val="000000" w:themeColor="text1"/>
          <w:sz w:val="24"/>
          <w:szCs w:val="24"/>
        </w:rPr>
      </w:pPr>
    </w:p>
    <w:p w14:paraId="1B31B3A6" w14:textId="77777777" w:rsidR="00961A9A" w:rsidRPr="00E04623" w:rsidRDefault="00961A9A" w:rsidP="005F3490">
      <w:pPr>
        <w:spacing w:after="0" w:line="480" w:lineRule="auto"/>
        <w:rPr>
          <w:rFonts w:ascii="Times New Roman" w:hAnsi="Times New Roman" w:cs="Times New Roman"/>
          <w:color w:val="000000" w:themeColor="text1"/>
          <w:sz w:val="24"/>
          <w:szCs w:val="24"/>
        </w:rPr>
      </w:pPr>
    </w:p>
    <w:p w14:paraId="5CC5AB7D" w14:textId="77777777" w:rsidR="00961A9A" w:rsidRPr="00E04623" w:rsidRDefault="00961A9A" w:rsidP="005F3490">
      <w:pPr>
        <w:spacing w:after="0" w:line="480" w:lineRule="auto"/>
        <w:rPr>
          <w:rFonts w:ascii="Times New Roman" w:hAnsi="Times New Roman" w:cs="Times New Roman"/>
          <w:color w:val="000000" w:themeColor="text1"/>
          <w:sz w:val="24"/>
          <w:szCs w:val="24"/>
        </w:rPr>
      </w:pPr>
    </w:p>
    <w:p w14:paraId="2650BF7E" w14:textId="77777777" w:rsidR="00961A9A" w:rsidRPr="00E04623" w:rsidRDefault="00961A9A" w:rsidP="005F3490">
      <w:pPr>
        <w:spacing w:after="0" w:line="480" w:lineRule="auto"/>
        <w:rPr>
          <w:rFonts w:ascii="Times New Roman" w:hAnsi="Times New Roman" w:cs="Times New Roman"/>
          <w:color w:val="000000" w:themeColor="text1"/>
          <w:sz w:val="24"/>
          <w:szCs w:val="24"/>
        </w:rPr>
      </w:pPr>
    </w:p>
    <w:p w14:paraId="02CEF987" w14:textId="77777777" w:rsidR="00961A9A" w:rsidRPr="00E04623" w:rsidRDefault="00961A9A" w:rsidP="005F3490">
      <w:pPr>
        <w:spacing w:after="0" w:line="480" w:lineRule="auto"/>
        <w:rPr>
          <w:rFonts w:ascii="Times New Roman" w:hAnsi="Times New Roman" w:cs="Times New Roman"/>
          <w:color w:val="000000" w:themeColor="text1"/>
          <w:sz w:val="24"/>
          <w:szCs w:val="24"/>
        </w:rPr>
      </w:pPr>
    </w:p>
    <w:p w14:paraId="59475EB9" w14:textId="77777777" w:rsidR="00961A9A" w:rsidRPr="00E04623" w:rsidRDefault="00961A9A" w:rsidP="005F3490">
      <w:pPr>
        <w:spacing w:after="0" w:line="480" w:lineRule="auto"/>
        <w:rPr>
          <w:rFonts w:ascii="Times New Roman" w:hAnsi="Times New Roman" w:cs="Times New Roman"/>
          <w:color w:val="000000" w:themeColor="text1"/>
          <w:sz w:val="24"/>
          <w:szCs w:val="24"/>
        </w:rPr>
      </w:pPr>
    </w:p>
    <w:p w14:paraId="2209BF45" w14:textId="77777777" w:rsidR="00961A9A" w:rsidRPr="00E04623" w:rsidRDefault="00961A9A" w:rsidP="005F3490">
      <w:pPr>
        <w:spacing w:after="0" w:line="480" w:lineRule="auto"/>
        <w:rPr>
          <w:rFonts w:ascii="Times New Roman" w:hAnsi="Times New Roman" w:cs="Times New Roman"/>
          <w:color w:val="000000" w:themeColor="text1"/>
          <w:sz w:val="24"/>
          <w:szCs w:val="24"/>
        </w:rPr>
      </w:pPr>
    </w:p>
    <w:p w14:paraId="6AFB7F4C" w14:textId="6EBACE70" w:rsidR="00961A9A" w:rsidRDefault="00961A9A" w:rsidP="005F3490">
      <w:pPr>
        <w:spacing w:after="0" w:line="480" w:lineRule="auto"/>
        <w:rPr>
          <w:rFonts w:ascii="Times New Roman" w:hAnsi="Times New Roman" w:cs="Times New Roman"/>
          <w:color w:val="000000" w:themeColor="text1"/>
          <w:sz w:val="24"/>
          <w:szCs w:val="24"/>
        </w:rPr>
      </w:pPr>
    </w:p>
    <w:p w14:paraId="0F8EA38A" w14:textId="6E249A8E" w:rsidR="00572C75" w:rsidRDefault="00572C75" w:rsidP="005F3490">
      <w:pPr>
        <w:spacing w:after="0" w:line="480" w:lineRule="auto"/>
        <w:rPr>
          <w:rFonts w:ascii="Times New Roman" w:hAnsi="Times New Roman" w:cs="Times New Roman"/>
          <w:color w:val="000000" w:themeColor="text1"/>
          <w:sz w:val="24"/>
          <w:szCs w:val="24"/>
        </w:rPr>
      </w:pPr>
    </w:p>
    <w:p w14:paraId="0D4A26FC" w14:textId="70C64C83" w:rsidR="00572C75" w:rsidRDefault="00572C75" w:rsidP="005F3490">
      <w:pPr>
        <w:spacing w:after="0" w:line="480" w:lineRule="auto"/>
        <w:rPr>
          <w:rFonts w:ascii="Times New Roman" w:hAnsi="Times New Roman" w:cs="Times New Roman"/>
          <w:color w:val="000000" w:themeColor="text1"/>
          <w:sz w:val="24"/>
          <w:szCs w:val="24"/>
        </w:rPr>
      </w:pPr>
    </w:p>
    <w:p w14:paraId="02723BEC" w14:textId="737189CC" w:rsidR="00572C75" w:rsidRDefault="00572C75" w:rsidP="005F3490">
      <w:pPr>
        <w:spacing w:after="0" w:line="480" w:lineRule="auto"/>
        <w:rPr>
          <w:rFonts w:ascii="Times New Roman" w:hAnsi="Times New Roman" w:cs="Times New Roman"/>
          <w:color w:val="000000" w:themeColor="text1"/>
          <w:sz w:val="24"/>
          <w:szCs w:val="24"/>
        </w:rPr>
      </w:pPr>
    </w:p>
    <w:p w14:paraId="0C6008E6" w14:textId="77777777" w:rsidR="000A3A86" w:rsidRPr="00E04623" w:rsidRDefault="000A3A86" w:rsidP="000A3A86">
      <w:pPr>
        <w:spacing w:after="0" w:line="480" w:lineRule="auto"/>
        <w:rPr>
          <w:rFonts w:ascii="Times New Roman" w:hAnsi="Times New Roman" w:cs="Times New Roman"/>
          <w:color w:val="000000" w:themeColor="text1"/>
          <w:sz w:val="24"/>
          <w:szCs w:val="24"/>
        </w:rPr>
      </w:pPr>
    </w:p>
    <w:sectPr w:rsidR="000A3A86" w:rsidRPr="00E04623" w:rsidSect="009E42E0">
      <w:head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3D2679" w14:textId="77777777" w:rsidR="008421A2" w:rsidRDefault="008421A2" w:rsidP="009C7E08">
      <w:pPr>
        <w:spacing w:after="0" w:line="240" w:lineRule="auto"/>
      </w:pPr>
      <w:r>
        <w:separator/>
      </w:r>
    </w:p>
  </w:endnote>
  <w:endnote w:type="continuationSeparator" w:id="0">
    <w:p w14:paraId="5B7A4060" w14:textId="77777777" w:rsidR="008421A2" w:rsidRDefault="008421A2" w:rsidP="009C7E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FA7918A" w14:textId="77777777" w:rsidR="008421A2" w:rsidRDefault="008421A2" w:rsidP="009C7E08">
      <w:pPr>
        <w:spacing w:after="0" w:line="240" w:lineRule="auto"/>
      </w:pPr>
      <w:r>
        <w:separator/>
      </w:r>
    </w:p>
  </w:footnote>
  <w:footnote w:type="continuationSeparator" w:id="0">
    <w:p w14:paraId="042136EE" w14:textId="77777777" w:rsidR="008421A2" w:rsidRDefault="008421A2" w:rsidP="009C7E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174F6E" w14:textId="77777777" w:rsidR="004F6F0F" w:rsidRDefault="004F6F0F" w:rsidP="004F6F0F">
    <w:pPr>
      <w:pStyle w:val="Header"/>
      <w:rPr>
        <w:rFonts w:ascii="Times New Roman" w:hAnsi="Times New Roman" w:cs="Times New Roman"/>
        <w:sz w:val="24"/>
        <w:szCs w:val="24"/>
      </w:rPr>
    </w:pPr>
    <w:r>
      <w:rPr>
        <w:rFonts w:ascii="Times New Roman" w:hAnsi="Times New Roman" w:cs="Times New Roman"/>
        <w:sz w:val="24"/>
        <w:szCs w:val="24"/>
      </w:rPr>
      <w:t>Evaluation Report</w:t>
    </w:r>
  </w:p>
  <w:p w14:paraId="146FC201" w14:textId="44EFB59E" w:rsidR="009C7E08" w:rsidRPr="009C7E08" w:rsidRDefault="00572C75" w:rsidP="00EE42D8">
    <w:pPr>
      <w:pStyle w:val="Header"/>
      <w:rPr>
        <w:rFonts w:ascii="Times New Roman" w:hAnsi="Times New Roman" w:cs="Times New Roman"/>
        <w:sz w:val="24"/>
        <w:szCs w:val="24"/>
      </w:rPr>
    </w:pPr>
    <w:r>
      <w:rPr>
        <w:rFonts w:ascii="Times New Roman" w:eastAsia="Times New Roman" w:hAnsi="Times New Roman"/>
        <w:sz w:val="24"/>
        <w:szCs w:val="24"/>
        <w:bdr w:val="none" w:sz="0" w:space="0" w:color="auto" w:frame="1"/>
        <w:lang w:val="en-GB" w:eastAsia="en-GB"/>
      </w:rPr>
      <w:tab/>
    </w:r>
    <w:r>
      <w:rPr>
        <w:rFonts w:ascii="Times New Roman" w:eastAsia="Times New Roman" w:hAnsi="Times New Roman"/>
        <w:sz w:val="24"/>
        <w:szCs w:val="24"/>
        <w:bdr w:val="none" w:sz="0" w:space="0" w:color="auto" w:frame="1"/>
        <w:lang w:val="en-GB" w:eastAsia="en-GB"/>
      </w:rPr>
      <w:tab/>
    </w:r>
    <w:r w:rsidRPr="007F1279">
      <w:rPr>
        <w:rFonts w:ascii="Times New Roman" w:hAnsi="Times New Roman" w:cs="Times New Roman"/>
        <w:sz w:val="24"/>
        <w:szCs w:val="24"/>
      </w:rPr>
      <w:t xml:space="preserve"> </w:t>
    </w:r>
    <w:r w:rsidR="00D324EA" w:rsidRPr="007F1279">
      <w:rPr>
        <w:rFonts w:ascii="Times New Roman" w:hAnsi="Times New Roman" w:cs="Times New Roman"/>
        <w:sz w:val="24"/>
        <w:szCs w:val="24"/>
      </w:rPr>
      <w:fldChar w:fldCharType="begin"/>
    </w:r>
    <w:r w:rsidR="007F1279" w:rsidRPr="007F1279">
      <w:rPr>
        <w:rFonts w:ascii="Times New Roman" w:hAnsi="Times New Roman" w:cs="Times New Roman"/>
        <w:sz w:val="24"/>
        <w:szCs w:val="24"/>
      </w:rPr>
      <w:instrText xml:space="preserve"> PAGE   \* MERGEFORMAT </w:instrText>
    </w:r>
    <w:r w:rsidR="00D324EA" w:rsidRPr="007F1279">
      <w:rPr>
        <w:rFonts w:ascii="Times New Roman" w:hAnsi="Times New Roman" w:cs="Times New Roman"/>
        <w:sz w:val="24"/>
        <w:szCs w:val="24"/>
      </w:rPr>
      <w:fldChar w:fldCharType="separate"/>
    </w:r>
    <w:r w:rsidR="009C38CD">
      <w:rPr>
        <w:rFonts w:ascii="Times New Roman" w:hAnsi="Times New Roman" w:cs="Times New Roman"/>
        <w:noProof/>
        <w:sz w:val="24"/>
        <w:szCs w:val="24"/>
      </w:rPr>
      <w:t>2</w:t>
    </w:r>
    <w:r w:rsidR="00D324EA" w:rsidRPr="007F1279">
      <w:rPr>
        <w:rFonts w:ascii="Times New Roman" w:hAnsi="Times New Roman" w:cs="Times New Roman"/>
        <w:sz w:val="24"/>
        <w:szCs w:val="24"/>
      </w:rPr>
      <w:fldChar w:fldCharType="end"/>
    </w:r>
  </w:p>
  <w:p w14:paraId="1E726932" w14:textId="77777777" w:rsidR="009C7E08" w:rsidRPr="009C7E08" w:rsidRDefault="009C7E08">
    <w:pPr>
      <w:pStyle w:val="Header"/>
      <w:rPr>
        <w:rFonts w:ascii="Times New Roman" w:hAnsi="Times New Roman" w:cs="Times New Roman"/>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3B2414" w14:textId="77777777" w:rsidR="004F6F0F" w:rsidRDefault="004F6F0F" w:rsidP="009E42E0">
    <w:pPr>
      <w:pStyle w:val="Header"/>
      <w:rPr>
        <w:rFonts w:ascii="Times New Roman" w:hAnsi="Times New Roman" w:cs="Times New Roman"/>
        <w:sz w:val="24"/>
        <w:szCs w:val="24"/>
      </w:rPr>
    </w:pPr>
    <w:r>
      <w:rPr>
        <w:rFonts w:ascii="Times New Roman" w:hAnsi="Times New Roman" w:cs="Times New Roman"/>
        <w:sz w:val="24"/>
        <w:szCs w:val="24"/>
      </w:rPr>
      <w:t>Evaluation Report</w:t>
    </w:r>
  </w:p>
  <w:p w14:paraId="71E8D456" w14:textId="62D26A0B" w:rsidR="009E42E0" w:rsidRPr="009C7E08" w:rsidRDefault="009E42E0" w:rsidP="009E42E0">
    <w:pPr>
      <w:pStyle w:val="Heade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7F1279">
      <w:rPr>
        <w:rFonts w:ascii="Times New Roman" w:hAnsi="Times New Roman" w:cs="Times New Roman"/>
        <w:sz w:val="24"/>
        <w:szCs w:val="24"/>
      </w:rPr>
      <w:fldChar w:fldCharType="begin"/>
    </w:r>
    <w:r w:rsidRPr="007F1279">
      <w:rPr>
        <w:rFonts w:ascii="Times New Roman" w:hAnsi="Times New Roman" w:cs="Times New Roman"/>
        <w:sz w:val="24"/>
        <w:szCs w:val="24"/>
      </w:rPr>
      <w:instrText xml:space="preserve"> PAGE   \* MERGEFORMAT </w:instrText>
    </w:r>
    <w:r w:rsidRPr="007F1279">
      <w:rPr>
        <w:rFonts w:ascii="Times New Roman" w:hAnsi="Times New Roman" w:cs="Times New Roman"/>
        <w:sz w:val="24"/>
        <w:szCs w:val="24"/>
      </w:rPr>
      <w:fldChar w:fldCharType="separate"/>
    </w:r>
    <w:r w:rsidR="009C38CD">
      <w:rPr>
        <w:rFonts w:ascii="Times New Roman" w:hAnsi="Times New Roman" w:cs="Times New Roman"/>
        <w:noProof/>
        <w:sz w:val="24"/>
        <w:szCs w:val="24"/>
      </w:rPr>
      <w:t>1</w:t>
    </w:r>
    <w:r w:rsidRPr="007F1279">
      <w:rPr>
        <w:rFonts w:ascii="Times New Roman" w:hAnsi="Times New Roman" w:cs="Times New Roman"/>
        <w:sz w:val="24"/>
        <w:szCs w:val="24"/>
      </w:rPr>
      <w:fldChar w:fldCharType="end"/>
    </w:r>
  </w:p>
  <w:p w14:paraId="0C26CA00" w14:textId="77777777" w:rsidR="007F1279" w:rsidRDefault="007F127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8A44585"/>
    <w:multiLevelType w:val="hybridMultilevel"/>
    <w:tmpl w:val="82D0E3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DUyM7CwMDUwNrW0tDBT0lEKTi0uzszPAymwqAUAIlcRpywAAAA="/>
  </w:docVars>
  <w:rsids>
    <w:rsidRoot w:val="005F3490"/>
    <w:rsid w:val="000A3A86"/>
    <w:rsid w:val="000D57FB"/>
    <w:rsid w:val="00153B95"/>
    <w:rsid w:val="00174EC1"/>
    <w:rsid w:val="00240D5E"/>
    <w:rsid w:val="002D4D16"/>
    <w:rsid w:val="002D6359"/>
    <w:rsid w:val="003B6D36"/>
    <w:rsid w:val="003F5A00"/>
    <w:rsid w:val="00405A86"/>
    <w:rsid w:val="00410882"/>
    <w:rsid w:val="004839D7"/>
    <w:rsid w:val="004F6F0F"/>
    <w:rsid w:val="00572C75"/>
    <w:rsid w:val="005811D8"/>
    <w:rsid w:val="005F3490"/>
    <w:rsid w:val="00647361"/>
    <w:rsid w:val="0068505C"/>
    <w:rsid w:val="006A32C2"/>
    <w:rsid w:val="007372F4"/>
    <w:rsid w:val="007751BC"/>
    <w:rsid w:val="007F1279"/>
    <w:rsid w:val="008421A2"/>
    <w:rsid w:val="00891B0A"/>
    <w:rsid w:val="00961A9A"/>
    <w:rsid w:val="009A7F8B"/>
    <w:rsid w:val="009C38CD"/>
    <w:rsid w:val="009C7E08"/>
    <w:rsid w:val="009D4005"/>
    <w:rsid w:val="009D4A92"/>
    <w:rsid w:val="009E42E0"/>
    <w:rsid w:val="00A31DE1"/>
    <w:rsid w:val="00A605A9"/>
    <w:rsid w:val="00A95AD8"/>
    <w:rsid w:val="00AF0DE8"/>
    <w:rsid w:val="00BA20B3"/>
    <w:rsid w:val="00BE6C8D"/>
    <w:rsid w:val="00BF5339"/>
    <w:rsid w:val="00C42743"/>
    <w:rsid w:val="00CF5B09"/>
    <w:rsid w:val="00D324EA"/>
    <w:rsid w:val="00D821D9"/>
    <w:rsid w:val="00E04623"/>
    <w:rsid w:val="00E34E79"/>
    <w:rsid w:val="00E60E17"/>
    <w:rsid w:val="00EB1124"/>
    <w:rsid w:val="00EE0424"/>
    <w:rsid w:val="00EE42D8"/>
    <w:rsid w:val="00F3715C"/>
    <w:rsid w:val="00F60F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7CB7E"/>
  <w15:docId w15:val="{7BFC6673-D3B7-43BF-B8D9-E2138F3D6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A20B3"/>
    <w:pPr>
      <w:keepNext/>
      <w:keepLines/>
      <w:spacing w:before="240" w:after="0" w:line="259" w:lineRule="auto"/>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7E0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C7E08"/>
  </w:style>
  <w:style w:type="paragraph" w:styleId="Footer">
    <w:name w:val="footer"/>
    <w:basedOn w:val="Normal"/>
    <w:link w:val="FooterChar"/>
    <w:uiPriority w:val="99"/>
    <w:unhideWhenUsed/>
    <w:rsid w:val="009C7E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7E08"/>
  </w:style>
  <w:style w:type="paragraph" w:styleId="ListParagraph">
    <w:name w:val="List Paragraph"/>
    <w:basedOn w:val="Normal"/>
    <w:uiPriority w:val="99"/>
    <w:qFormat/>
    <w:rsid w:val="00E04623"/>
    <w:pPr>
      <w:ind w:left="720"/>
      <w:contextualSpacing/>
    </w:pPr>
    <w:rPr>
      <w:rFonts w:ascii="Arial" w:eastAsia="Calibri" w:hAnsi="Arial" w:cs="Times New Roman"/>
      <w:sz w:val="24"/>
    </w:rPr>
  </w:style>
  <w:style w:type="character" w:customStyle="1" w:styleId="selectable">
    <w:name w:val="selectable"/>
    <w:basedOn w:val="DefaultParagraphFont"/>
    <w:rsid w:val="00E04623"/>
  </w:style>
  <w:style w:type="character" w:styleId="Emphasis">
    <w:name w:val="Emphasis"/>
    <w:basedOn w:val="DefaultParagraphFont"/>
    <w:uiPriority w:val="20"/>
    <w:qFormat/>
    <w:rsid w:val="006A32C2"/>
    <w:rPr>
      <w:i/>
      <w:iCs/>
    </w:rPr>
  </w:style>
  <w:style w:type="character" w:customStyle="1" w:styleId="Heading1Char">
    <w:name w:val="Heading 1 Char"/>
    <w:basedOn w:val="DefaultParagraphFont"/>
    <w:link w:val="Heading1"/>
    <w:uiPriority w:val="9"/>
    <w:rsid w:val="00BA20B3"/>
    <w:rPr>
      <w:rFonts w:asciiTheme="majorHAnsi" w:eastAsiaTheme="majorEastAsia" w:hAnsiTheme="majorHAnsi" w:cstheme="majorBidi"/>
      <w:color w:val="365F91" w:themeColor="accent1" w:themeShade="BF"/>
      <w:sz w:val="32"/>
      <w:szCs w:val="32"/>
    </w:rPr>
  </w:style>
  <w:style w:type="paragraph" w:styleId="Bibliography">
    <w:name w:val="Bibliography"/>
    <w:basedOn w:val="Normal"/>
    <w:next w:val="Normal"/>
    <w:uiPriority w:val="37"/>
    <w:unhideWhenUsed/>
    <w:rsid w:val="00BA20B3"/>
    <w:pPr>
      <w:spacing w:after="160" w:line="259" w:lineRule="auto"/>
    </w:pPr>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Moh20</b:Tag>
    <b:SourceType>ArticleInAPeriodical</b:SourceType>
    <b:Guid>{7DA47CE5-2FA7-46D2-BA33-E0CD8E75FFEF}</b:Guid>
    <b:Author>
      <b:Author>
        <b:NameList>
          <b:Person>
            <b:Last>Mohammad-Rafi Bazrafshan</b:Last>
            <b:First>Hamed</b:First>
            <b:Middle>Delam</b:Middle>
          </b:Person>
        </b:NameList>
      </b:Author>
    </b:Author>
    <b:Title>The factors influencing suicide attempts among adolescents</b:Title>
    <b:PeriodicalTitle>Journal od Health Sciences and Surveillance System</b:PeriodicalTitle>
    <b:Year>2020</b:Year>
    <b:Pages>8(1), 10-15</b:Pages>
    <b:URL>https://doi.org/10.30476/jhsss.2020.86164.1083</b:URL>
    <b:RefOrder>1</b:RefOrder>
  </b:Source>
  <b:Source>
    <b:Tag>Psy21</b:Tag>
    <b:SourceType>ArticleInAPeriodical</b:SourceType>
    <b:Guid>{6429CA54-6BCA-40F9-B2CA-5CF9E5EACE76}</b:Guid>
    <b:Author>
      <b:Author>
        <b:NameList>
          <b:Person>
            <b:Last>Psychology Today Sussex Publishers</b:Last>
            <b:First>LLC</b:First>
          </b:Person>
        </b:NameList>
      </b:Author>
    </b:Author>
    <b:Title>Risk Factors: Mental Health</b:Title>
    <b:Year>2021</b:Year>
    <b:URL>https://www.psychologytoday.com/us/basics/suicide/suicide-risk-factors-mental-health</b:URL>
    <b:RefOrder>2</b:RefOrder>
  </b:Source>
  <b:Source>
    <b:Tag>Psy211</b:Tag>
    <b:SourceType>ArticleInAPeriodical</b:SourceType>
    <b:Guid>{86A0A182-7567-4B9D-A69E-9D2914E12E15}</b:Guid>
    <b:Author>
      <b:Author>
        <b:NameList>
          <b:Person>
            <b:Last>Psychology Today Sussex Publishers</b:Last>
            <b:First>LLC</b:First>
          </b:Person>
        </b:NameList>
      </b:Author>
    </b:Author>
    <b:Title>Risk Factors: Social, Economic, and Genetic Influences</b:Title>
    <b:Year>2021</b:Year>
    <b:URL>https://www.psychologytoday.com/us/basics/suicide/suicide-risk-factors-social-economic-genetic</b:URL>
    <b:RefOrder>3</b:RefOrder>
  </b:Source>
  <b:Source>
    <b:Tag>Lev07</b:Tag>
    <b:SourceType>ArticleInAPeriodical</b:SourceType>
    <b:Guid>{0A997123-6919-4A6A-95A9-39552A2476B7}</b:Guid>
    <b:Author>
      <b:Author>
        <b:NameList>
          <b:Person>
            <b:Last>Levin</b:Last>
            <b:First>Aaron</b:First>
          </b:Person>
        </b:NameList>
      </b:Author>
    </b:Author>
    <b:Title>Cultural Bias Complicates-Prevention Efforts</b:Title>
    <b:Year>2007</b:Year>
    <b:Month>08</b:Month>
    <b:Day>17</b:Day>
    <b:URL>https://doi.org/10.1176/pn.42.16.0017</b:URL>
    <b:RefOrder>4</b:RefOrder>
  </b:Source>
  <b:Source>
    <b:Tag>Beh18</b:Tag>
    <b:SourceType>ArticleInAPeriodical</b:SourceType>
    <b:Guid>{67EB6861-DBE9-4F28-95A5-966047141315}</b:Guid>
    <b:Author>
      <b:Author>
        <b:NameList>
          <b:Person>
            <b:Last>Behavioral</b:Last>
            <b:First>George</b:First>
            <b:Middle>Town</b:Middle>
          </b:Person>
        </b:NameList>
      </b:Author>
    </b:Author>
    <b:Title>Be Prepared: Suicide Awareness and Prevention Resources</b:Title>
    <b:Year>2018</b:Year>
    <b:Month>09</b:Month>
    <b:Day>19</b:Day>
    <b:URL>https://www.georgetownbehavioral.com/blog/suicide-awareness-and-prevention</b:URL>
    <b:RefOrder>5</b:RefOrder>
  </b:Source>
</b:Sources>
</file>

<file path=customXml/itemProps1.xml><?xml version="1.0" encoding="utf-8"?>
<ds:datastoreItem xmlns:ds="http://schemas.openxmlformats.org/officeDocument/2006/customXml" ds:itemID="{C628F799-78FF-4511-B0F3-14721A09A5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6</Pages>
  <Words>1220</Words>
  <Characters>6956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Bryant and Stratton College</Company>
  <LinksUpToDate>false</LinksUpToDate>
  <CharactersWithSpaces>8160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Karen Nash</dc:creator>
  <cp:lastModifiedBy>jahaira cubero</cp:lastModifiedBy>
  <cp:revision>6</cp:revision>
  <dcterms:created xsi:type="dcterms:W3CDTF">2021-02-11T21:09:00Z</dcterms:created>
  <dcterms:modified xsi:type="dcterms:W3CDTF">2021-02-24T02:31:00Z</dcterms:modified>
</cp:coreProperties>
</file>