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7FB9D4" w14:textId="04750C50" w:rsidR="00DE33C7" w:rsidRPr="00F2279B" w:rsidRDefault="00DE33C7" w:rsidP="00F2279B">
      <w:pPr>
        <w:pStyle w:val="Heading1"/>
        <w:rPr>
          <w:rFonts w:ascii="Book Antiqua" w:hAnsi="Book Antiqua"/>
          <w:sz w:val="24"/>
        </w:rPr>
      </w:pPr>
      <w:r w:rsidRPr="00C13E3A">
        <w:rPr>
          <w:rFonts w:ascii="Book Antiqua" w:hAnsi="Book Antiqua"/>
          <w:noProof/>
          <w:sz w:val="24"/>
        </w:rPr>
        <w:drawing>
          <wp:anchor distT="0" distB="0" distL="114300" distR="114300" simplePos="0" relativeHeight="251659264" behindDoc="0" locked="0" layoutInCell="1" allowOverlap="1" wp14:anchorId="17C52847" wp14:editId="14F0DD6D">
            <wp:simplePos x="0" y="0"/>
            <wp:positionH relativeFrom="margin">
              <wp:align>center</wp:align>
            </wp:positionH>
            <wp:positionV relativeFrom="paragraph">
              <wp:posOffset>-588397</wp:posOffset>
            </wp:positionV>
            <wp:extent cx="2623930" cy="384058"/>
            <wp:effectExtent l="0" t="0" r="5080" b="0"/>
            <wp:wrapNone/>
            <wp:docPr id="1" name="Picture 1" descr="Bryant &amp; Stratton Colleg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SC_Lockup_Black.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623930" cy="384058"/>
                    </a:xfrm>
                    <a:prstGeom prst="rect">
                      <a:avLst/>
                    </a:prstGeom>
                  </pic:spPr>
                </pic:pic>
              </a:graphicData>
            </a:graphic>
            <wp14:sizeRelH relativeFrom="page">
              <wp14:pctWidth>0</wp14:pctWidth>
            </wp14:sizeRelH>
            <wp14:sizeRelV relativeFrom="page">
              <wp14:pctHeight>0</wp14:pctHeight>
            </wp14:sizeRelV>
          </wp:anchor>
        </w:drawing>
      </w:r>
      <w:r w:rsidR="00BA0D11" w:rsidRPr="00FD70B9">
        <w:rPr>
          <w:rFonts w:ascii="Book Antiqua" w:hAnsi="Book Antiqua"/>
          <w:sz w:val="24"/>
        </w:rPr>
        <w:t>ECON195 –</w:t>
      </w:r>
      <w:r w:rsidR="00F2279B">
        <w:rPr>
          <w:rFonts w:ascii="Book Antiqua" w:hAnsi="Book Antiqua"/>
          <w:sz w:val="24"/>
        </w:rPr>
        <w:t xml:space="preserve"> Macroeconomics </w:t>
      </w:r>
      <w:r w:rsidR="00F2279B">
        <w:rPr>
          <w:rFonts w:ascii="Book Antiqua" w:hAnsi="Book Antiqua"/>
          <w:sz w:val="24"/>
        </w:rPr>
        <w:br/>
        <w:t>Final ePortfolio Submission Template</w:t>
      </w:r>
    </w:p>
    <w:p w14:paraId="3B970250" w14:textId="62ED0062" w:rsidR="00CC31F2" w:rsidRPr="00FD70B9" w:rsidRDefault="00CC31F2">
      <w:pPr>
        <w:rPr>
          <w:rFonts w:ascii="Book Antiqua" w:hAnsi="Book Antiqua"/>
        </w:rPr>
      </w:pPr>
    </w:p>
    <w:p w14:paraId="3189E303" w14:textId="77777777" w:rsidR="00FC3D12" w:rsidRPr="00FD70B9" w:rsidRDefault="00FC3D12" w:rsidP="00FC3D12">
      <w:pPr>
        <w:rPr>
          <w:rFonts w:ascii="Book Antiqua" w:hAnsi="Book Antiqua"/>
          <w:sz w:val="24"/>
        </w:rPr>
      </w:pPr>
      <w:r w:rsidRPr="00FD70B9">
        <w:rPr>
          <w:rFonts w:ascii="Book Antiqua" w:hAnsi="Book Antiqua"/>
          <w:sz w:val="24"/>
          <w:highlight w:val="yellow"/>
        </w:rPr>
        <w:t xml:space="preserve">Follow the directions in yellow highlights – delete the highlighted areas </w:t>
      </w:r>
      <w:r>
        <w:rPr>
          <w:rFonts w:ascii="Book Antiqua" w:hAnsi="Book Antiqua"/>
          <w:sz w:val="24"/>
          <w:highlight w:val="yellow"/>
        </w:rPr>
        <w:t xml:space="preserve">or highlights </w:t>
      </w:r>
      <w:r w:rsidRPr="00FD70B9">
        <w:rPr>
          <w:rFonts w:ascii="Book Antiqua" w:hAnsi="Book Antiqua"/>
          <w:sz w:val="24"/>
          <w:highlight w:val="yellow"/>
        </w:rPr>
        <w:t>after completing</w:t>
      </w:r>
      <w:r w:rsidRPr="00951FEF">
        <w:rPr>
          <w:rFonts w:ascii="Book Antiqua" w:hAnsi="Book Antiqua"/>
          <w:sz w:val="24"/>
          <w:highlight w:val="yellow"/>
        </w:rPr>
        <w:t>. No highlights should remain after completing the document</w:t>
      </w:r>
    </w:p>
    <w:p w14:paraId="11D6C7FA" w14:textId="77777777" w:rsidR="00FC3D12" w:rsidRPr="00FD70B9" w:rsidRDefault="00FC3D12" w:rsidP="00FC3D12">
      <w:pPr>
        <w:rPr>
          <w:rFonts w:ascii="Book Antiqua" w:hAnsi="Book Antiqua"/>
          <w:sz w:val="24"/>
        </w:rPr>
      </w:pPr>
    </w:p>
    <w:p w14:paraId="77C28C25" w14:textId="77777777" w:rsidR="00FC3D12" w:rsidRPr="00FD70B9" w:rsidRDefault="00FC3D12" w:rsidP="00FC3D12">
      <w:pPr>
        <w:rPr>
          <w:rFonts w:ascii="Book Antiqua" w:hAnsi="Book Antiqua"/>
          <w:sz w:val="24"/>
        </w:rPr>
      </w:pPr>
      <w:r w:rsidRPr="00FD70B9">
        <w:rPr>
          <w:rFonts w:ascii="Book Antiqua" w:hAnsi="Book Antiqua"/>
          <w:sz w:val="24"/>
          <w:highlight w:val="yellow"/>
        </w:rPr>
        <w:t xml:space="preserve">Save the document using the following convention: </w:t>
      </w:r>
      <w:proofErr w:type="spellStart"/>
      <w:r w:rsidRPr="00FD70B9">
        <w:rPr>
          <w:rFonts w:ascii="Book Antiqua" w:hAnsi="Book Antiqua"/>
          <w:sz w:val="24"/>
          <w:highlight w:val="yellow"/>
        </w:rPr>
        <w:t>LastName</w:t>
      </w:r>
      <w:proofErr w:type="spellEnd"/>
      <w:r w:rsidRPr="00FD70B9">
        <w:rPr>
          <w:rFonts w:ascii="Book Antiqua" w:hAnsi="Book Antiqua"/>
          <w:sz w:val="24"/>
          <w:highlight w:val="yellow"/>
        </w:rPr>
        <w:t xml:space="preserve"> ECON195 </w:t>
      </w:r>
      <w:proofErr w:type="spellStart"/>
      <w:r w:rsidRPr="00FD70B9">
        <w:rPr>
          <w:rFonts w:ascii="Book Antiqua" w:hAnsi="Book Antiqua"/>
          <w:sz w:val="24"/>
          <w:highlight w:val="yellow"/>
        </w:rPr>
        <w:t>ePortfolio</w:t>
      </w:r>
      <w:proofErr w:type="spellEnd"/>
    </w:p>
    <w:p w14:paraId="50AC1ED2" w14:textId="77777777" w:rsidR="00B53817" w:rsidRPr="00FD70B9" w:rsidRDefault="00B53817">
      <w:pPr>
        <w:rPr>
          <w:rFonts w:ascii="Book Antiqua" w:hAnsi="Book Antiqua"/>
          <w:sz w:val="24"/>
        </w:rPr>
      </w:pPr>
    </w:p>
    <w:p w14:paraId="195E914C" w14:textId="77777777" w:rsidR="00BA0D11" w:rsidRPr="00FD70B9" w:rsidRDefault="00BA0D11">
      <w:pPr>
        <w:rPr>
          <w:rFonts w:ascii="Book Antiqua" w:hAnsi="Book Antiqua"/>
          <w:sz w:val="24"/>
        </w:rPr>
      </w:pPr>
    </w:p>
    <w:p w14:paraId="0B40535A" w14:textId="49B499C3" w:rsidR="00FC3D12" w:rsidRPr="00951FEF" w:rsidRDefault="003A2422" w:rsidP="00FC3D12">
      <w:pPr>
        <w:spacing w:line="480" w:lineRule="auto"/>
        <w:jc w:val="center"/>
        <w:rPr>
          <w:rFonts w:ascii="Times New Roman" w:hAnsi="Times New Roman" w:cs="Times New Roman"/>
          <w:sz w:val="24"/>
        </w:rPr>
      </w:pPr>
      <w:r>
        <w:rPr>
          <w:rFonts w:ascii="Times New Roman" w:hAnsi="Times New Roman" w:cs="Times New Roman"/>
          <w:sz w:val="24"/>
        </w:rPr>
        <w:t>Carolyn Clyde Hay</w:t>
      </w:r>
      <w:r w:rsidR="00C157F5">
        <w:rPr>
          <w:rFonts w:ascii="Times New Roman" w:hAnsi="Times New Roman" w:cs="Times New Roman"/>
          <w:sz w:val="24"/>
        </w:rPr>
        <w:t>nes</w:t>
      </w:r>
    </w:p>
    <w:p w14:paraId="3DCA6076" w14:textId="77777777" w:rsidR="00FC3D12" w:rsidRPr="00951FEF" w:rsidRDefault="00FC3D12" w:rsidP="00FC3D12">
      <w:pPr>
        <w:spacing w:line="480" w:lineRule="auto"/>
        <w:jc w:val="center"/>
        <w:rPr>
          <w:rFonts w:ascii="Times New Roman" w:hAnsi="Times New Roman" w:cs="Times New Roman"/>
          <w:sz w:val="24"/>
        </w:rPr>
      </w:pPr>
      <w:r w:rsidRPr="00951FEF">
        <w:rPr>
          <w:rFonts w:ascii="Times New Roman" w:hAnsi="Times New Roman" w:cs="Times New Roman"/>
          <w:sz w:val="24"/>
        </w:rPr>
        <w:t>Bryant &amp; Stratton College</w:t>
      </w:r>
    </w:p>
    <w:p w14:paraId="17E3749F" w14:textId="77777777" w:rsidR="00FC3D12" w:rsidRDefault="00FC3D12" w:rsidP="00FC3D12">
      <w:pPr>
        <w:spacing w:line="480" w:lineRule="auto"/>
        <w:jc w:val="center"/>
        <w:rPr>
          <w:rFonts w:ascii="Book Antiqua" w:hAnsi="Book Antiqua"/>
          <w:sz w:val="24"/>
        </w:rPr>
      </w:pPr>
      <w:r w:rsidRPr="006C7507">
        <w:rPr>
          <w:rFonts w:ascii="Book Antiqua" w:hAnsi="Book Antiqua"/>
          <w:sz w:val="24"/>
        </w:rPr>
        <w:t>ECON1</w:t>
      </w:r>
      <w:r>
        <w:rPr>
          <w:rFonts w:ascii="Book Antiqua" w:hAnsi="Book Antiqua"/>
          <w:sz w:val="24"/>
        </w:rPr>
        <w:t>95 – Macroeconomics</w:t>
      </w:r>
    </w:p>
    <w:p w14:paraId="0BFDC4DE" w14:textId="753E7F11" w:rsidR="00FC3D12" w:rsidRPr="00951FEF" w:rsidRDefault="002E333E" w:rsidP="00FC3D12">
      <w:pPr>
        <w:spacing w:line="480" w:lineRule="auto"/>
        <w:jc w:val="center"/>
        <w:rPr>
          <w:rFonts w:ascii="Times New Roman" w:hAnsi="Times New Roman" w:cs="Times New Roman"/>
          <w:sz w:val="24"/>
        </w:rPr>
      </w:pPr>
      <w:r>
        <w:rPr>
          <w:rFonts w:ascii="Times New Roman" w:hAnsi="Times New Roman" w:cs="Times New Roman"/>
          <w:sz w:val="24"/>
        </w:rPr>
        <w:t>Edward Bakker</w:t>
      </w:r>
    </w:p>
    <w:p w14:paraId="2176289B" w14:textId="482B4215" w:rsidR="00FC3D12" w:rsidRPr="00951FEF" w:rsidRDefault="00C157F5" w:rsidP="00FC3D12">
      <w:pPr>
        <w:spacing w:line="480" w:lineRule="auto"/>
        <w:jc w:val="center"/>
        <w:rPr>
          <w:rFonts w:ascii="Times New Roman" w:hAnsi="Times New Roman" w:cs="Times New Roman"/>
          <w:sz w:val="24"/>
        </w:rPr>
      </w:pPr>
      <w:r>
        <w:rPr>
          <w:rFonts w:ascii="Times New Roman" w:hAnsi="Times New Roman" w:cs="Times New Roman"/>
          <w:sz w:val="24"/>
        </w:rPr>
        <w:t>August 15, 2022</w:t>
      </w:r>
    </w:p>
    <w:p w14:paraId="20AF2DA0" w14:textId="021FF218" w:rsidR="00BA0D11" w:rsidRPr="00FD70B9" w:rsidRDefault="00BA0D11">
      <w:pPr>
        <w:rPr>
          <w:rFonts w:ascii="Book Antiqua" w:hAnsi="Book Antiqua"/>
          <w:sz w:val="24"/>
        </w:rPr>
      </w:pPr>
    </w:p>
    <w:p w14:paraId="1E9724F7" w14:textId="4B78B5C9" w:rsidR="00BA0D11" w:rsidRPr="00FD70B9" w:rsidRDefault="00BA0D11">
      <w:pPr>
        <w:rPr>
          <w:rFonts w:ascii="Book Antiqua" w:hAnsi="Book Antiqua"/>
          <w:b/>
          <w:bCs/>
          <w:sz w:val="24"/>
        </w:rPr>
      </w:pPr>
      <w:r w:rsidRPr="00FD70B9">
        <w:rPr>
          <w:rFonts w:ascii="Book Antiqua" w:hAnsi="Book Antiqua"/>
          <w:b/>
          <w:bCs/>
          <w:sz w:val="24"/>
        </w:rPr>
        <w:t>Scenario 1 Findings and Analysis</w:t>
      </w:r>
    </w:p>
    <w:p w14:paraId="70E2AC25" w14:textId="5459BA29" w:rsidR="00BA0D11" w:rsidRPr="00FD70B9" w:rsidRDefault="00BA0D11">
      <w:pPr>
        <w:rPr>
          <w:rFonts w:ascii="Book Antiqua" w:hAnsi="Book Antiqua"/>
          <w:sz w:val="24"/>
        </w:rPr>
      </w:pPr>
    </w:p>
    <w:p w14:paraId="5430E2CD" w14:textId="77777777" w:rsidR="00FC3D12" w:rsidRDefault="00FC3D12" w:rsidP="00FC3D12">
      <w:pPr>
        <w:rPr>
          <w:rFonts w:ascii="Book Antiqua" w:hAnsi="Book Antiqua"/>
          <w:sz w:val="24"/>
        </w:rPr>
      </w:pPr>
      <w:r>
        <w:rPr>
          <w:rFonts w:ascii="Book Antiqua" w:hAnsi="Book Antiqua"/>
          <w:sz w:val="24"/>
        </w:rPr>
        <w:t>To: Audit Department</w:t>
      </w:r>
    </w:p>
    <w:p w14:paraId="7279AB69" w14:textId="77777777" w:rsidR="00FC3D12" w:rsidRDefault="00FC3D12" w:rsidP="00FC3D12">
      <w:pPr>
        <w:rPr>
          <w:rFonts w:ascii="Book Antiqua" w:hAnsi="Book Antiqua"/>
          <w:sz w:val="24"/>
        </w:rPr>
      </w:pPr>
    </w:p>
    <w:p w14:paraId="40B1CC49" w14:textId="2E506175" w:rsidR="00FC3D12" w:rsidRDefault="00FC3D12" w:rsidP="00FC3D12">
      <w:pPr>
        <w:rPr>
          <w:rFonts w:ascii="Book Antiqua" w:hAnsi="Book Antiqua"/>
          <w:sz w:val="24"/>
        </w:rPr>
      </w:pPr>
      <w:r>
        <w:rPr>
          <w:rFonts w:ascii="Book Antiqua" w:hAnsi="Book Antiqua"/>
          <w:sz w:val="24"/>
        </w:rPr>
        <w:t xml:space="preserve">From: </w:t>
      </w:r>
      <w:r w:rsidR="003A2422">
        <w:rPr>
          <w:rFonts w:ascii="Book Antiqua" w:hAnsi="Book Antiqua"/>
          <w:sz w:val="24"/>
        </w:rPr>
        <w:t>Carolyn Hayens</w:t>
      </w:r>
    </w:p>
    <w:p w14:paraId="7FF6F125" w14:textId="77777777" w:rsidR="00FC3D12" w:rsidRDefault="00FC3D12" w:rsidP="00FC3D12">
      <w:pPr>
        <w:rPr>
          <w:rFonts w:ascii="Book Antiqua" w:hAnsi="Book Antiqua"/>
          <w:sz w:val="24"/>
        </w:rPr>
      </w:pPr>
    </w:p>
    <w:p w14:paraId="3F8E1679" w14:textId="6CBFA650" w:rsidR="00FC3D12" w:rsidRDefault="00FC3D12" w:rsidP="00FC3D12">
      <w:pPr>
        <w:rPr>
          <w:rFonts w:ascii="Book Antiqua" w:hAnsi="Book Antiqua"/>
          <w:sz w:val="24"/>
        </w:rPr>
      </w:pPr>
      <w:r>
        <w:rPr>
          <w:rFonts w:ascii="Book Antiqua" w:hAnsi="Book Antiqua"/>
          <w:sz w:val="24"/>
        </w:rPr>
        <w:t xml:space="preserve">Date: </w:t>
      </w:r>
      <w:r w:rsidR="00C157F5">
        <w:rPr>
          <w:rFonts w:ascii="Book Antiqua" w:hAnsi="Book Antiqua"/>
          <w:sz w:val="24"/>
        </w:rPr>
        <w:t>August 15, 2022</w:t>
      </w:r>
    </w:p>
    <w:p w14:paraId="201B5CBA" w14:textId="083EA65B" w:rsidR="00FC3D12" w:rsidRPr="00FD70B9" w:rsidRDefault="00FC3D12" w:rsidP="00FC3D12">
      <w:pPr>
        <w:rPr>
          <w:rFonts w:ascii="Book Antiqua" w:hAnsi="Book Antiqua"/>
          <w:sz w:val="24"/>
        </w:rPr>
      </w:pPr>
      <w:r>
        <w:rPr>
          <w:rFonts w:ascii="Book Antiqua" w:hAnsi="Book Antiqua"/>
          <w:sz w:val="24"/>
        </w:rPr>
        <w:t>RE: Maintenance Cost Explanation</w:t>
      </w:r>
    </w:p>
    <w:p w14:paraId="566D1283" w14:textId="0A0CE4F5" w:rsidR="009700F3" w:rsidRDefault="009700F3" w:rsidP="00FC3D12">
      <w:pPr>
        <w:rPr>
          <w:rFonts w:ascii="Book Antiqua" w:hAnsi="Book Antiqua"/>
          <w:sz w:val="24"/>
        </w:rPr>
      </w:pPr>
      <w:r>
        <w:rPr>
          <w:noProof/>
        </w:rPr>
        <w:drawing>
          <wp:inline distT="0" distB="0" distL="0" distR="0" wp14:anchorId="2F82CBBA" wp14:editId="47CE6B12">
            <wp:extent cx="2793207" cy="2886075"/>
            <wp:effectExtent l="0" t="0" r="7620" b="9525"/>
            <wp:docPr id="3" name="Chart 3">
              <a:extLst xmlns:a="http://schemas.openxmlformats.org/drawingml/2006/main">
                <a:ext uri="{FF2B5EF4-FFF2-40B4-BE49-F238E27FC236}">
                  <a16:creationId xmlns:a16="http://schemas.microsoft.com/office/drawing/2014/main" id="{61F78690-AC27-47A9-A752-DF08306CBE9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2BB83F61" w14:textId="187B388D" w:rsidR="008F436E" w:rsidRPr="00FD70B9" w:rsidRDefault="008F436E" w:rsidP="00FC3D12">
      <w:pPr>
        <w:rPr>
          <w:rFonts w:ascii="Book Antiqua" w:hAnsi="Book Antiqua"/>
          <w:sz w:val="24"/>
        </w:rPr>
      </w:pPr>
      <w:r>
        <w:rPr>
          <w:rFonts w:ascii="Book Antiqua" w:hAnsi="Book Antiqua"/>
          <w:sz w:val="24"/>
        </w:rPr>
        <w:lastRenderedPageBreak/>
        <w:tab/>
        <w:t>The increase in repair costs are being caused by the rise in the demand and supply and also the cost of the screws which is just a example had also gone up because as more of the consumers do their own work which would be the repairs and building things for their businesses or other people businesses, so that means that more screws are being needed and the production of the screws have increased as well and this would cause an impact on the economic eq</w:t>
      </w:r>
      <w:r w:rsidR="006866B0">
        <w:rPr>
          <w:rFonts w:ascii="Book Antiqua" w:hAnsi="Book Antiqua"/>
          <w:sz w:val="24"/>
        </w:rPr>
        <w:t xml:space="preserve">uilibrium and there would also be a increased in the demand because there would be excess demand to develop at the initial price. The excess demand will cause the prices for screws to rise and if the consumers decide to </w:t>
      </w:r>
      <w:r w:rsidR="001066C2">
        <w:rPr>
          <w:rFonts w:ascii="Book Antiqua" w:hAnsi="Book Antiqua"/>
          <w:sz w:val="24"/>
        </w:rPr>
        <w:t>red</w:t>
      </w:r>
      <w:r w:rsidR="00047296">
        <w:rPr>
          <w:rFonts w:ascii="Book Antiqua" w:hAnsi="Book Antiqua"/>
          <w:sz w:val="24"/>
        </w:rPr>
        <w:t>uce the projects that they is working on or just do less projects and that would make the prices of the screw decrease and that why when the supply decreased then the need for production would also decrease as well and the demand decreases real fast then the equilibrium prices would fall and that would cause a lower equilibrium quantity and that when the equilibrium is balanced and that would make the prices become more stable and that would be good for the consumers because they would be able to the supplies that they need and they would be paying a decent price.</w:t>
      </w:r>
    </w:p>
    <w:p w14:paraId="0CD40C37" w14:textId="77777777" w:rsidR="00FC3D12" w:rsidRPr="00FD70B9" w:rsidRDefault="00FC3D12" w:rsidP="00FC3D12">
      <w:pPr>
        <w:rPr>
          <w:rFonts w:ascii="Book Antiqua" w:hAnsi="Book Antiqua"/>
          <w:sz w:val="24"/>
        </w:rPr>
      </w:pPr>
    </w:p>
    <w:p w14:paraId="043B902B" w14:textId="6BC89BC6" w:rsidR="00FC3D12" w:rsidRPr="00AD5DFA" w:rsidRDefault="00FC3D12" w:rsidP="00FC3D12">
      <w:pPr>
        <w:pStyle w:val="ListParagraph"/>
        <w:ind w:left="1440"/>
        <w:rPr>
          <w:rFonts w:ascii="Book Antiqua" w:hAnsi="Book Antiqua"/>
          <w:sz w:val="24"/>
        </w:rPr>
      </w:pPr>
    </w:p>
    <w:p w14:paraId="2F9E3DC4" w14:textId="36F88070" w:rsidR="00BA0D11" w:rsidRPr="00FC3D12" w:rsidRDefault="00BA0D11" w:rsidP="00FC3D12">
      <w:pPr>
        <w:jc w:val="both"/>
        <w:rPr>
          <w:rFonts w:ascii="Book Antiqua" w:hAnsi="Book Antiqua"/>
          <w:sz w:val="24"/>
        </w:rPr>
      </w:pPr>
      <w:r w:rsidRPr="00FC3D12">
        <w:rPr>
          <w:rFonts w:ascii="Book Antiqua" w:hAnsi="Book Antiqua"/>
          <w:b/>
          <w:bCs/>
          <w:sz w:val="24"/>
        </w:rPr>
        <w:t>Scenario 2 Findings and Analysis</w:t>
      </w:r>
    </w:p>
    <w:p w14:paraId="403AFBC6" w14:textId="31D9A615" w:rsidR="00BA0D11" w:rsidRPr="00FD70B9" w:rsidRDefault="00BA0D11">
      <w:pPr>
        <w:rPr>
          <w:rFonts w:ascii="Book Antiqua" w:hAnsi="Book Antiqua"/>
          <w:sz w:val="24"/>
        </w:rPr>
      </w:pPr>
    </w:p>
    <w:p w14:paraId="5D7477CC" w14:textId="77777777" w:rsidR="00FC3D12" w:rsidRDefault="00FC3D12" w:rsidP="00FC3D12">
      <w:pPr>
        <w:rPr>
          <w:rFonts w:ascii="Book Antiqua" w:hAnsi="Book Antiqua"/>
          <w:sz w:val="24"/>
        </w:rPr>
      </w:pPr>
      <w:r>
        <w:rPr>
          <w:rFonts w:ascii="Book Antiqua" w:hAnsi="Book Antiqua"/>
          <w:sz w:val="24"/>
        </w:rPr>
        <w:t>To: Office of the Mayor</w:t>
      </w:r>
    </w:p>
    <w:p w14:paraId="5824ABE4" w14:textId="77777777" w:rsidR="00FC3D12" w:rsidRDefault="00FC3D12" w:rsidP="00FC3D12">
      <w:pPr>
        <w:rPr>
          <w:rFonts w:ascii="Book Antiqua" w:hAnsi="Book Antiqua"/>
          <w:sz w:val="24"/>
        </w:rPr>
      </w:pPr>
    </w:p>
    <w:p w14:paraId="11E3416B" w14:textId="01BC3E44" w:rsidR="00FC3D12" w:rsidRDefault="00FC3D12" w:rsidP="00FC3D12">
      <w:pPr>
        <w:rPr>
          <w:rFonts w:ascii="Book Antiqua" w:hAnsi="Book Antiqua"/>
          <w:sz w:val="24"/>
        </w:rPr>
      </w:pPr>
      <w:r>
        <w:rPr>
          <w:rFonts w:ascii="Book Antiqua" w:hAnsi="Book Antiqua"/>
          <w:sz w:val="24"/>
        </w:rPr>
        <w:t xml:space="preserve">From: </w:t>
      </w:r>
      <w:r w:rsidR="008F436E">
        <w:rPr>
          <w:rFonts w:ascii="Book Antiqua" w:hAnsi="Book Antiqua"/>
          <w:sz w:val="24"/>
        </w:rPr>
        <w:t>Carolyn Haynes</w:t>
      </w:r>
    </w:p>
    <w:p w14:paraId="56515573" w14:textId="77777777" w:rsidR="00FC3D12" w:rsidRDefault="00FC3D12" w:rsidP="00FC3D12">
      <w:pPr>
        <w:rPr>
          <w:rFonts w:ascii="Book Antiqua" w:hAnsi="Book Antiqua"/>
          <w:sz w:val="24"/>
        </w:rPr>
      </w:pPr>
    </w:p>
    <w:p w14:paraId="094803BC" w14:textId="1108531B" w:rsidR="00FC3D12" w:rsidRDefault="00FC3D12" w:rsidP="00FC3D12">
      <w:pPr>
        <w:rPr>
          <w:rFonts w:ascii="Book Antiqua" w:hAnsi="Book Antiqua"/>
          <w:sz w:val="24"/>
        </w:rPr>
      </w:pPr>
      <w:r>
        <w:rPr>
          <w:rFonts w:ascii="Book Antiqua" w:hAnsi="Book Antiqua"/>
          <w:sz w:val="24"/>
        </w:rPr>
        <w:t xml:space="preserve">Date: </w:t>
      </w:r>
      <w:r w:rsidR="008F436E">
        <w:rPr>
          <w:rFonts w:ascii="Book Antiqua" w:hAnsi="Book Antiqua"/>
          <w:sz w:val="24"/>
        </w:rPr>
        <w:t>August 15, 2022</w:t>
      </w:r>
    </w:p>
    <w:p w14:paraId="2AC3E671" w14:textId="77777777" w:rsidR="00FC3D12" w:rsidRDefault="00FC3D12" w:rsidP="00FC3D12">
      <w:pPr>
        <w:rPr>
          <w:rFonts w:ascii="Book Antiqua" w:hAnsi="Book Antiqua"/>
          <w:sz w:val="24"/>
        </w:rPr>
      </w:pPr>
    </w:p>
    <w:p w14:paraId="386C37CC" w14:textId="77777777" w:rsidR="00FC3D12" w:rsidRDefault="00FC3D12" w:rsidP="00FC3D12">
      <w:pPr>
        <w:rPr>
          <w:rFonts w:ascii="Book Antiqua" w:hAnsi="Book Antiqua"/>
          <w:sz w:val="24"/>
        </w:rPr>
      </w:pPr>
      <w:r>
        <w:rPr>
          <w:rFonts w:ascii="Book Antiqua" w:hAnsi="Book Antiqua"/>
          <w:sz w:val="24"/>
        </w:rPr>
        <w:t>RE: Impact of Rental Control</w:t>
      </w:r>
    </w:p>
    <w:p w14:paraId="23017144" w14:textId="77777777" w:rsidR="00FC3D12" w:rsidRDefault="00FC3D12" w:rsidP="00FC3D12">
      <w:pPr>
        <w:rPr>
          <w:rFonts w:ascii="Book Antiqua" w:hAnsi="Book Antiqua"/>
          <w:sz w:val="24"/>
          <w:highlight w:val="yellow"/>
        </w:rPr>
      </w:pPr>
    </w:p>
    <w:p w14:paraId="096309E9" w14:textId="581BAA28" w:rsidR="00FC3D12" w:rsidRPr="00FD70B9" w:rsidRDefault="009700F3" w:rsidP="00FC3D12">
      <w:pPr>
        <w:rPr>
          <w:rFonts w:ascii="Book Antiqua" w:hAnsi="Book Antiqua"/>
          <w:sz w:val="24"/>
        </w:rPr>
      </w:pPr>
      <w:r>
        <w:rPr>
          <w:noProof/>
        </w:rPr>
        <w:drawing>
          <wp:inline distT="0" distB="0" distL="0" distR="0" wp14:anchorId="0902DDA0" wp14:editId="4DFCF15B">
            <wp:extent cx="3517107" cy="2895600"/>
            <wp:effectExtent l="0" t="0" r="7620" b="0"/>
            <wp:docPr id="2" name="Chart 2">
              <a:extLst xmlns:a="http://schemas.openxmlformats.org/drawingml/2006/main">
                <a:ext uri="{FF2B5EF4-FFF2-40B4-BE49-F238E27FC236}">
                  <a16:creationId xmlns:a16="http://schemas.microsoft.com/office/drawing/2014/main" id="{258D9903-F496-4378-9A06-E6AE348B325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7ADF487E" w14:textId="1F449754" w:rsidR="00BA0D11" w:rsidRDefault="00BA0D11">
      <w:pPr>
        <w:rPr>
          <w:rFonts w:ascii="Book Antiqua" w:hAnsi="Book Antiqua"/>
          <w:sz w:val="24"/>
        </w:rPr>
      </w:pPr>
    </w:p>
    <w:p w14:paraId="256E3BEC" w14:textId="1860DC14" w:rsidR="00792B11" w:rsidRPr="00FD70B9" w:rsidRDefault="00792B11">
      <w:pPr>
        <w:rPr>
          <w:rFonts w:ascii="Book Antiqua" w:hAnsi="Book Antiqua"/>
        </w:rPr>
      </w:pPr>
      <w:r>
        <w:rPr>
          <w:rFonts w:ascii="Book Antiqua" w:hAnsi="Book Antiqua"/>
          <w:sz w:val="24"/>
        </w:rPr>
        <w:tab/>
        <w:t>The imposing a price ceiling on rent would increase the demands for a rental units but it does not increase the number of units to rent and while there is a price ceiling on rent would be able to help out people that get housing but there can be a waiting list and that could make more people homeless and that if some people is paying $500 dollars a month in rent and the price ceiling goes to $750 and that means that those people rent had increase but their income have not increase so that would mean that those people would be evicted and that means that without a home they would lose their jobs and that would be an active consumer</w:t>
      </w:r>
      <w:r w:rsidR="006C3AE1">
        <w:rPr>
          <w:rFonts w:ascii="Book Antiqua" w:hAnsi="Book Antiqua"/>
          <w:sz w:val="24"/>
        </w:rPr>
        <w:t>. Instead of the rent being controlled by the place that people is renting out from and they should also encourage the private developers and also the property owners to increase the supply of the affordable housing that excepts rent subsidies and do half of the places with people that have renting subsidies and half with people that would be paying their rent with not help at all and this way would allow more people to be able to have a home that they can afford and that with the new apartments should be priced at a affordable levels and the some of the units should be affordable prices which means that would be less homeless people and keep that rent for some years until the people can get on their feet.</w:t>
      </w:r>
    </w:p>
    <w:p w14:paraId="5333098E" w14:textId="68025F88" w:rsidR="00B53817" w:rsidRPr="00FD70B9" w:rsidRDefault="00B53817">
      <w:pPr>
        <w:rPr>
          <w:rFonts w:ascii="Book Antiqua" w:hAnsi="Book Antiqua"/>
        </w:rPr>
      </w:pPr>
    </w:p>
    <w:p w14:paraId="3E17C12B" w14:textId="305A6384" w:rsidR="00B53817" w:rsidRPr="00FD70B9" w:rsidRDefault="00B53817">
      <w:pPr>
        <w:rPr>
          <w:rFonts w:ascii="Book Antiqua" w:hAnsi="Book Antiqua"/>
        </w:rPr>
      </w:pPr>
    </w:p>
    <w:p w14:paraId="2B31AB36" w14:textId="77777777" w:rsidR="00B53817" w:rsidRPr="00FD70B9" w:rsidRDefault="00B53817">
      <w:pPr>
        <w:rPr>
          <w:rFonts w:ascii="Book Antiqua" w:hAnsi="Book Antiqua"/>
        </w:rPr>
      </w:pPr>
    </w:p>
    <w:sectPr w:rsidR="00B53817" w:rsidRPr="00FD70B9" w:rsidSect="00FC3D12">
      <w:headerReference w:type="default" r:id="rId13"/>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C9E6A7" w14:textId="77777777" w:rsidR="002A4F9D" w:rsidRDefault="002A4F9D" w:rsidP="00FC3D12">
      <w:r>
        <w:separator/>
      </w:r>
    </w:p>
  </w:endnote>
  <w:endnote w:type="continuationSeparator" w:id="0">
    <w:p w14:paraId="7A536D6D" w14:textId="77777777" w:rsidR="002A4F9D" w:rsidRDefault="002A4F9D" w:rsidP="00FC3D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Book Antiqua">
    <w:panose1 w:val="0204060205030503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ECA088" w14:textId="77777777" w:rsidR="002A4F9D" w:rsidRDefault="002A4F9D" w:rsidP="00FC3D12">
      <w:r>
        <w:separator/>
      </w:r>
    </w:p>
  </w:footnote>
  <w:footnote w:type="continuationSeparator" w:id="0">
    <w:p w14:paraId="5AC54450" w14:textId="77777777" w:rsidR="002A4F9D" w:rsidRDefault="002A4F9D" w:rsidP="00FC3D1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C4E91C" w14:textId="55187698" w:rsidR="00FC3D12" w:rsidRPr="00FC3D12" w:rsidRDefault="00FC3D12">
    <w:pPr>
      <w:pStyle w:val="Header"/>
      <w:jc w:val="right"/>
      <w:rPr>
        <w:rFonts w:ascii="Book Antiqua" w:hAnsi="Book Antiqua"/>
      </w:rPr>
    </w:pPr>
    <w:r w:rsidRPr="00FC3D12">
      <w:rPr>
        <w:rFonts w:ascii="Book Antiqua" w:hAnsi="Book Antiqua"/>
      </w:rPr>
      <w:t>ECON195 – Fin</w:t>
    </w:r>
    <w:r>
      <w:rPr>
        <w:rFonts w:ascii="Book Antiqua" w:hAnsi="Book Antiqua"/>
      </w:rPr>
      <w:t>al</w:t>
    </w:r>
    <w:r w:rsidRPr="00FC3D12">
      <w:rPr>
        <w:rFonts w:ascii="Book Antiqua" w:hAnsi="Book Antiqua"/>
      </w:rPr>
      <w:t xml:space="preserve"> ePortfolio Submission Template</w:t>
    </w:r>
    <w:r w:rsidRPr="00FC3D12">
      <w:rPr>
        <w:rFonts w:ascii="Book Antiqua" w:hAnsi="Book Antiqua"/>
      </w:rPr>
      <w:tab/>
    </w:r>
    <w:sdt>
      <w:sdtPr>
        <w:rPr>
          <w:rFonts w:ascii="Book Antiqua" w:hAnsi="Book Antiqua"/>
        </w:rPr>
        <w:id w:val="1512340553"/>
        <w:docPartObj>
          <w:docPartGallery w:val="Page Numbers (Top of Page)"/>
          <w:docPartUnique/>
        </w:docPartObj>
      </w:sdtPr>
      <w:sdtEndPr>
        <w:rPr>
          <w:noProof/>
        </w:rPr>
      </w:sdtEndPr>
      <w:sdtContent>
        <w:r w:rsidRPr="00FC3D12">
          <w:rPr>
            <w:rFonts w:ascii="Book Antiqua" w:hAnsi="Book Antiqua"/>
          </w:rPr>
          <w:fldChar w:fldCharType="begin"/>
        </w:r>
        <w:r w:rsidRPr="00FC3D12">
          <w:rPr>
            <w:rFonts w:ascii="Book Antiqua" w:hAnsi="Book Antiqua"/>
          </w:rPr>
          <w:instrText xml:space="preserve"> PAGE   \* MERGEFORMAT </w:instrText>
        </w:r>
        <w:r w:rsidRPr="00FC3D12">
          <w:rPr>
            <w:rFonts w:ascii="Book Antiqua" w:hAnsi="Book Antiqua"/>
          </w:rPr>
          <w:fldChar w:fldCharType="separate"/>
        </w:r>
        <w:r w:rsidRPr="00FC3D12">
          <w:rPr>
            <w:rFonts w:ascii="Book Antiqua" w:hAnsi="Book Antiqua"/>
            <w:noProof/>
          </w:rPr>
          <w:t>2</w:t>
        </w:r>
        <w:r w:rsidRPr="00FC3D12">
          <w:rPr>
            <w:rFonts w:ascii="Book Antiqua" w:hAnsi="Book Antiqua"/>
            <w:noProof/>
          </w:rPr>
          <w:fldChar w:fldCharType="end"/>
        </w:r>
      </w:sdtContent>
    </w:sdt>
  </w:p>
  <w:p w14:paraId="49A06063" w14:textId="77777777" w:rsidR="00FC3D12" w:rsidRDefault="00FC3D1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6BB4186"/>
    <w:multiLevelType w:val="hybridMultilevel"/>
    <w:tmpl w:val="EF50666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BC75DD3"/>
    <w:multiLevelType w:val="hybridMultilevel"/>
    <w:tmpl w:val="592A26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11552123">
    <w:abstractNumId w:val="0"/>
  </w:num>
  <w:num w:numId="2" w16cid:durableId="49749998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zIyNzYwMTMwN7CwMDFW0lEKTi0uzszPAykwqwUAyRYQSSwAAAA="/>
  </w:docVars>
  <w:rsids>
    <w:rsidRoot w:val="00CC31F2"/>
    <w:rsid w:val="00047296"/>
    <w:rsid w:val="001066C2"/>
    <w:rsid w:val="00152F29"/>
    <w:rsid w:val="002123F3"/>
    <w:rsid w:val="002A4F9D"/>
    <w:rsid w:val="002E333E"/>
    <w:rsid w:val="003554FD"/>
    <w:rsid w:val="003A2422"/>
    <w:rsid w:val="00591C7E"/>
    <w:rsid w:val="006029CF"/>
    <w:rsid w:val="00652023"/>
    <w:rsid w:val="006866B0"/>
    <w:rsid w:val="006C3AE1"/>
    <w:rsid w:val="00792B11"/>
    <w:rsid w:val="007A7725"/>
    <w:rsid w:val="007F7029"/>
    <w:rsid w:val="00891C28"/>
    <w:rsid w:val="008A0788"/>
    <w:rsid w:val="008F436E"/>
    <w:rsid w:val="009700F3"/>
    <w:rsid w:val="00984ECC"/>
    <w:rsid w:val="00AD5DFA"/>
    <w:rsid w:val="00B046D5"/>
    <w:rsid w:val="00B53817"/>
    <w:rsid w:val="00BA0D11"/>
    <w:rsid w:val="00BC55C6"/>
    <w:rsid w:val="00C157F5"/>
    <w:rsid w:val="00CC31F2"/>
    <w:rsid w:val="00D532E9"/>
    <w:rsid w:val="00DE33C7"/>
    <w:rsid w:val="00E374AF"/>
    <w:rsid w:val="00F17566"/>
    <w:rsid w:val="00F2279B"/>
    <w:rsid w:val="00F815DF"/>
    <w:rsid w:val="00FC3D12"/>
    <w:rsid w:val="00FD70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47F62B"/>
  <w15:chartTrackingRefBased/>
  <w15:docId w15:val="{04ABD652-C017-49FA-9D35-546629C302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D70B9"/>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53817"/>
    <w:pPr>
      <w:ind w:left="720"/>
      <w:contextualSpacing/>
    </w:pPr>
  </w:style>
  <w:style w:type="paragraph" w:styleId="BalloonText">
    <w:name w:val="Balloon Text"/>
    <w:basedOn w:val="Normal"/>
    <w:link w:val="BalloonTextChar"/>
    <w:uiPriority w:val="99"/>
    <w:semiHidden/>
    <w:unhideWhenUsed/>
    <w:rsid w:val="00B046D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046D5"/>
    <w:rPr>
      <w:rFonts w:ascii="Segoe UI" w:hAnsi="Segoe UI" w:cs="Segoe UI"/>
      <w:sz w:val="18"/>
      <w:szCs w:val="18"/>
    </w:rPr>
  </w:style>
  <w:style w:type="character" w:customStyle="1" w:styleId="Heading1Char">
    <w:name w:val="Heading 1 Char"/>
    <w:basedOn w:val="DefaultParagraphFont"/>
    <w:link w:val="Heading1"/>
    <w:uiPriority w:val="9"/>
    <w:rsid w:val="00FD70B9"/>
    <w:rPr>
      <w:rFonts w:asciiTheme="majorHAnsi" w:eastAsiaTheme="majorEastAsia" w:hAnsiTheme="majorHAnsi" w:cstheme="majorBidi"/>
      <w:color w:val="2F5496" w:themeColor="accent1" w:themeShade="BF"/>
      <w:sz w:val="32"/>
      <w:szCs w:val="32"/>
    </w:rPr>
  </w:style>
  <w:style w:type="character" w:styleId="CommentReference">
    <w:name w:val="annotation reference"/>
    <w:basedOn w:val="DefaultParagraphFont"/>
    <w:uiPriority w:val="99"/>
    <w:semiHidden/>
    <w:unhideWhenUsed/>
    <w:rsid w:val="00891C28"/>
    <w:rPr>
      <w:sz w:val="16"/>
      <w:szCs w:val="16"/>
    </w:rPr>
  </w:style>
  <w:style w:type="paragraph" w:styleId="CommentText">
    <w:name w:val="annotation text"/>
    <w:basedOn w:val="Normal"/>
    <w:link w:val="CommentTextChar"/>
    <w:uiPriority w:val="99"/>
    <w:semiHidden/>
    <w:unhideWhenUsed/>
    <w:rsid w:val="00891C28"/>
    <w:rPr>
      <w:sz w:val="20"/>
      <w:szCs w:val="20"/>
    </w:rPr>
  </w:style>
  <w:style w:type="character" w:customStyle="1" w:styleId="CommentTextChar">
    <w:name w:val="Comment Text Char"/>
    <w:basedOn w:val="DefaultParagraphFont"/>
    <w:link w:val="CommentText"/>
    <w:uiPriority w:val="99"/>
    <w:semiHidden/>
    <w:rsid w:val="00891C28"/>
    <w:rPr>
      <w:sz w:val="20"/>
      <w:szCs w:val="20"/>
    </w:rPr>
  </w:style>
  <w:style w:type="paragraph" w:styleId="CommentSubject">
    <w:name w:val="annotation subject"/>
    <w:basedOn w:val="CommentText"/>
    <w:next w:val="CommentText"/>
    <w:link w:val="CommentSubjectChar"/>
    <w:uiPriority w:val="99"/>
    <w:semiHidden/>
    <w:unhideWhenUsed/>
    <w:rsid w:val="00891C28"/>
    <w:rPr>
      <w:b/>
      <w:bCs/>
    </w:rPr>
  </w:style>
  <w:style w:type="character" w:customStyle="1" w:styleId="CommentSubjectChar">
    <w:name w:val="Comment Subject Char"/>
    <w:basedOn w:val="CommentTextChar"/>
    <w:link w:val="CommentSubject"/>
    <w:uiPriority w:val="99"/>
    <w:semiHidden/>
    <w:rsid w:val="00891C28"/>
    <w:rPr>
      <w:b/>
      <w:bCs/>
      <w:sz w:val="20"/>
      <w:szCs w:val="20"/>
    </w:rPr>
  </w:style>
  <w:style w:type="paragraph" w:styleId="Header">
    <w:name w:val="header"/>
    <w:basedOn w:val="Normal"/>
    <w:link w:val="HeaderChar"/>
    <w:uiPriority w:val="99"/>
    <w:unhideWhenUsed/>
    <w:rsid w:val="00FC3D12"/>
    <w:pPr>
      <w:tabs>
        <w:tab w:val="center" w:pos="4680"/>
        <w:tab w:val="right" w:pos="9360"/>
      </w:tabs>
    </w:pPr>
  </w:style>
  <w:style w:type="character" w:customStyle="1" w:styleId="HeaderChar">
    <w:name w:val="Header Char"/>
    <w:basedOn w:val="DefaultParagraphFont"/>
    <w:link w:val="Header"/>
    <w:uiPriority w:val="99"/>
    <w:rsid w:val="00FC3D12"/>
  </w:style>
  <w:style w:type="paragraph" w:styleId="Footer">
    <w:name w:val="footer"/>
    <w:basedOn w:val="Normal"/>
    <w:link w:val="FooterChar"/>
    <w:uiPriority w:val="99"/>
    <w:unhideWhenUsed/>
    <w:rsid w:val="00FC3D12"/>
    <w:pPr>
      <w:tabs>
        <w:tab w:val="center" w:pos="4680"/>
        <w:tab w:val="right" w:pos="9360"/>
      </w:tabs>
    </w:pPr>
  </w:style>
  <w:style w:type="character" w:customStyle="1" w:styleId="FooterChar">
    <w:name w:val="Footer Char"/>
    <w:basedOn w:val="DefaultParagraphFont"/>
    <w:link w:val="Footer"/>
    <w:uiPriority w:val="99"/>
    <w:rsid w:val="00FC3D1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chart" Target="charts/chart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chart" Target="charts/chart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Part D: Market</a:t>
            </a:r>
            <a:r>
              <a:rPr lang="en-US" baseline="0"/>
              <a:t> for Construction Screws</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tx>
            <c:strRef>
              <c:f>'Scenario 1'!$C$5</c:f>
              <c:strCache>
                <c:ptCount val="1"/>
                <c:pt idx="0">
                  <c:v>Qd</c:v>
                </c:pt>
              </c:strCache>
            </c:strRef>
          </c:tx>
          <c:spPr>
            <a:ln w="19050" cap="rnd">
              <a:solidFill>
                <a:schemeClr val="accent1"/>
              </a:solidFill>
              <a:round/>
            </a:ln>
            <a:effectLst/>
          </c:spPr>
          <c:marker>
            <c:symbol val="circle"/>
            <c:size val="5"/>
            <c:spPr>
              <a:solidFill>
                <a:schemeClr val="accent1"/>
              </a:solidFill>
              <a:ln w="9525">
                <a:solidFill>
                  <a:schemeClr val="accent1"/>
                </a:solidFill>
              </a:ln>
              <a:effectLst/>
            </c:spPr>
          </c:marker>
          <c:xVal>
            <c:numRef>
              <c:f>'Scenario 1'!$C$6:$C$11</c:f>
              <c:numCache>
                <c:formatCode>General</c:formatCode>
                <c:ptCount val="6"/>
                <c:pt idx="0">
                  <c:v>0</c:v>
                </c:pt>
                <c:pt idx="1">
                  <c:v>400</c:v>
                </c:pt>
                <c:pt idx="2">
                  <c:v>800</c:v>
                </c:pt>
                <c:pt idx="3">
                  <c:v>1200</c:v>
                </c:pt>
                <c:pt idx="4">
                  <c:v>1600</c:v>
                </c:pt>
                <c:pt idx="5">
                  <c:v>2000</c:v>
                </c:pt>
              </c:numCache>
            </c:numRef>
          </c:xVal>
          <c:yVal>
            <c:numRef>
              <c:f>'Scenario 1'!$B$6:$B$11</c:f>
              <c:numCache>
                <c:formatCode>"$"#,##0.00_);[Red]\("$"#,##0.00\)</c:formatCode>
                <c:ptCount val="6"/>
                <c:pt idx="0">
                  <c:v>6</c:v>
                </c:pt>
                <c:pt idx="1">
                  <c:v>5</c:v>
                </c:pt>
                <c:pt idx="2">
                  <c:v>4</c:v>
                </c:pt>
                <c:pt idx="3">
                  <c:v>3</c:v>
                </c:pt>
                <c:pt idx="4">
                  <c:v>2</c:v>
                </c:pt>
                <c:pt idx="5">
                  <c:v>1</c:v>
                </c:pt>
              </c:numCache>
            </c:numRef>
          </c:yVal>
          <c:smooth val="0"/>
          <c:extLst>
            <c:ext xmlns:c16="http://schemas.microsoft.com/office/drawing/2014/chart" uri="{C3380CC4-5D6E-409C-BE32-E72D297353CC}">
              <c16:uniqueId val="{00000000-AED7-4E4C-A20A-DF529BE3223E}"/>
            </c:ext>
          </c:extLst>
        </c:ser>
        <c:ser>
          <c:idx val="1"/>
          <c:order val="1"/>
          <c:tx>
            <c:strRef>
              <c:f>'Scenario 1'!$D$5</c:f>
              <c:strCache>
                <c:ptCount val="1"/>
                <c:pt idx="0">
                  <c:v>Qs</c:v>
                </c:pt>
              </c:strCache>
            </c:strRef>
          </c:tx>
          <c:spPr>
            <a:ln w="19050" cap="rnd">
              <a:solidFill>
                <a:schemeClr val="accent2"/>
              </a:solidFill>
              <a:round/>
            </a:ln>
            <a:effectLst/>
          </c:spPr>
          <c:marker>
            <c:symbol val="circle"/>
            <c:size val="5"/>
            <c:spPr>
              <a:solidFill>
                <a:schemeClr val="accent2"/>
              </a:solidFill>
              <a:ln w="9525">
                <a:solidFill>
                  <a:schemeClr val="accent2"/>
                </a:solidFill>
              </a:ln>
              <a:effectLst/>
            </c:spPr>
          </c:marker>
          <c:dLbls>
            <c:dLbl>
              <c:idx val="3"/>
              <c:tx>
                <c:rich>
                  <a:bodyPr/>
                  <a:lstStyle/>
                  <a:p>
                    <a:r>
                      <a:rPr lang="en-US"/>
                      <a:t>A</a:t>
                    </a:r>
                  </a:p>
                </c:rich>
              </c:tx>
              <c:showLegendKey val="0"/>
              <c:showVal val="1"/>
              <c:showCatName val="1"/>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1-AED7-4E4C-A20A-DF529BE3223E}"/>
                </c:ext>
              </c:extLst>
            </c:dLbl>
            <c:spPr>
              <a:solidFill>
                <a:sysClr val="window" lastClr="FFFFFF"/>
              </a:solidFill>
              <a:ln>
                <a:solidFill>
                  <a:sysClr val="windowText" lastClr="000000">
                    <a:lumMod val="25000"/>
                    <a:lumOff val="75000"/>
                  </a:sysClr>
                </a:solidFill>
              </a:ln>
              <a:effectLst/>
            </c:spPr>
            <c:txPr>
              <a:bodyPr rot="0" spcFirstLastPara="1" vertOverflow="clip" horzOverflow="clip" vert="horz" wrap="square" lIns="38100" tIns="19050" rIns="38100" bIns="19050" anchor="ctr" anchorCtr="1">
                <a:spAutoFit/>
              </a:bodyPr>
              <a:lstStyle/>
              <a:p>
                <a:pPr>
                  <a:defRPr sz="900" b="0" i="0" u="none" strike="noStrike" kern="1200" baseline="0">
                    <a:solidFill>
                      <a:schemeClr val="dk1">
                        <a:lumMod val="65000"/>
                        <a:lumOff val="3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15:spPr xmlns:c15="http://schemas.microsoft.com/office/drawing/2012/chart">
                  <a:prstGeom prst="wedgeRectCallout">
                    <a:avLst/>
                  </a:prstGeom>
                  <a:noFill/>
                  <a:ln>
                    <a:noFill/>
                  </a:ln>
                </c15:spPr>
                <c15:showLeaderLines val="0"/>
              </c:ext>
            </c:extLst>
          </c:dLbls>
          <c:xVal>
            <c:numRef>
              <c:f>'Scenario 1'!$D$6:$D$11</c:f>
              <c:numCache>
                <c:formatCode>General</c:formatCode>
                <c:ptCount val="6"/>
                <c:pt idx="0">
                  <c:v>2400</c:v>
                </c:pt>
                <c:pt idx="1">
                  <c:v>2000</c:v>
                </c:pt>
                <c:pt idx="2">
                  <c:v>1600</c:v>
                </c:pt>
                <c:pt idx="3">
                  <c:v>1200</c:v>
                </c:pt>
                <c:pt idx="4">
                  <c:v>800</c:v>
                </c:pt>
                <c:pt idx="5">
                  <c:v>400</c:v>
                </c:pt>
              </c:numCache>
            </c:numRef>
          </c:xVal>
          <c:yVal>
            <c:numRef>
              <c:f>'Scenario 1'!$B$6:$B$11</c:f>
              <c:numCache>
                <c:formatCode>"$"#,##0.00_);[Red]\("$"#,##0.00\)</c:formatCode>
                <c:ptCount val="6"/>
                <c:pt idx="0">
                  <c:v>6</c:v>
                </c:pt>
                <c:pt idx="1">
                  <c:v>5</c:v>
                </c:pt>
                <c:pt idx="2">
                  <c:v>4</c:v>
                </c:pt>
                <c:pt idx="3">
                  <c:v>3</c:v>
                </c:pt>
                <c:pt idx="4">
                  <c:v>2</c:v>
                </c:pt>
                <c:pt idx="5">
                  <c:v>1</c:v>
                </c:pt>
              </c:numCache>
            </c:numRef>
          </c:yVal>
          <c:smooth val="0"/>
          <c:extLst>
            <c:ext xmlns:c16="http://schemas.microsoft.com/office/drawing/2014/chart" uri="{C3380CC4-5D6E-409C-BE32-E72D297353CC}">
              <c16:uniqueId val="{00000002-AED7-4E4C-A20A-DF529BE3223E}"/>
            </c:ext>
          </c:extLst>
        </c:ser>
        <c:ser>
          <c:idx val="2"/>
          <c:order val="2"/>
          <c:tx>
            <c:strRef>
              <c:f>'Scenario 1'!$F$5</c:f>
              <c:strCache>
                <c:ptCount val="1"/>
                <c:pt idx="0">
                  <c:v>New Qs</c:v>
                </c:pt>
              </c:strCache>
            </c:strRef>
          </c:tx>
          <c:spPr>
            <a:ln w="19050" cap="rnd">
              <a:solidFill>
                <a:schemeClr val="accent3"/>
              </a:solidFill>
              <a:round/>
            </a:ln>
            <a:effectLst/>
          </c:spPr>
          <c:marker>
            <c:symbol val="circle"/>
            <c:size val="5"/>
            <c:spPr>
              <a:solidFill>
                <a:schemeClr val="accent3"/>
              </a:solidFill>
              <a:ln w="9525">
                <a:solidFill>
                  <a:schemeClr val="accent3"/>
                </a:solidFill>
              </a:ln>
              <a:effectLst/>
            </c:spPr>
          </c:marker>
          <c:dLbls>
            <c:dLbl>
              <c:idx val="2"/>
              <c:tx>
                <c:rich>
                  <a:bodyPr/>
                  <a:lstStyle/>
                  <a:p>
                    <a:r>
                      <a:rPr lang="en-US"/>
                      <a:t>C</a:t>
                    </a:r>
                  </a:p>
                </c:rich>
              </c:tx>
              <c:showLegendKey val="0"/>
              <c:showVal val="1"/>
              <c:showCatName val="1"/>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3-AED7-4E4C-A20A-DF529BE3223E}"/>
                </c:ext>
              </c:extLst>
            </c:dLbl>
            <c:spPr>
              <a:solidFill>
                <a:sysClr val="window" lastClr="FFFFFF"/>
              </a:solidFill>
              <a:ln>
                <a:solidFill>
                  <a:sysClr val="windowText" lastClr="000000">
                    <a:lumMod val="25000"/>
                    <a:lumOff val="75000"/>
                  </a:sysClr>
                </a:solidFill>
              </a:ln>
              <a:effectLst/>
            </c:spPr>
            <c:txPr>
              <a:bodyPr rot="0" spcFirstLastPara="1" vertOverflow="clip" horzOverflow="clip" vert="horz" wrap="square" lIns="38100" tIns="19050" rIns="38100" bIns="19050" anchor="ctr" anchorCtr="1">
                <a:spAutoFit/>
              </a:bodyPr>
              <a:lstStyle/>
              <a:p>
                <a:pPr>
                  <a:defRPr sz="900" b="0" i="0" u="none" strike="noStrike" kern="1200" baseline="0">
                    <a:solidFill>
                      <a:schemeClr val="dk1">
                        <a:lumMod val="65000"/>
                        <a:lumOff val="3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15:spPr xmlns:c15="http://schemas.microsoft.com/office/drawing/2012/chart">
                  <a:prstGeom prst="wedgeRectCallout">
                    <a:avLst/>
                  </a:prstGeom>
                  <a:noFill/>
                  <a:ln>
                    <a:noFill/>
                  </a:ln>
                </c15:spPr>
                <c15:showLeaderLines val="0"/>
              </c:ext>
            </c:extLst>
          </c:dLbls>
          <c:xVal>
            <c:numRef>
              <c:f>'Scenario 1'!$F$6:$F$11</c:f>
              <c:numCache>
                <c:formatCode>General</c:formatCode>
                <c:ptCount val="6"/>
                <c:pt idx="0">
                  <c:v>1600</c:v>
                </c:pt>
                <c:pt idx="1">
                  <c:v>1200</c:v>
                </c:pt>
                <c:pt idx="2">
                  <c:v>800</c:v>
                </c:pt>
                <c:pt idx="3">
                  <c:v>400</c:v>
                </c:pt>
                <c:pt idx="4">
                  <c:v>0</c:v>
                </c:pt>
                <c:pt idx="5">
                  <c:v>0</c:v>
                </c:pt>
              </c:numCache>
            </c:numRef>
          </c:xVal>
          <c:yVal>
            <c:numRef>
              <c:f>'Scenario 1'!$B$6:$B$11</c:f>
              <c:numCache>
                <c:formatCode>"$"#,##0.00_);[Red]\("$"#,##0.00\)</c:formatCode>
                <c:ptCount val="6"/>
                <c:pt idx="0">
                  <c:v>6</c:v>
                </c:pt>
                <c:pt idx="1">
                  <c:v>5</c:v>
                </c:pt>
                <c:pt idx="2">
                  <c:v>4</c:v>
                </c:pt>
                <c:pt idx="3">
                  <c:v>3</c:v>
                </c:pt>
                <c:pt idx="4">
                  <c:v>2</c:v>
                </c:pt>
                <c:pt idx="5">
                  <c:v>1</c:v>
                </c:pt>
              </c:numCache>
            </c:numRef>
          </c:yVal>
          <c:smooth val="0"/>
          <c:extLst>
            <c:ext xmlns:c16="http://schemas.microsoft.com/office/drawing/2014/chart" uri="{C3380CC4-5D6E-409C-BE32-E72D297353CC}">
              <c16:uniqueId val="{00000004-AED7-4E4C-A20A-DF529BE3223E}"/>
            </c:ext>
          </c:extLst>
        </c:ser>
        <c:ser>
          <c:idx val="3"/>
          <c:order val="3"/>
          <c:tx>
            <c:strRef>
              <c:f>'Scenario 1'!$E$5</c:f>
              <c:strCache>
                <c:ptCount val="1"/>
                <c:pt idx="0">
                  <c:v>New Qd</c:v>
                </c:pt>
              </c:strCache>
            </c:strRef>
          </c:tx>
          <c:spPr>
            <a:ln w="19050" cap="rnd">
              <a:solidFill>
                <a:schemeClr val="accent4"/>
              </a:solidFill>
              <a:round/>
            </a:ln>
            <a:effectLst/>
          </c:spPr>
          <c:marker>
            <c:symbol val="circle"/>
            <c:size val="5"/>
            <c:spPr>
              <a:solidFill>
                <a:schemeClr val="accent4"/>
              </a:solidFill>
              <a:ln w="9525">
                <a:solidFill>
                  <a:schemeClr val="accent4"/>
                </a:solidFill>
              </a:ln>
              <a:effectLst/>
            </c:spPr>
          </c:marker>
          <c:dLbls>
            <c:dLbl>
              <c:idx val="1"/>
              <c:tx>
                <c:rich>
                  <a:bodyPr/>
                  <a:lstStyle/>
                  <a:p>
                    <a:r>
                      <a:rPr lang="en-US"/>
                      <a:t>D</a:t>
                    </a:r>
                  </a:p>
                </c:rich>
              </c:tx>
              <c:showLegendKey val="0"/>
              <c:showVal val="1"/>
              <c:showCatName val="1"/>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5-AED7-4E4C-A20A-DF529BE3223E}"/>
                </c:ext>
              </c:extLst>
            </c:dLbl>
            <c:dLbl>
              <c:idx val="2"/>
              <c:tx>
                <c:rich>
                  <a:bodyPr/>
                  <a:lstStyle/>
                  <a:p>
                    <a:r>
                      <a:rPr lang="en-US"/>
                      <a:t>B</a:t>
                    </a:r>
                  </a:p>
                </c:rich>
              </c:tx>
              <c:showLegendKey val="0"/>
              <c:showVal val="1"/>
              <c:showCatName val="1"/>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6-AED7-4E4C-A20A-DF529BE3223E}"/>
                </c:ext>
              </c:extLst>
            </c:dLbl>
            <c:spPr>
              <a:solidFill>
                <a:sysClr val="window" lastClr="FFFFFF"/>
              </a:solidFill>
              <a:ln>
                <a:solidFill>
                  <a:sysClr val="windowText" lastClr="000000">
                    <a:lumMod val="25000"/>
                    <a:lumOff val="75000"/>
                  </a:sysClr>
                </a:solidFill>
              </a:ln>
              <a:effectLst/>
            </c:spPr>
            <c:txPr>
              <a:bodyPr rot="0" spcFirstLastPara="1" vertOverflow="clip" horzOverflow="clip" vert="horz" wrap="square" lIns="38100" tIns="19050" rIns="38100" bIns="19050" anchor="ctr" anchorCtr="1">
                <a:spAutoFit/>
              </a:bodyPr>
              <a:lstStyle/>
              <a:p>
                <a:pPr>
                  <a:defRPr sz="900" b="0" i="0" u="none" strike="noStrike" kern="1200" baseline="0">
                    <a:solidFill>
                      <a:schemeClr val="dk1">
                        <a:lumMod val="65000"/>
                        <a:lumOff val="3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15:spPr xmlns:c15="http://schemas.microsoft.com/office/drawing/2012/chart">
                  <a:prstGeom prst="wedgeRectCallout">
                    <a:avLst/>
                  </a:prstGeom>
                  <a:noFill/>
                  <a:ln>
                    <a:noFill/>
                  </a:ln>
                </c15:spPr>
                <c15:showLeaderLines val="0"/>
              </c:ext>
            </c:extLst>
          </c:dLbls>
          <c:xVal>
            <c:numRef>
              <c:f>'Scenario 1'!$E$6:$E$11</c:f>
              <c:numCache>
                <c:formatCode>General</c:formatCode>
                <c:ptCount val="6"/>
                <c:pt idx="0">
                  <c:v>800</c:v>
                </c:pt>
                <c:pt idx="1">
                  <c:v>1200</c:v>
                </c:pt>
                <c:pt idx="2">
                  <c:v>1600</c:v>
                </c:pt>
                <c:pt idx="3">
                  <c:v>2000</c:v>
                </c:pt>
                <c:pt idx="4">
                  <c:v>2400</c:v>
                </c:pt>
                <c:pt idx="5">
                  <c:v>2800</c:v>
                </c:pt>
              </c:numCache>
            </c:numRef>
          </c:xVal>
          <c:yVal>
            <c:numRef>
              <c:f>'Scenario 1'!$B$6:$B$11</c:f>
              <c:numCache>
                <c:formatCode>"$"#,##0.00_);[Red]\("$"#,##0.00\)</c:formatCode>
                <c:ptCount val="6"/>
                <c:pt idx="0">
                  <c:v>6</c:v>
                </c:pt>
                <c:pt idx="1">
                  <c:v>5</c:v>
                </c:pt>
                <c:pt idx="2">
                  <c:v>4</c:v>
                </c:pt>
                <c:pt idx="3">
                  <c:v>3</c:v>
                </c:pt>
                <c:pt idx="4">
                  <c:v>2</c:v>
                </c:pt>
                <c:pt idx="5">
                  <c:v>1</c:v>
                </c:pt>
              </c:numCache>
            </c:numRef>
          </c:yVal>
          <c:smooth val="0"/>
          <c:extLst>
            <c:ext xmlns:c16="http://schemas.microsoft.com/office/drawing/2014/chart" uri="{C3380CC4-5D6E-409C-BE32-E72D297353CC}">
              <c16:uniqueId val="{00000007-AED7-4E4C-A20A-DF529BE3223E}"/>
            </c:ext>
          </c:extLst>
        </c:ser>
        <c:dLbls>
          <c:showLegendKey val="0"/>
          <c:showVal val="0"/>
          <c:showCatName val="0"/>
          <c:showSerName val="0"/>
          <c:showPercent val="0"/>
          <c:showBubbleSize val="0"/>
        </c:dLbls>
        <c:axId val="211490399"/>
        <c:axId val="211478335"/>
      </c:scatterChart>
      <c:valAx>
        <c:axId val="211490399"/>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Quantity (Boxes)</a:t>
                </a:r>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11478335"/>
        <c:crosses val="autoZero"/>
        <c:crossBetween val="midCat"/>
      </c:valAx>
      <c:valAx>
        <c:axId val="211478335"/>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Price per Box</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quot;$&quot;#,##0.00_);[Red]\(&quot;$&quot;#,##0.00\)"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11490399"/>
        <c:crosses val="autoZero"/>
        <c:crossBetween val="midCat"/>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extLst/>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Market for Rental Units</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scatterChart>
        <c:scatterStyle val="lineMarker"/>
        <c:varyColors val="0"/>
        <c:ser>
          <c:idx val="0"/>
          <c:order val="0"/>
          <c:tx>
            <c:strRef>
              <c:f>'Scenario 2'!$C$5</c:f>
              <c:strCache>
                <c:ptCount val="1"/>
                <c:pt idx="0">
                  <c:v>Qd</c:v>
                </c:pt>
              </c:strCache>
            </c:strRef>
          </c:tx>
          <c:spPr>
            <a:ln w="19050" cap="rnd">
              <a:solidFill>
                <a:schemeClr val="accent1"/>
              </a:solidFill>
              <a:round/>
            </a:ln>
            <a:effectLst/>
          </c:spPr>
          <c:marker>
            <c:symbol val="circle"/>
            <c:size val="5"/>
            <c:spPr>
              <a:solidFill>
                <a:schemeClr val="accent1"/>
              </a:solidFill>
              <a:ln w="9525">
                <a:solidFill>
                  <a:schemeClr val="accent1"/>
                </a:solidFill>
              </a:ln>
              <a:effectLst/>
            </c:spPr>
          </c:marker>
          <c:xVal>
            <c:numRef>
              <c:f>'Scenario 2'!$C$6:$C$11</c:f>
              <c:numCache>
                <c:formatCode>General</c:formatCode>
                <c:ptCount val="6"/>
                <c:pt idx="0">
                  <c:v>500</c:v>
                </c:pt>
                <c:pt idx="1">
                  <c:v>750</c:v>
                </c:pt>
                <c:pt idx="2">
                  <c:v>1000</c:v>
                </c:pt>
                <c:pt idx="3">
                  <c:v>1250</c:v>
                </c:pt>
                <c:pt idx="4">
                  <c:v>1500</c:v>
                </c:pt>
                <c:pt idx="5">
                  <c:v>1750</c:v>
                </c:pt>
              </c:numCache>
            </c:numRef>
          </c:xVal>
          <c:yVal>
            <c:numRef>
              <c:f>'Scenario 2'!$B$6:$B$11</c:f>
              <c:numCache>
                <c:formatCode>_("$"* #,##0_);_("$"* \(#,##0\);_("$"* "-"??_);_(@_)</c:formatCode>
                <c:ptCount val="6"/>
                <c:pt idx="0">
                  <c:v>3500</c:v>
                </c:pt>
                <c:pt idx="1">
                  <c:v>3000</c:v>
                </c:pt>
                <c:pt idx="2">
                  <c:v>2500</c:v>
                </c:pt>
                <c:pt idx="3">
                  <c:v>2000</c:v>
                </c:pt>
                <c:pt idx="4">
                  <c:v>1500</c:v>
                </c:pt>
                <c:pt idx="5">
                  <c:v>1000</c:v>
                </c:pt>
              </c:numCache>
            </c:numRef>
          </c:yVal>
          <c:smooth val="0"/>
          <c:extLst>
            <c:ext xmlns:c16="http://schemas.microsoft.com/office/drawing/2014/chart" uri="{C3380CC4-5D6E-409C-BE32-E72D297353CC}">
              <c16:uniqueId val="{00000000-C19E-4382-B129-2881BACD6629}"/>
            </c:ext>
          </c:extLst>
        </c:ser>
        <c:ser>
          <c:idx val="1"/>
          <c:order val="1"/>
          <c:tx>
            <c:strRef>
              <c:f>'Scenario 2'!$D$5</c:f>
              <c:strCache>
                <c:ptCount val="1"/>
                <c:pt idx="0">
                  <c:v>Qs</c:v>
                </c:pt>
              </c:strCache>
            </c:strRef>
          </c:tx>
          <c:spPr>
            <a:ln w="19050" cap="rnd">
              <a:solidFill>
                <a:schemeClr val="accent2"/>
              </a:solidFill>
              <a:round/>
            </a:ln>
            <a:effectLst/>
          </c:spPr>
          <c:marker>
            <c:symbol val="circle"/>
            <c:size val="5"/>
            <c:spPr>
              <a:solidFill>
                <a:schemeClr val="accent2"/>
              </a:solidFill>
              <a:ln w="9525">
                <a:solidFill>
                  <a:schemeClr val="accent2"/>
                </a:solidFill>
              </a:ln>
              <a:effectLst/>
            </c:spPr>
          </c:marker>
          <c:dLbls>
            <c:dLbl>
              <c:idx val="2"/>
              <c:layout>
                <c:manualLayout>
                  <c:x val="4.3331067266363953E-2"/>
                  <c:y val="-4.3859649122807015E-3"/>
                </c:manualLayout>
              </c:layout>
              <c:tx>
                <c:rich>
                  <a:bodyPr/>
                  <a:lstStyle/>
                  <a:p>
                    <a:r>
                      <a:rPr lang="en-US"/>
                      <a:t>E</a:t>
                    </a:r>
                  </a:p>
                </c:rich>
              </c:tx>
              <c:showLegendKey val="0"/>
              <c:showVal val="1"/>
              <c:showCatName val="1"/>
              <c:showSerName val="0"/>
              <c:showPercent val="0"/>
              <c:showBubbleSize val="0"/>
              <c:extLst>
                <c:ext xmlns:c15="http://schemas.microsoft.com/office/drawing/2012/chart" uri="{CE6537A1-D6FC-4f65-9D91-7224C49458BB}">
                  <c15:showDataLabelsRange val="0"/>
                </c:ext>
                <c:ext xmlns:c16="http://schemas.microsoft.com/office/drawing/2014/chart" uri="{C3380CC4-5D6E-409C-BE32-E72D297353CC}">
                  <c16:uniqueId val="{00000001-C19E-4382-B129-2881BACD6629}"/>
                </c:ext>
              </c:extLst>
            </c:dLbl>
            <c:spPr>
              <a:solidFill>
                <a:sysClr val="window" lastClr="FFFFFF"/>
              </a:solidFill>
              <a:ln>
                <a:solidFill>
                  <a:sysClr val="windowText" lastClr="000000">
                    <a:lumMod val="25000"/>
                    <a:lumOff val="75000"/>
                  </a:sysClr>
                </a:solidFill>
              </a:ln>
              <a:effectLst/>
            </c:spPr>
            <c:txPr>
              <a:bodyPr rot="0" spcFirstLastPara="1" vertOverflow="clip" horzOverflow="clip" vert="horz" wrap="square" lIns="38100" tIns="19050" rIns="38100" bIns="19050" anchor="ctr" anchorCtr="1">
                <a:spAutoFit/>
              </a:bodyPr>
              <a:lstStyle/>
              <a:p>
                <a:pPr>
                  <a:defRPr sz="900" b="0" i="0" u="none" strike="noStrike" kern="1200" baseline="0">
                    <a:solidFill>
                      <a:schemeClr val="dk1">
                        <a:lumMod val="65000"/>
                        <a:lumOff val="35000"/>
                      </a:schemeClr>
                    </a:solidFill>
                    <a:latin typeface="+mn-lt"/>
                    <a:ea typeface="+mn-ea"/>
                    <a:cs typeface="+mn-cs"/>
                  </a:defRPr>
                </a:pPr>
                <a:endParaRPr lang="en-US"/>
              </a:p>
            </c:txPr>
            <c:showLegendKey val="0"/>
            <c:showVal val="0"/>
            <c:showCatName val="0"/>
            <c:showSerName val="0"/>
            <c:showPercent val="0"/>
            <c:showBubbleSize val="0"/>
            <c:extLst>
              <c:ext xmlns:c15="http://schemas.microsoft.com/office/drawing/2012/chart" uri="{CE6537A1-D6FC-4f65-9D91-7224C49458BB}">
                <c15:spPr xmlns:c15="http://schemas.microsoft.com/office/drawing/2012/chart">
                  <a:prstGeom prst="wedgeRectCallout">
                    <a:avLst/>
                  </a:prstGeom>
                  <a:noFill/>
                  <a:ln>
                    <a:noFill/>
                  </a:ln>
                </c15:spPr>
                <c15:showLeaderLines val="0"/>
              </c:ext>
            </c:extLst>
          </c:dLbls>
          <c:xVal>
            <c:numRef>
              <c:f>'Scenario 2'!$D$6:$D$11</c:f>
              <c:numCache>
                <c:formatCode>General</c:formatCode>
                <c:ptCount val="6"/>
                <c:pt idx="0">
                  <c:v>1500</c:v>
                </c:pt>
                <c:pt idx="1">
                  <c:v>1250</c:v>
                </c:pt>
                <c:pt idx="2">
                  <c:v>1000</c:v>
                </c:pt>
                <c:pt idx="3">
                  <c:v>750</c:v>
                </c:pt>
                <c:pt idx="4">
                  <c:v>500</c:v>
                </c:pt>
                <c:pt idx="5">
                  <c:v>250</c:v>
                </c:pt>
              </c:numCache>
            </c:numRef>
          </c:xVal>
          <c:yVal>
            <c:numRef>
              <c:f>'Scenario 2'!$B$6:$B$11</c:f>
              <c:numCache>
                <c:formatCode>_("$"* #,##0_);_("$"* \(#,##0\);_("$"* "-"??_);_(@_)</c:formatCode>
                <c:ptCount val="6"/>
                <c:pt idx="0">
                  <c:v>3500</c:v>
                </c:pt>
                <c:pt idx="1">
                  <c:v>3000</c:v>
                </c:pt>
                <c:pt idx="2">
                  <c:v>2500</c:v>
                </c:pt>
                <c:pt idx="3">
                  <c:v>2000</c:v>
                </c:pt>
                <c:pt idx="4">
                  <c:v>1500</c:v>
                </c:pt>
                <c:pt idx="5">
                  <c:v>1000</c:v>
                </c:pt>
              </c:numCache>
            </c:numRef>
          </c:yVal>
          <c:smooth val="0"/>
          <c:extLst>
            <c:ext xmlns:c16="http://schemas.microsoft.com/office/drawing/2014/chart" uri="{C3380CC4-5D6E-409C-BE32-E72D297353CC}">
              <c16:uniqueId val="{00000002-C19E-4382-B129-2881BACD6629}"/>
            </c:ext>
          </c:extLst>
        </c:ser>
        <c:ser>
          <c:idx val="2"/>
          <c:order val="2"/>
          <c:tx>
            <c:v>Price Ceiling</c:v>
          </c:tx>
          <c:spPr>
            <a:ln w="19050" cap="rnd">
              <a:solidFill>
                <a:schemeClr val="accent3"/>
              </a:solidFill>
              <a:round/>
            </a:ln>
            <a:effectLst/>
          </c:spPr>
          <c:marker>
            <c:symbol val="circle"/>
            <c:size val="5"/>
            <c:spPr>
              <a:solidFill>
                <a:schemeClr val="accent3"/>
              </a:solidFill>
              <a:ln w="9525">
                <a:solidFill>
                  <a:schemeClr val="accent3"/>
                </a:solidFill>
              </a:ln>
              <a:effectLst/>
            </c:spPr>
          </c:marker>
          <c:xVal>
            <c:numRef>
              <c:f>'Scenario 2'!$I$13:$I$14</c:f>
              <c:numCache>
                <c:formatCode>General</c:formatCode>
                <c:ptCount val="2"/>
                <c:pt idx="0">
                  <c:v>1250</c:v>
                </c:pt>
                <c:pt idx="1">
                  <c:v>750</c:v>
                </c:pt>
              </c:numCache>
            </c:numRef>
          </c:xVal>
          <c:yVal>
            <c:numRef>
              <c:f>'Scenario 2'!$J$13:$J$14</c:f>
              <c:numCache>
                <c:formatCode>_("$"* #,##0_);_("$"* \(#,##0\);_("$"* "-"_);_(@_)</c:formatCode>
                <c:ptCount val="2"/>
                <c:pt idx="0">
                  <c:v>2000</c:v>
                </c:pt>
                <c:pt idx="1">
                  <c:v>2000</c:v>
                </c:pt>
              </c:numCache>
            </c:numRef>
          </c:yVal>
          <c:smooth val="0"/>
          <c:extLst>
            <c:ext xmlns:c16="http://schemas.microsoft.com/office/drawing/2014/chart" uri="{C3380CC4-5D6E-409C-BE32-E72D297353CC}">
              <c16:uniqueId val="{00000003-C19E-4382-B129-2881BACD6629}"/>
            </c:ext>
          </c:extLst>
        </c:ser>
        <c:dLbls>
          <c:showLegendKey val="0"/>
          <c:showVal val="0"/>
          <c:showCatName val="0"/>
          <c:showSerName val="0"/>
          <c:showPercent val="0"/>
          <c:showBubbleSize val="0"/>
        </c:dLbls>
        <c:axId val="211497887"/>
        <c:axId val="211499551"/>
      </c:scatterChart>
      <c:valAx>
        <c:axId val="211497887"/>
        <c:scaling>
          <c:orientation val="minMax"/>
        </c:scaling>
        <c:delete val="0"/>
        <c:axPos val="b"/>
        <c:majorGridlines>
          <c:spPr>
            <a:ln w="9525" cap="flat" cmpd="sng" algn="ctr">
              <a:solidFill>
                <a:schemeClr val="tx1">
                  <a:lumMod val="15000"/>
                  <a:lumOff val="85000"/>
                </a:schemeClr>
              </a:solidFill>
              <a:round/>
            </a:ln>
            <a:effectLst/>
          </c:spPr>
        </c:majorGridlines>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Quanity</a:t>
                </a:r>
                <a:r>
                  <a:rPr lang="en-US" baseline="0"/>
                  <a:t> (Number of Rental Units)</a:t>
                </a:r>
                <a:endParaRPr lang="en-US"/>
              </a:p>
            </c:rich>
          </c:tx>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11499551"/>
        <c:crosses val="autoZero"/>
        <c:crossBetween val="midCat"/>
      </c:valAx>
      <c:valAx>
        <c:axId val="211499551"/>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Price</a:t>
                </a:r>
                <a:r>
                  <a:rPr lang="en-US" baseline="0"/>
                  <a:t> (Monthly Rent)</a:t>
                </a:r>
                <a:endParaRPr lang="en-US"/>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_(&quot;$&quot;* #,##0_);_(&quot;$&quot;* \(#,##0\);_(&quot;$&quot;* &quot;-&quot;??_);_(@_)"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11497887"/>
        <c:crosses val="autoZero"/>
        <c:crossBetween val="midCat"/>
      </c:valAx>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EBD3EBF00E32A4C9F6D48793F425B25" ma:contentTypeVersion="7" ma:contentTypeDescription="Create a new document." ma:contentTypeScope="" ma:versionID="4633f6fc0c390606b73eed651e5451ea">
  <xsd:schema xmlns:xsd="http://www.w3.org/2001/XMLSchema" xmlns:xs="http://www.w3.org/2001/XMLSchema" xmlns:p="http://schemas.microsoft.com/office/2006/metadata/properties" xmlns:ns3="70ba9666-0cca-4db4-9300-09ee588ea89f" xmlns:ns4="e64cc599-4da4-4c94-94c3-219b866cfc24" targetNamespace="http://schemas.microsoft.com/office/2006/metadata/properties" ma:root="true" ma:fieldsID="ed16e433d1e4ed8b315af5743fc7232b" ns3:_="" ns4:_="">
    <xsd:import namespace="70ba9666-0cca-4db4-9300-09ee588ea89f"/>
    <xsd:import namespace="e64cc599-4da4-4c94-94c3-219b866cfc24"/>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0ba9666-0cca-4db4-9300-09ee588ea89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64cc599-4da4-4c94-94c3-219b866cfc24"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FC43DC5-281A-4FAC-9873-2A2609BE6B2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0ba9666-0cca-4db4-9300-09ee588ea89f"/>
    <ds:schemaRef ds:uri="e64cc599-4da4-4c94-94c3-219b866cfc2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BFD522F-0BA7-47CD-B0F7-8C3E1F7B3B2F}">
  <ds:schemaRefs>
    <ds:schemaRef ds:uri="http://schemas.microsoft.com/sharepoint/v3/contenttype/forms"/>
  </ds:schemaRefs>
</ds:datastoreItem>
</file>

<file path=customXml/itemProps3.xml><?xml version="1.0" encoding="utf-8"?>
<ds:datastoreItem xmlns:ds="http://schemas.openxmlformats.org/officeDocument/2006/customXml" ds:itemID="{33AF6BB8-A1F4-4EC5-B82E-19FA75DC90B3}">
  <ds:schemaRefs>
    <ds:schemaRef ds:uri="http://purl.org/dc/elements/1.1/"/>
    <ds:schemaRef ds:uri="http://schemas.microsoft.com/office/2006/metadata/properties"/>
    <ds:schemaRef ds:uri="http://schemas.openxmlformats.org/package/2006/metadata/core-properties"/>
    <ds:schemaRef ds:uri="e64cc599-4da4-4c94-94c3-219b866cfc24"/>
    <ds:schemaRef ds:uri="http://schemas.microsoft.com/office/infopath/2007/PartnerControls"/>
    <ds:schemaRef ds:uri="http://purl.org/dc/terms/"/>
    <ds:schemaRef ds:uri="70ba9666-0cca-4db4-9300-09ee588ea89f"/>
    <ds:schemaRef ds:uri="http://schemas.microsoft.com/office/2006/documentManagement/types"/>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491</Words>
  <Characters>2805</Characters>
  <Application>Microsoft Office Word</Application>
  <DocSecurity>0</DocSecurity>
  <Lines>23</Lines>
  <Paragraphs>6</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/ECON195 – Macroeconomics  Final ePortfolio Submission Template</vt:lpstr>
    </vt:vector>
  </TitlesOfParts>
  <Company/>
  <LinksUpToDate>false</LinksUpToDate>
  <CharactersWithSpaces>3290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Wesolowski, James A</dc:creator>
  <cp:keywords/>
  <dc:description/>
  <cp:lastModifiedBy>carolyn haynes</cp:lastModifiedBy>
  <cp:revision>2</cp:revision>
  <dcterms:created xsi:type="dcterms:W3CDTF">2022-08-16T00:04:00Z</dcterms:created>
  <dcterms:modified xsi:type="dcterms:W3CDTF">2022-08-16T00:04:00Z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0x010100BEBD3EBF00E32A4C9F6D48793F425B25</vt:lpwstr>
  </property>
</Properties>
</file>