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ook w:val="04A0" w:firstRow="1" w:lastRow="0" w:firstColumn="1" w:lastColumn="0" w:noHBand="0" w:noVBand="1"/>
        <w:tblDescription w:val="Company name"/>
      </w:tblPr>
      <w:tblGrid>
        <w:gridCol w:w="4788"/>
        <w:gridCol w:w="4788"/>
      </w:tblGrid>
      <w:tr w:rsidR="00613721" w14:paraId="4AA4865A" w14:textId="77777777">
        <w:trPr>
          <w:trHeight w:val="1008"/>
        </w:trPr>
        <w:tc>
          <w:tcPr>
            <w:tcW w:w="4788" w:type="dxa"/>
          </w:tcPr>
          <w:p w14:paraId="70BB0E54" w14:textId="77777777" w:rsidR="00613721" w:rsidRDefault="00613721">
            <w:pPr>
              <w:spacing w:after="0" w:line="240" w:lineRule="auto"/>
            </w:pPr>
          </w:p>
        </w:tc>
        <w:tc>
          <w:tcPr>
            <w:tcW w:w="4788" w:type="dxa"/>
            <w:shd w:val="clear" w:color="auto" w:fill="404040" w:themeFill="text1" w:themeFillTint="BF"/>
            <w:vAlign w:val="center"/>
          </w:tcPr>
          <w:p w14:paraId="532196D7" w14:textId="1F00CF09" w:rsidR="00613721" w:rsidRDefault="00A27010" w:rsidP="00EA3505">
            <w:pPr>
              <w:pStyle w:val="CompanyName"/>
            </w:pPr>
            <w:r>
              <w:t>IRONSIDE, SIFUENTES, MATLOCK AND REGAN, P.C.</w:t>
            </w:r>
          </w:p>
        </w:tc>
      </w:tr>
    </w:tbl>
    <w:p w14:paraId="24C31924" w14:textId="77777777" w:rsidR="00613721" w:rsidRDefault="00ED47FE">
      <w:pPr>
        <w:pStyle w:val="Title"/>
      </w:pPr>
      <w:r>
        <w:t>Memo</w:t>
      </w:r>
    </w:p>
    <w:tbl>
      <w:tblPr>
        <w:tblW w:w="4759" w:type="pct"/>
        <w:tblLayout w:type="fixed"/>
        <w:tblCellMar>
          <w:left w:w="0" w:type="dxa"/>
          <w:right w:w="0" w:type="dxa"/>
        </w:tblCellMar>
        <w:tblLook w:val="04A0" w:firstRow="1" w:lastRow="0" w:firstColumn="1" w:lastColumn="0" w:noHBand="0" w:noVBand="1"/>
        <w:tblDescription w:val="Memo address section"/>
      </w:tblPr>
      <w:tblGrid>
        <w:gridCol w:w="1183"/>
        <w:gridCol w:w="7726"/>
      </w:tblGrid>
      <w:tr w:rsidR="00613721" w:rsidRPr="007E3450" w14:paraId="1D6C820A" w14:textId="77777777" w:rsidTr="0047510F">
        <w:trPr>
          <w:trHeight w:val="505"/>
        </w:trPr>
        <w:tc>
          <w:tcPr>
            <w:tcW w:w="1183" w:type="dxa"/>
            <w:vAlign w:val="bottom"/>
          </w:tcPr>
          <w:p w14:paraId="6BA849E0" w14:textId="77777777" w:rsidR="00613721" w:rsidRPr="007E3450" w:rsidRDefault="00ED47FE">
            <w:pPr>
              <w:pStyle w:val="Heading1"/>
              <w:spacing w:after="0" w:line="240" w:lineRule="auto"/>
              <w:rPr>
                <w:rFonts w:ascii="Times New Roman" w:hAnsi="Times New Roman" w:cs="Times New Roman"/>
                <w:sz w:val="24"/>
                <w:szCs w:val="24"/>
              </w:rPr>
            </w:pPr>
            <w:r w:rsidRPr="007E3450">
              <w:rPr>
                <w:rFonts w:ascii="Times New Roman" w:hAnsi="Times New Roman" w:cs="Times New Roman"/>
                <w:sz w:val="24"/>
                <w:szCs w:val="24"/>
              </w:rPr>
              <w:t>To:</w:t>
            </w:r>
          </w:p>
        </w:tc>
        <w:tc>
          <w:tcPr>
            <w:tcW w:w="7726" w:type="dxa"/>
            <w:vAlign w:val="bottom"/>
          </w:tcPr>
          <w:p w14:paraId="32270160" w14:textId="1F2731C1" w:rsidR="00613721" w:rsidRPr="007E3450" w:rsidRDefault="00A27010">
            <w:pPr>
              <w:spacing w:after="0" w:line="240" w:lineRule="auto"/>
              <w:rPr>
                <w:rFonts w:ascii="Times New Roman" w:hAnsi="Times New Roman" w:cs="Times New Roman"/>
                <w:sz w:val="24"/>
                <w:szCs w:val="24"/>
              </w:rPr>
            </w:pPr>
            <w:r>
              <w:rPr>
                <w:rFonts w:ascii="Times New Roman" w:hAnsi="Times New Roman" w:cs="Times New Roman"/>
                <w:sz w:val="24"/>
                <w:szCs w:val="24"/>
              </w:rPr>
              <w:t>STEVEN IRONSIDE</w:t>
            </w:r>
          </w:p>
        </w:tc>
      </w:tr>
      <w:tr w:rsidR="00613721" w:rsidRPr="007E3450" w14:paraId="75053419" w14:textId="77777777" w:rsidTr="0047510F">
        <w:trPr>
          <w:trHeight w:val="505"/>
        </w:trPr>
        <w:tc>
          <w:tcPr>
            <w:tcW w:w="1183" w:type="dxa"/>
            <w:vAlign w:val="bottom"/>
          </w:tcPr>
          <w:p w14:paraId="66C57C04" w14:textId="77777777" w:rsidR="00613721" w:rsidRPr="007E3450" w:rsidRDefault="00ED47FE">
            <w:pPr>
              <w:pStyle w:val="Heading1"/>
              <w:spacing w:after="0" w:line="240" w:lineRule="auto"/>
              <w:rPr>
                <w:rFonts w:ascii="Times New Roman" w:hAnsi="Times New Roman" w:cs="Times New Roman"/>
                <w:sz w:val="24"/>
                <w:szCs w:val="24"/>
              </w:rPr>
            </w:pPr>
            <w:r w:rsidRPr="007E3450">
              <w:rPr>
                <w:rFonts w:ascii="Times New Roman" w:hAnsi="Times New Roman" w:cs="Times New Roman"/>
                <w:sz w:val="24"/>
                <w:szCs w:val="24"/>
              </w:rPr>
              <w:t>From:</w:t>
            </w:r>
          </w:p>
        </w:tc>
        <w:tc>
          <w:tcPr>
            <w:tcW w:w="7726" w:type="dxa"/>
            <w:vAlign w:val="bottom"/>
          </w:tcPr>
          <w:p w14:paraId="4133A31C" w14:textId="66ECF37F" w:rsidR="00613721" w:rsidRPr="00A27010" w:rsidRDefault="00A27010" w:rsidP="00A27010">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PARALEGAL</w:t>
            </w:r>
          </w:p>
        </w:tc>
      </w:tr>
      <w:tr w:rsidR="00613721" w:rsidRPr="007E3450" w14:paraId="0ACB6A2F" w14:textId="77777777" w:rsidTr="0047510F">
        <w:trPr>
          <w:trHeight w:val="505"/>
        </w:trPr>
        <w:tc>
          <w:tcPr>
            <w:tcW w:w="1183" w:type="dxa"/>
            <w:vAlign w:val="bottom"/>
          </w:tcPr>
          <w:p w14:paraId="63AC957F" w14:textId="77777777" w:rsidR="00613721" w:rsidRPr="007E3450" w:rsidRDefault="00ED47FE">
            <w:pPr>
              <w:pStyle w:val="Heading1"/>
              <w:spacing w:after="0" w:line="240" w:lineRule="auto"/>
              <w:rPr>
                <w:rFonts w:ascii="Times New Roman" w:hAnsi="Times New Roman" w:cs="Times New Roman"/>
                <w:sz w:val="24"/>
                <w:szCs w:val="24"/>
              </w:rPr>
            </w:pPr>
            <w:r w:rsidRPr="007E3450">
              <w:rPr>
                <w:rFonts w:ascii="Times New Roman" w:hAnsi="Times New Roman" w:cs="Times New Roman"/>
                <w:sz w:val="24"/>
                <w:szCs w:val="24"/>
              </w:rPr>
              <w:t>cc:</w:t>
            </w:r>
          </w:p>
        </w:tc>
        <w:tc>
          <w:tcPr>
            <w:tcW w:w="7726" w:type="dxa"/>
            <w:vAlign w:val="bottom"/>
          </w:tcPr>
          <w:p w14:paraId="6EF0110F" w14:textId="54AFF029" w:rsidR="00613721" w:rsidRPr="007E3450" w:rsidRDefault="00AA25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Managing partner </w:t>
            </w:r>
          </w:p>
        </w:tc>
      </w:tr>
      <w:tr w:rsidR="00613721" w:rsidRPr="007E3450" w14:paraId="4A644FF4" w14:textId="77777777" w:rsidTr="0047510F">
        <w:trPr>
          <w:trHeight w:val="505"/>
        </w:trPr>
        <w:tc>
          <w:tcPr>
            <w:tcW w:w="1183" w:type="dxa"/>
            <w:vAlign w:val="bottom"/>
          </w:tcPr>
          <w:p w14:paraId="38B538C2" w14:textId="77777777" w:rsidR="00613721" w:rsidRPr="007E3450" w:rsidRDefault="00ED47FE">
            <w:pPr>
              <w:pStyle w:val="Heading1"/>
              <w:spacing w:after="0" w:line="240" w:lineRule="auto"/>
              <w:rPr>
                <w:rFonts w:ascii="Times New Roman" w:hAnsi="Times New Roman" w:cs="Times New Roman"/>
                <w:sz w:val="24"/>
                <w:szCs w:val="24"/>
              </w:rPr>
            </w:pPr>
            <w:r w:rsidRPr="007E3450">
              <w:rPr>
                <w:rFonts w:ascii="Times New Roman" w:hAnsi="Times New Roman" w:cs="Times New Roman"/>
                <w:sz w:val="24"/>
                <w:szCs w:val="24"/>
              </w:rPr>
              <w:t>Date:</w:t>
            </w:r>
          </w:p>
        </w:tc>
        <w:tc>
          <w:tcPr>
            <w:tcW w:w="7726" w:type="dxa"/>
            <w:vAlign w:val="bottom"/>
          </w:tcPr>
          <w:p w14:paraId="1B4F4059" w14:textId="0840DD7A" w:rsidR="00613721" w:rsidRPr="007E3450" w:rsidRDefault="00A27010" w:rsidP="00096546">
            <w:pPr>
              <w:spacing w:after="0" w:line="240" w:lineRule="auto"/>
              <w:rPr>
                <w:rFonts w:ascii="Times New Roman" w:hAnsi="Times New Roman" w:cs="Times New Roman"/>
                <w:sz w:val="24"/>
                <w:szCs w:val="24"/>
              </w:rPr>
            </w:pPr>
            <w:r>
              <w:rPr>
                <w:rFonts w:ascii="Times New Roman" w:hAnsi="Times New Roman" w:cs="Times New Roman"/>
                <w:sz w:val="24"/>
                <w:szCs w:val="24"/>
              </w:rPr>
              <w:t>Sep 20</w:t>
            </w:r>
            <w:r w:rsidRPr="00A27010">
              <w:rPr>
                <w:rFonts w:ascii="Times New Roman" w:hAnsi="Times New Roman" w:cs="Times New Roman"/>
                <w:sz w:val="24"/>
                <w:szCs w:val="24"/>
                <w:vertAlign w:val="superscript"/>
              </w:rPr>
              <w:t>th</w:t>
            </w:r>
            <w:r>
              <w:rPr>
                <w:rFonts w:ascii="Times New Roman" w:hAnsi="Times New Roman" w:cs="Times New Roman"/>
                <w:sz w:val="24"/>
                <w:szCs w:val="24"/>
              </w:rPr>
              <w:t xml:space="preserve"> 2020</w:t>
            </w:r>
          </w:p>
        </w:tc>
      </w:tr>
      <w:tr w:rsidR="00613721" w:rsidRPr="007E3450" w14:paraId="3BDB1545" w14:textId="77777777" w:rsidTr="0047510F">
        <w:trPr>
          <w:trHeight w:val="505"/>
        </w:trPr>
        <w:tc>
          <w:tcPr>
            <w:tcW w:w="1183" w:type="dxa"/>
            <w:vAlign w:val="bottom"/>
          </w:tcPr>
          <w:p w14:paraId="055C1145" w14:textId="77777777" w:rsidR="00613721" w:rsidRPr="007E3450" w:rsidRDefault="00ED47FE">
            <w:pPr>
              <w:pStyle w:val="Heading1"/>
              <w:spacing w:after="0" w:line="240" w:lineRule="auto"/>
              <w:rPr>
                <w:rFonts w:ascii="Times New Roman" w:hAnsi="Times New Roman" w:cs="Times New Roman"/>
                <w:sz w:val="24"/>
                <w:szCs w:val="24"/>
              </w:rPr>
            </w:pPr>
            <w:r w:rsidRPr="007E3450">
              <w:rPr>
                <w:rFonts w:ascii="Times New Roman" w:hAnsi="Times New Roman" w:cs="Times New Roman"/>
                <w:sz w:val="24"/>
                <w:szCs w:val="24"/>
              </w:rPr>
              <w:t>Re:</w:t>
            </w:r>
          </w:p>
        </w:tc>
        <w:tc>
          <w:tcPr>
            <w:tcW w:w="7726" w:type="dxa"/>
            <w:vAlign w:val="bottom"/>
          </w:tcPr>
          <w:p w14:paraId="380F3E70" w14:textId="47CA9893" w:rsidR="00613721" w:rsidRPr="007E3450" w:rsidRDefault="00A2701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Memo </w:t>
            </w:r>
          </w:p>
        </w:tc>
      </w:tr>
      <w:tr w:rsidR="00613721" w:rsidRPr="007E3450" w14:paraId="24C6FA21" w14:textId="77777777" w:rsidTr="0047510F">
        <w:trPr>
          <w:trHeight w:val="276"/>
        </w:trPr>
        <w:tc>
          <w:tcPr>
            <w:tcW w:w="1183" w:type="dxa"/>
            <w:vAlign w:val="center"/>
          </w:tcPr>
          <w:p w14:paraId="5ECBD5F3" w14:textId="77777777" w:rsidR="00613721" w:rsidRPr="007E3450" w:rsidRDefault="00613721">
            <w:pPr>
              <w:spacing w:after="0" w:line="240" w:lineRule="auto"/>
              <w:rPr>
                <w:rFonts w:ascii="Times New Roman" w:hAnsi="Times New Roman" w:cs="Times New Roman"/>
                <w:sz w:val="24"/>
                <w:szCs w:val="24"/>
              </w:rPr>
            </w:pPr>
          </w:p>
        </w:tc>
        <w:tc>
          <w:tcPr>
            <w:tcW w:w="7726" w:type="dxa"/>
            <w:vAlign w:val="center"/>
          </w:tcPr>
          <w:p w14:paraId="4CDBBBF8" w14:textId="77777777" w:rsidR="00613721" w:rsidRPr="007E3450" w:rsidRDefault="00613721">
            <w:pPr>
              <w:spacing w:after="0" w:line="240" w:lineRule="auto"/>
              <w:rPr>
                <w:rFonts w:ascii="Times New Roman" w:hAnsi="Times New Roman" w:cs="Times New Roman"/>
                <w:sz w:val="24"/>
                <w:szCs w:val="24"/>
              </w:rPr>
            </w:pPr>
          </w:p>
        </w:tc>
      </w:tr>
      <w:tr w:rsidR="0047510F" w:rsidRPr="007E3450" w14:paraId="0E217D7E" w14:textId="77777777" w:rsidTr="0047510F">
        <w:trPr>
          <w:trHeight w:val="276"/>
        </w:trPr>
        <w:tc>
          <w:tcPr>
            <w:tcW w:w="1183" w:type="dxa"/>
            <w:tcBorders>
              <w:bottom w:val="single" w:sz="4" w:space="0" w:color="auto"/>
            </w:tcBorders>
            <w:vAlign w:val="center"/>
          </w:tcPr>
          <w:p w14:paraId="14666ADF" w14:textId="77777777" w:rsidR="0047510F" w:rsidRPr="007E3450" w:rsidRDefault="0047510F">
            <w:pPr>
              <w:spacing w:after="0" w:line="240" w:lineRule="auto"/>
              <w:rPr>
                <w:rFonts w:ascii="Times New Roman" w:hAnsi="Times New Roman" w:cs="Times New Roman"/>
                <w:sz w:val="24"/>
                <w:szCs w:val="24"/>
              </w:rPr>
            </w:pPr>
          </w:p>
        </w:tc>
        <w:tc>
          <w:tcPr>
            <w:tcW w:w="7726" w:type="dxa"/>
            <w:tcBorders>
              <w:bottom w:val="single" w:sz="4" w:space="0" w:color="auto"/>
            </w:tcBorders>
            <w:vAlign w:val="center"/>
          </w:tcPr>
          <w:p w14:paraId="381EBC10" w14:textId="77777777" w:rsidR="0047510F" w:rsidRPr="007E3450" w:rsidRDefault="0047510F">
            <w:pPr>
              <w:spacing w:after="0" w:line="240" w:lineRule="auto"/>
              <w:rPr>
                <w:rFonts w:ascii="Times New Roman" w:hAnsi="Times New Roman" w:cs="Times New Roman"/>
                <w:sz w:val="24"/>
                <w:szCs w:val="24"/>
              </w:rPr>
            </w:pPr>
          </w:p>
        </w:tc>
      </w:tr>
    </w:tbl>
    <w:p w14:paraId="46B006A4" w14:textId="77777777" w:rsidR="00EF5652" w:rsidRDefault="00EF5652" w:rsidP="00EF5652">
      <w:pPr>
        <w:rPr>
          <w:rFonts w:ascii="Times New Roman" w:hAnsi="Times New Roman" w:cs="Times New Roman"/>
          <w:sz w:val="24"/>
          <w:szCs w:val="24"/>
        </w:rPr>
      </w:pPr>
    </w:p>
    <w:p w14:paraId="76E1BE04" w14:textId="1B30F7D3" w:rsidR="00AA2558" w:rsidRDefault="00783128" w:rsidP="00A27010">
      <w:pPr>
        <w:ind w:firstLine="720"/>
        <w:rPr>
          <w:rFonts w:ascii="Times New Roman" w:hAnsi="Times New Roman" w:cs="Times New Roman"/>
          <w:sz w:val="24"/>
          <w:szCs w:val="24"/>
        </w:rPr>
      </w:pPr>
      <w:r>
        <w:rPr>
          <w:rFonts w:ascii="Times New Roman" w:hAnsi="Times New Roman" w:cs="Times New Roman"/>
          <w:sz w:val="24"/>
          <w:szCs w:val="24"/>
        </w:rPr>
        <w:t xml:space="preserve"> </w:t>
      </w:r>
      <w:r w:rsidR="00A27010">
        <w:rPr>
          <w:rFonts w:ascii="Times New Roman" w:hAnsi="Times New Roman" w:cs="Times New Roman"/>
          <w:sz w:val="24"/>
          <w:szCs w:val="24"/>
        </w:rPr>
        <w:t>Hello Steven, I have received your email requesting the determination of self-defense on the Blume case. I have read the facts of the case thoroughly in order to start my research process</w:t>
      </w:r>
      <w:r w:rsidR="004C4BF5">
        <w:rPr>
          <w:rFonts w:ascii="Times New Roman" w:hAnsi="Times New Roman" w:cs="Times New Roman"/>
          <w:sz w:val="24"/>
          <w:szCs w:val="24"/>
        </w:rPr>
        <w:t xml:space="preserve"> and link any possible affirmative defenses</w:t>
      </w:r>
      <w:r w:rsidR="00A27010">
        <w:rPr>
          <w:rFonts w:ascii="Times New Roman" w:hAnsi="Times New Roman" w:cs="Times New Roman"/>
          <w:sz w:val="24"/>
          <w:szCs w:val="24"/>
        </w:rPr>
        <w:t xml:space="preserve">. I have conducted research in our state regarding viable self-defense based on the circumstances of our case. Below I will outline your request and the most likely outcome for our client. </w:t>
      </w:r>
    </w:p>
    <w:p w14:paraId="40A020AF" w14:textId="210DF513" w:rsidR="004C4BF5" w:rsidRDefault="004C4BF5" w:rsidP="00A27010">
      <w:pPr>
        <w:ind w:firstLine="720"/>
        <w:rPr>
          <w:rFonts w:ascii="Times New Roman" w:hAnsi="Times New Roman" w:cs="Times New Roman"/>
          <w:sz w:val="24"/>
          <w:szCs w:val="24"/>
        </w:rPr>
      </w:pPr>
      <w:r>
        <w:rPr>
          <w:rFonts w:ascii="Times New Roman" w:hAnsi="Times New Roman" w:cs="Times New Roman"/>
          <w:sz w:val="24"/>
          <w:szCs w:val="24"/>
        </w:rPr>
        <w:t xml:space="preserve">In the state of NY there is a </w:t>
      </w:r>
      <w:r w:rsidRPr="004C4BF5">
        <w:rPr>
          <w:rFonts w:ascii="Times New Roman" w:hAnsi="Times New Roman" w:cs="Times New Roman"/>
          <w:sz w:val="24"/>
          <w:szCs w:val="24"/>
        </w:rPr>
        <w:t>Duty to retreat</w:t>
      </w:r>
      <w:r>
        <w:rPr>
          <w:rFonts w:ascii="Times New Roman" w:hAnsi="Times New Roman" w:cs="Times New Roman"/>
          <w:sz w:val="24"/>
          <w:szCs w:val="24"/>
        </w:rPr>
        <w:t xml:space="preserve"> law in place. This means that </w:t>
      </w:r>
      <w:r w:rsidRPr="004C4BF5">
        <w:rPr>
          <w:rFonts w:ascii="Times New Roman" w:hAnsi="Times New Roman" w:cs="Times New Roman"/>
          <w:sz w:val="24"/>
          <w:szCs w:val="24"/>
        </w:rPr>
        <w:t xml:space="preserve">laws specifically pertain to the use of deadly force. A state with a form of a “duty to retreat” policy expects individuals to attempt to retreat from imminent danger by running away or escaping the situation. If the individual is physically incapable of fleeing the situation, the use of deadly force can be considered self-defense. If a person is cornered or physically restrained and facing bodily </w:t>
      </w:r>
      <w:r w:rsidRPr="004C4BF5">
        <w:rPr>
          <w:rFonts w:ascii="Times New Roman" w:hAnsi="Times New Roman" w:cs="Times New Roman"/>
          <w:sz w:val="24"/>
          <w:szCs w:val="24"/>
        </w:rPr>
        <w:lastRenderedPageBreak/>
        <w:t>injury or death, they are then authorized to use whatever force necessary to protect themselves, including deadly force.</w:t>
      </w:r>
      <w:r w:rsidR="00A853E2" w:rsidRPr="00A853E2">
        <w:t xml:space="preserve"> </w:t>
      </w:r>
    </w:p>
    <w:p w14:paraId="2DB3D64B" w14:textId="6A51DA71" w:rsidR="004C4BF5" w:rsidRDefault="00A853E2" w:rsidP="00A27010">
      <w:pPr>
        <w:ind w:firstLine="720"/>
        <w:rPr>
          <w:rFonts w:ascii="Times New Roman" w:hAnsi="Times New Roman" w:cs="Times New Roman"/>
          <w:sz w:val="24"/>
          <w:szCs w:val="24"/>
        </w:rPr>
      </w:pPr>
      <w:r>
        <w:rPr>
          <w:rFonts w:ascii="Times New Roman" w:hAnsi="Times New Roman" w:cs="Times New Roman"/>
          <w:sz w:val="24"/>
          <w:szCs w:val="24"/>
        </w:rPr>
        <w:t xml:space="preserve">The legal definition of self-defense is </w:t>
      </w:r>
      <w:r w:rsidRPr="00A853E2">
        <w:rPr>
          <w:rFonts w:ascii="Times New Roman" w:hAnsi="Times New Roman" w:cs="Times New Roman"/>
          <w:sz w:val="24"/>
          <w:szCs w:val="24"/>
        </w:rPr>
        <w:t>the use of force to protect oneself from an attempted injury by another. If justified, self-defense is a defense to a number of crimes and torts involving force, including murder, assault and battery.</w:t>
      </w:r>
      <w:r>
        <w:rPr>
          <w:rFonts w:ascii="Times New Roman" w:hAnsi="Times New Roman" w:cs="Times New Roman"/>
          <w:sz w:val="24"/>
          <w:szCs w:val="24"/>
        </w:rPr>
        <w:t xml:space="preserve"> In the state of NY, you are legally allowed to use self-defense when the </w:t>
      </w:r>
      <w:r w:rsidRPr="00A853E2">
        <w:rPr>
          <w:rFonts w:ascii="Times New Roman" w:hAnsi="Times New Roman" w:cs="Times New Roman"/>
          <w:sz w:val="24"/>
          <w:szCs w:val="24"/>
        </w:rPr>
        <w:t>individual is physically incapable of fleeing the situation; the use of deadly force can be considered self-defense. If a person is cornered or physically restrained and facing bodily injury or death, they are then authorized to use whatever force necessary to protect them</w:t>
      </w:r>
      <w:r>
        <w:rPr>
          <w:rFonts w:ascii="Times New Roman" w:hAnsi="Times New Roman" w:cs="Times New Roman"/>
          <w:sz w:val="24"/>
          <w:szCs w:val="24"/>
        </w:rPr>
        <w:t>selves</w:t>
      </w:r>
      <w:r w:rsidRPr="00A853E2">
        <w:rPr>
          <w:rFonts w:ascii="Times New Roman" w:hAnsi="Times New Roman" w:cs="Times New Roman"/>
          <w:sz w:val="24"/>
          <w:szCs w:val="24"/>
        </w:rPr>
        <w:t>, including deadly force.</w:t>
      </w:r>
    </w:p>
    <w:p w14:paraId="2F94A428" w14:textId="77777777" w:rsidR="00A853E2" w:rsidRDefault="00A853E2" w:rsidP="00A853E2">
      <w:pPr>
        <w:ind w:firstLine="720"/>
      </w:pPr>
      <w:r>
        <w:rPr>
          <w:rFonts w:ascii="Times New Roman" w:hAnsi="Times New Roman" w:cs="Times New Roman"/>
          <w:sz w:val="24"/>
          <w:szCs w:val="24"/>
        </w:rPr>
        <w:t xml:space="preserve">In order to prove the burden of self-defense </w:t>
      </w:r>
      <w:r w:rsidRPr="00A853E2">
        <w:rPr>
          <w:rFonts w:ascii="Times New Roman" w:hAnsi="Times New Roman" w:cs="Times New Roman"/>
          <w:sz w:val="24"/>
          <w:szCs w:val="24"/>
        </w:rPr>
        <w:t>In New York, NY Penal Law 35.15 governs self-defense claims. The statute also includes a defense for those acting in the defense of others. Specifically, that statute requires that the actor possess an honest and reasonable belief that they are facing unlawful physical force, or an imminent threat of unlawful physical force</w:t>
      </w:r>
      <w:r>
        <w:rPr>
          <w:rFonts w:ascii="Times New Roman" w:hAnsi="Times New Roman" w:cs="Times New Roman"/>
          <w:sz w:val="24"/>
          <w:szCs w:val="24"/>
        </w:rPr>
        <w:t>.</w:t>
      </w:r>
      <w:r w:rsidRPr="00A853E2">
        <w:rPr>
          <w:rFonts w:ascii="Times New Roman" w:hAnsi="Times New Roman" w:cs="Times New Roman"/>
          <w:sz w:val="24"/>
          <w:szCs w:val="24"/>
        </w:rPr>
        <w:t xml:space="preserve"> </w:t>
      </w:r>
      <w:r w:rsidRPr="00A853E2">
        <w:rPr>
          <w:rFonts w:ascii="Times New Roman" w:hAnsi="Times New Roman" w:cs="Times New Roman"/>
          <w:sz w:val="24"/>
          <w:szCs w:val="24"/>
        </w:rPr>
        <w:t>Self-defense</w:t>
      </w:r>
      <w:r w:rsidRPr="00A853E2">
        <w:rPr>
          <w:rFonts w:ascii="Times New Roman" w:hAnsi="Times New Roman" w:cs="Times New Roman"/>
          <w:sz w:val="24"/>
          <w:szCs w:val="24"/>
        </w:rPr>
        <w:t xml:space="preserve"> claims may not </w:t>
      </w:r>
      <w:r>
        <w:rPr>
          <w:rFonts w:ascii="Times New Roman" w:hAnsi="Times New Roman" w:cs="Times New Roman"/>
          <w:sz w:val="24"/>
          <w:szCs w:val="24"/>
        </w:rPr>
        <w:t xml:space="preserve">viable </w:t>
      </w:r>
      <w:r w:rsidRPr="00A853E2">
        <w:rPr>
          <w:rFonts w:ascii="Times New Roman" w:hAnsi="Times New Roman" w:cs="Times New Roman"/>
          <w:sz w:val="24"/>
          <w:szCs w:val="24"/>
        </w:rPr>
        <w:t xml:space="preserve">if the defendant is the initial aggressor or provokes the other person into attacking them with the intent of inflicting harm in retaliation. Even if a defendant is found to have met both of these elements, there is also the requirement that the force used be reasonable. </w:t>
      </w:r>
      <w:r>
        <w:rPr>
          <w:rFonts w:ascii="Times New Roman" w:hAnsi="Times New Roman" w:cs="Times New Roman"/>
          <w:sz w:val="24"/>
          <w:szCs w:val="24"/>
        </w:rPr>
        <w:t xml:space="preserve"> </w:t>
      </w:r>
      <w:r w:rsidRPr="00A853E2">
        <w:rPr>
          <w:rFonts w:ascii="Times New Roman" w:hAnsi="Times New Roman" w:cs="Times New Roman"/>
          <w:sz w:val="24"/>
          <w:szCs w:val="24"/>
        </w:rPr>
        <w:t>There are additional requirements when the force used by the defendant is considered to be deadly force. For example, as a general matter, deadly force can only be used when facing an imminent threat of deadly force and the ability to retreat is not an option. Importantly, however, New York does not require an individual to retreat when they are inside their own hom</w:t>
      </w:r>
      <w:r>
        <w:t xml:space="preserve">e. </w:t>
      </w:r>
    </w:p>
    <w:p w14:paraId="61360B86" w14:textId="4E4C2A3F" w:rsidR="00A853E2" w:rsidRDefault="00A853E2" w:rsidP="00A853E2">
      <w:pPr>
        <w:ind w:firstLine="720"/>
        <w:rPr>
          <w:rFonts w:ascii="Times New Roman" w:hAnsi="Times New Roman" w:cs="Times New Roman"/>
          <w:sz w:val="24"/>
          <w:szCs w:val="24"/>
        </w:rPr>
      </w:pPr>
      <w:r w:rsidRPr="00A853E2">
        <w:rPr>
          <w:rFonts w:ascii="Times New Roman" w:hAnsi="Times New Roman" w:cs="Times New Roman"/>
          <w:sz w:val="24"/>
          <w:szCs w:val="24"/>
        </w:rPr>
        <w:lastRenderedPageBreak/>
        <w:t xml:space="preserve">In determining </w:t>
      </w:r>
      <w:r>
        <w:rPr>
          <w:rFonts w:ascii="Times New Roman" w:hAnsi="Times New Roman" w:cs="Times New Roman"/>
          <w:sz w:val="24"/>
          <w:szCs w:val="24"/>
        </w:rPr>
        <w:t xml:space="preserve">the burden of proof, </w:t>
      </w:r>
      <w:r w:rsidRPr="00A853E2">
        <w:rPr>
          <w:rFonts w:ascii="Times New Roman" w:hAnsi="Times New Roman" w:cs="Times New Roman"/>
          <w:sz w:val="24"/>
          <w:szCs w:val="24"/>
        </w:rPr>
        <w:t>the</w:t>
      </w:r>
      <w:r w:rsidRPr="00A853E2">
        <w:rPr>
          <w:rFonts w:ascii="Times New Roman" w:hAnsi="Times New Roman" w:cs="Times New Roman"/>
          <w:sz w:val="24"/>
          <w:szCs w:val="24"/>
        </w:rPr>
        <w:t xml:space="preserve"> defendant’s guilt beyond a reasonable doubt, you may consider all the evidence presented, whether by the People or by the defendant. </w:t>
      </w:r>
      <w:r>
        <w:rPr>
          <w:rFonts w:ascii="Times New Roman" w:hAnsi="Times New Roman" w:cs="Times New Roman"/>
          <w:sz w:val="24"/>
          <w:szCs w:val="24"/>
        </w:rPr>
        <w:t>E</w:t>
      </w:r>
      <w:r w:rsidRPr="00A853E2">
        <w:rPr>
          <w:rFonts w:ascii="Times New Roman" w:hAnsi="Times New Roman" w:cs="Times New Roman"/>
          <w:sz w:val="24"/>
          <w:szCs w:val="24"/>
        </w:rPr>
        <w:t xml:space="preserve">ven though the defendant </w:t>
      </w:r>
      <w:r>
        <w:rPr>
          <w:rFonts w:ascii="Times New Roman" w:hAnsi="Times New Roman" w:cs="Times New Roman"/>
          <w:sz w:val="24"/>
          <w:szCs w:val="24"/>
        </w:rPr>
        <w:t xml:space="preserve">may </w:t>
      </w:r>
      <w:r w:rsidRPr="00A853E2">
        <w:rPr>
          <w:rFonts w:ascii="Times New Roman" w:hAnsi="Times New Roman" w:cs="Times New Roman"/>
          <w:sz w:val="24"/>
          <w:szCs w:val="24"/>
        </w:rPr>
        <w:t>introduce</w:t>
      </w:r>
      <w:r w:rsidRPr="00A853E2">
        <w:rPr>
          <w:rFonts w:ascii="Times New Roman" w:hAnsi="Times New Roman" w:cs="Times New Roman"/>
          <w:sz w:val="24"/>
          <w:szCs w:val="24"/>
        </w:rPr>
        <w:t xml:space="preserve"> evidence, the burden of proof remains on the People</w:t>
      </w:r>
      <w:r>
        <w:rPr>
          <w:rFonts w:ascii="Times New Roman" w:hAnsi="Times New Roman" w:cs="Times New Roman"/>
          <w:sz w:val="24"/>
          <w:szCs w:val="24"/>
        </w:rPr>
        <w:t xml:space="preserve">. </w:t>
      </w:r>
      <w:r w:rsidRPr="00A853E2">
        <w:rPr>
          <w:rFonts w:ascii="Times New Roman" w:hAnsi="Times New Roman" w:cs="Times New Roman"/>
          <w:sz w:val="24"/>
          <w:szCs w:val="24"/>
        </w:rPr>
        <w:t xml:space="preserve">The defendant is not required to prove that he/she is not guilty. </w:t>
      </w:r>
      <w:r>
        <w:rPr>
          <w:rFonts w:ascii="Times New Roman" w:hAnsi="Times New Roman" w:cs="Times New Roman"/>
          <w:sz w:val="24"/>
          <w:szCs w:val="24"/>
        </w:rPr>
        <w:t>T</w:t>
      </w:r>
      <w:r w:rsidRPr="00A853E2">
        <w:rPr>
          <w:rFonts w:ascii="Times New Roman" w:hAnsi="Times New Roman" w:cs="Times New Roman"/>
          <w:sz w:val="24"/>
          <w:szCs w:val="24"/>
        </w:rPr>
        <w:t xml:space="preserve">he defendant </w:t>
      </w:r>
      <w:r w:rsidRPr="00A853E2">
        <w:rPr>
          <w:rFonts w:ascii="Times New Roman" w:hAnsi="Times New Roman" w:cs="Times New Roman"/>
          <w:sz w:val="24"/>
          <w:szCs w:val="24"/>
        </w:rPr>
        <w:t xml:space="preserve">is </w:t>
      </w:r>
      <w:r>
        <w:rPr>
          <w:rFonts w:ascii="Times New Roman" w:hAnsi="Times New Roman" w:cs="Times New Roman"/>
          <w:sz w:val="24"/>
          <w:szCs w:val="24"/>
        </w:rPr>
        <w:t xml:space="preserve">also </w:t>
      </w:r>
      <w:r w:rsidRPr="00A853E2">
        <w:rPr>
          <w:rFonts w:ascii="Times New Roman" w:hAnsi="Times New Roman" w:cs="Times New Roman"/>
          <w:sz w:val="24"/>
          <w:szCs w:val="24"/>
        </w:rPr>
        <w:t xml:space="preserve">not required to prove or disprove anything. </w:t>
      </w:r>
      <w:r>
        <w:rPr>
          <w:rFonts w:ascii="Times New Roman" w:hAnsi="Times New Roman" w:cs="Times New Roman"/>
          <w:sz w:val="24"/>
          <w:szCs w:val="24"/>
        </w:rPr>
        <w:t>T</w:t>
      </w:r>
      <w:r w:rsidRPr="00A853E2">
        <w:rPr>
          <w:rFonts w:ascii="Times New Roman" w:hAnsi="Times New Roman" w:cs="Times New Roman"/>
          <w:sz w:val="24"/>
          <w:szCs w:val="24"/>
        </w:rPr>
        <w:t xml:space="preserve">he People have the burden of proving the defendant guilty beyond a reasonable doubt. </w:t>
      </w:r>
      <w:r>
        <w:rPr>
          <w:rFonts w:ascii="Times New Roman" w:hAnsi="Times New Roman" w:cs="Times New Roman"/>
          <w:sz w:val="24"/>
          <w:szCs w:val="24"/>
        </w:rPr>
        <w:t xml:space="preserve">Before the jury </w:t>
      </w:r>
      <w:r w:rsidRPr="00A853E2">
        <w:rPr>
          <w:rFonts w:ascii="Times New Roman" w:hAnsi="Times New Roman" w:cs="Times New Roman"/>
          <w:sz w:val="24"/>
          <w:szCs w:val="24"/>
        </w:rPr>
        <w:t xml:space="preserve">can find the defendant guilty of a crime, the People must prove beyond a reasonable doubt every element of the crime including that the defendant is the person who committed that crime. The burden of proof never shifts from the People to the defendant. If the People fail to satisfy their burden of proof, you must find the defendant not guilty. If the People satisfy their burden of proof, you must find the defendant </w:t>
      </w:r>
      <w:r w:rsidR="00C766B6">
        <w:rPr>
          <w:rFonts w:ascii="Times New Roman" w:hAnsi="Times New Roman" w:cs="Times New Roman"/>
          <w:sz w:val="24"/>
          <w:szCs w:val="24"/>
        </w:rPr>
        <w:t>guilty</w:t>
      </w:r>
      <w:r w:rsidRPr="00A853E2">
        <w:rPr>
          <w:rFonts w:ascii="Times New Roman" w:hAnsi="Times New Roman" w:cs="Times New Roman"/>
          <w:sz w:val="24"/>
          <w:szCs w:val="24"/>
        </w:rPr>
        <w:t>.</w:t>
      </w:r>
    </w:p>
    <w:p w14:paraId="2DDCF834" w14:textId="57B5F8CF" w:rsidR="00A27010" w:rsidRDefault="00F95069" w:rsidP="009309EE">
      <w:pPr>
        <w:ind w:firstLine="720"/>
        <w:rPr>
          <w:rFonts w:ascii="Times New Roman" w:hAnsi="Times New Roman" w:cs="Times New Roman"/>
          <w:sz w:val="24"/>
          <w:szCs w:val="24"/>
        </w:rPr>
      </w:pPr>
      <w:r>
        <w:rPr>
          <w:rFonts w:ascii="Times New Roman" w:hAnsi="Times New Roman" w:cs="Times New Roman"/>
          <w:sz w:val="24"/>
          <w:szCs w:val="24"/>
        </w:rPr>
        <w:t xml:space="preserve">I have found three cases in our state that regard self-defense; I was able to apply the facts of these cases to our facts. The first case I found is </w:t>
      </w:r>
      <w:r w:rsidR="009309EE" w:rsidRPr="009309EE">
        <w:rPr>
          <w:rFonts w:ascii="Times New Roman" w:hAnsi="Times New Roman" w:cs="Times New Roman"/>
          <w:sz w:val="24"/>
          <w:szCs w:val="24"/>
        </w:rPr>
        <w:t>People v. Benson, 265 A.D.2d 814, 697 N.Y.S.2d 222, 1999 N.Y. App. Div. LEXIS 9846</w:t>
      </w:r>
      <w:r w:rsidR="009309EE">
        <w:rPr>
          <w:rFonts w:ascii="Times New Roman" w:hAnsi="Times New Roman" w:cs="Times New Roman"/>
          <w:sz w:val="24"/>
          <w:szCs w:val="24"/>
        </w:rPr>
        <w:t xml:space="preserve">. In this case </w:t>
      </w:r>
      <w:r w:rsidR="009309EE" w:rsidRPr="009309EE">
        <w:rPr>
          <w:rFonts w:ascii="Times New Roman" w:hAnsi="Times New Roman" w:cs="Times New Roman"/>
          <w:sz w:val="24"/>
          <w:szCs w:val="24"/>
        </w:rPr>
        <w:t>Defendant-appellant was convicted of second degree murder. On appeal, he contended that the trial court failed to make a minimal inquiry after he moved for substitution of counsel, that it was error in refusing to charge that, under specified circumstances, one who was an initial aggressor may use deadly physical force in self-defense, and that it was error in refusing to admit certain hospital records reflecting defendant's psychiatric history. There is no reasonable view of the evidence that defendant intended only to hurt rather than to kill his nephew (see, People v Navarro, 176 AD2d 274, 276, lv denied 79 NY2d 861) or recklessly caused his nephew's death (see, People v Sapp, 163 AD2d 835, lv denied 76 NY2d 990).</w:t>
      </w:r>
    </w:p>
    <w:p w14:paraId="7B170B31" w14:textId="77777777" w:rsidR="009309EE" w:rsidRDefault="009309EE" w:rsidP="009309EE">
      <w:pPr>
        <w:ind w:firstLine="720"/>
        <w:rPr>
          <w:rFonts w:ascii="Times New Roman" w:hAnsi="Times New Roman" w:cs="Times New Roman"/>
          <w:sz w:val="24"/>
          <w:szCs w:val="24"/>
        </w:rPr>
      </w:pPr>
    </w:p>
    <w:p w14:paraId="150100DB" w14:textId="41B81FDA" w:rsidR="009239A6" w:rsidRDefault="009309EE" w:rsidP="00AF0F4D">
      <w:pPr>
        <w:rPr>
          <w:rFonts w:ascii="Times New Roman" w:hAnsi="Times New Roman" w:cs="Times New Roman"/>
          <w:sz w:val="24"/>
          <w:szCs w:val="24"/>
        </w:rPr>
      </w:pPr>
      <w:r>
        <w:rPr>
          <w:rFonts w:ascii="Times New Roman" w:hAnsi="Times New Roman" w:cs="Times New Roman"/>
          <w:sz w:val="24"/>
          <w:szCs w:val="24"/>
        </w:rPr>
        <w:lastRenderedPageBreak/>
        <w:t xml:space="preserve">The second case I found is </w:t>
      </w:r>
      <w:r w:rsidRPr="009309EE">
        <w:rPr>
          <w:rFonts w:ascii="Times New Roman" w:hAnsi="Times New Roman" w:cs="Times New Roman"/>
          <w:sz w:val="24"/>
          <w:szCs w:val="24"/>
        </w:rPr>
        <w:t>People v. Lyons, 280 A.D.2d 926, 721 N.Y.S.2d 179, 2001 N.Y. App. Div. LEXIS 1067</w:t>
      </w:r>
      <w:r>
        <w:rPr>
          <w:rFonts w:ascii="Times New Roman" w:hAnsi="Times New Roman" w:cs="Times New Roman"/>
          <w:sz w:val="24"/>
          <w:szCs w:val="24"/>
        </w:rPr>
        <w:t xml:space="preserve">. In this case the </w:t>
      </w:r>
      <w:r w:rsidRPr="009309EE">
        <w:rPr>
          <w:rFonts w:ascii="Times New Roman" w:hAnsi="Times New Roman" w:cs="Times New Roman"/>
          <w:sz w:val="24"/>
          <w:szCs w:val="24"/>
        </w:rPr>
        <w:t>Defendant appealed his depraved indifference murder conviction, in Cayuga County Court (New York), arguing that the evidence was legally insufficient to support conviction and that the verdict was against the manifest weight of evidence that he acted in self-defense.</w:t>
      </w:r>
      <w:r w:rsidRPr="009309EE">
        <w:t xml:space="preserve"> </w:t>
      </w:r>
      <w:r>
        <w:rPr>
          <w:rFonts w:ascii="Times New Roman" w:hAnsi="Times New Roman" w:cs="Times New Roman"/>
          <w:sz w:val="24"/>
          <w:szCs w:val="24"/>
        </w:rPr>
        <w:t xml:space="preserve">The jury </w:t>
      </w:r>
      <w:r w:rsidRPr="009309EE">
        <w:rPr>
          <w:rFonts w:ascii="Times New Roman" w:hAnsi="Times New Roman" w:cs="Times New Roman"/>
          <w:sz w:val="24"/>
          <w:szCs w:val="24"/>
        </w:rPr>
        <w:t>disagree</w:t>
      </w:r>
      <w:r>
        <w:rPr>
          <w:rFonts w:ascii="Times New Roman" w:hAnsi="Times New Roman" w:cs="Times New Roman"/>
          <w:sz w:val="24"/>
          <w:szCs w:val="24"/>
        </w:rPr>
        <w:t>d</w:t>
      </w:r>
      <w:r w:rsidRPr="009309EE">
        <w:rPr>
          <w:rFonts w:ascii="Times New Roman" w:hAnsi="Times New Roman" w:cs="Times New Roman"/>
          <w:sz w:val="24"/>
          <w:szCs w:val="24"/>
        </w:rPr>
        <w:t xml:space="preserve"> (see, People v Bleakley, 69 NY2d 490, 495).  [**181]  Contrary to defendant's contention, "HN1 [e]</w:t>
      </w:r>
      <w:r w:rsidR="001A1DF0" w:rsidRPr="009309EE">
        <w:rPr>
          <w:rFonts w:ascii="Times New Roman" w:hAnsi="Times New Roman" w:cs="Times New Roman"/>
          <w:sz w:val="24"/>
          <w:szCs w:val="24"/>
        </w:rPr>
        <w:t>evidence</w:t>
      </w:r>
      <w:bookmarkStart w:id="0" w:name="_GoBack"/>
      <w:bookmarkEnd w:id="0"/>
      <w:r w:rsidRPr="009309EE">
        <w:rPr>
          <w:rFonts w:ascii="Times New Roman" w:hAnsi="Times New Roman" w:cs="Times New Roman"/>
          <w:sz w:val="24"/>
          <w:szCs w:val="24"/>
        </w:rPr>
        <w:t xml:space="preserve"> of the actor's subjective mental state … is not pertinent to a determination of the additional element required for depraved indifference murder: whether the objective circumstances bearing on the nature of a defendant's reckless conduct are such that the conduct creates a very [***3]  substantial risk of death" (People v Roe, 74 NY2d 20, 24).</w:t>
      </w:r>
    </w:p>
    <w:p w14:paraId="11F4E80E" w14:textId="30422FC3" w:rsidR="009309EE" w:rsidRDefault="009309EE" w:rsidP="00AF0F4D">
      <w:pPr>
        <w:rPr>
          <w:rFonts w:ascii="Times New Roman" w:hAnsi="Times New Roman" w:cs="Times New Roman"/>
          <w:sz w:val="24"/>
          <w:szCs w:val="24"/>
        </w:rPr>
      </w:pPr>
      <w:r>
        <w:rPr>
          <w:rFonts w:ascii="Times New Roman" w:hAnsi="Times New Roman" w:cs="Times New Roman"/>
          <w:sz w:val="24"/>
          <w:szCs w:val="24"/>
        </w:rPr>
        <w:t xml:space="preserve">The last case I found is </w:t>
      </w:r>
      <w:r w:rsidRPr="009309EE">
        <w:rPr>
          <w:rFonts w:ascii="Times New Roman" w:hAnsi="Times New Roman" w:cs="Times New Roman"/>
          <w:sz w:val="24"/>
          <w:szCs w:val="24"/>
        </w:rPr>
        <w:t>People v. Brown, 26 N.Y.2d 88, 257 N.E.2d 16, 308 N.Y.S.2d 825, 1970 N.Y. LEXIS 1597, 43 A.L.R.3d 1407</w:t>
      </w:r>
      <w:r>
        <w:rPr>
          <w:rFonts w:ascii="Times New Roman" w:hAnsi="Times New Roman" w:cs="Times New Roman"/>
          <w:sz w:val="24"/>
          <w:szCs w:val="24"/>
        </w:rPr>
        <w:t xml:space="preserve">. In this case </w:t>
      </w:r>
      <w:r w:rsidRPr="009309EE">
        <w:rPr>
          <w:rFonts w:ascii="Times New Roman" w:hAnsi="Times New Roman" w:cs="Times New Roman"/>
          <w:sz w:val="24"/>
          <w:szCs w:val="24"/>
        </w:rPr>
        <w:t>the main issue in this case, where appellant has been convicted of murder in the second degree, is whether he acted in self-defense. In turn this depends on the proof of appellant's contention that the deceased had a pistol drawn when appellant shot him.</w:t>
      </w:r>
      <w:r w:rsidRPr="009309EE">
        <w:t xml:space="preserve"> </w:t>
      </w:r>
      <w:r w:rsidRPr="009309EE">
        <w:rPr>
          <w:rFonts w:ascii="Times New Roman" w:hAnsi="Times New Roman" w:cs="Times New Roman"/>
          <w:sz w:val="24"/>
          <w:szCs w:val="24"/>
        </w:rPr>
        <w:t>The court reversed the judgment that convicted defendant of murder and ordered a new trial. The court held that testimony of witnesses that would have been relevant was improperly excluded.</w:t>
      </w:r>
    </w:p>
    <w:p w14:paraId="762F07EE" w14:textId="538AF496" w:rsidR="009309EE" w:rsidRPr="00EF5652" w:rsidRDefault="001A1DF0" w:rsidP="00AF0F4D">
      <w:pPr>
        <w:rPr>
          <w:rFonts w:ascii="Times New Roman" w:hAnsi="Times New Roman" w:cs="Times New Roman"/>
          <w:sz w:val="24"/>
          <w:szCs w:val="24"/>
        </w:rPr>
      </w:pPr>
      <w:r>
        <w:rPr>
          <w:rFonts w:ascii="Times New Roman" w:hAnsi="Times New Roman" w:cs="Times New Roman"/>
          <w:sz w:val="24"/>
          <w:szCs w:val="24"/>
        </w:rPr>
        <w:t xml:space="preserve">Based on the facts of our case and the research I conducted, I believe the likely hood of our client’s success is prominent. I say this because the state of </w:t>
      </w:r>
      <w:r w:rsidRPr="001A1DF0">
        <w:rPr>
          <w:rFonts w:ascii="Times New Roman" w:hAnsi="Times New Roman" w:cs="Times New Roman"/>
          <w:sz w:val="24"/>
          <w:szCs w:val="24"/>
        </w:rPr>
        <w:t>New York does not require an individual to retreat when they are inside their own home.</w:t>
      </w:r>
      <w:r>
        <w:rPr>
          <w:rFonts w:ascii="Times New Roman" w:hAnsi="Times New Roman" w:cs="Times New Roman"/>
          <w:sz w:val="24"/>
          <w:szCs w:val="24"/>
        </w:rPr>
        <w:t xml:space="preserve"> Based on what I have viewed, this is the only likely hood our client has of proving self-defense, as well as the fact that hos victim was </w:t>
      </w:r>
      <w:r>
        <w:rPr>
          <w:rFonts w:ascii="Times New Roman" w:hAnsi="Times New Roman" w:cs="Times New Roman"/>
          <w:sz w:val="24"/>
          <w:szCs w:val="24"/>
        </w:rPr>
        <w:lastRenderedPageBreak/>
        <w:t xml:space="preserve">the first to get physical by punching Chris. Overall, we should be able to prove self-defense on behalf of our client. </w:t>
      </w:r>
    </w:p>
    <w:sectPr w:rsidR="009309EE" w:rsidRPr="00EF5652">
      <w:footerReference w:type="default" r:id="rId11"/>
      <w:pgSz w:w="12240" w:h="15840"/>
      <w:pgMar w:top="180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992A7B" w14:textId="77777777" w:rsidR="00836F28" w:rsidRDefault="00836F28">
      <w:pPr>
        <w:spacing w:after="0" w:line="240" w:lineRule="auto"/>
      </w:pPr>
      <w:r>
        <w:separator/>
      </w:r>
    </w:p>
  </w:endnote>
  <w:endnote w:type="continuationSeparator" w:id="0">
    <w:p w14:paraId="5115B578" w14:textId="77777777" w:rsidR="00836F28" w:rsidRDefault="00836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9060048"/>
      <w:docPartObj>
        <w:docPartGallery w:val="Page Numbers (Bottom of Page)"/>
        <w:docPartUnique/>
      </w:docPartObj>
    </w:sdtPr>
    <w:sdtEndPr/>
    <w:sdtContent>
      <w:p w14:paraId="145501BA" w14:textId="77777777" w:rsidR="00613721" w:rsidRDefault="00ED47FE">
        <w:pPr>
          <w:pStyle w:val="Footer"/>
        </w:pPr>
        <w:r>
          <w:fldChar w:fldCharType="begin"/>
        </w:r>
        <w:r>
          <w:instrText xml:space="preserve"> PAGE   \* MERGEFORMAT </w:instrText>
        </w:r>
        <w:r>
          <w:fldChar w:fldCharType="separate"/>
        </w:r>
        <w:r w:rsidR="001A1DF0">
          <w:rPr>
            <w:noProof/>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37FE45" w14:textId="77777777" w:rsidR="00836F28" w:rsidRDefault="00836F28">
      <w:pPr>
        <w:spacing w:after="0" w:line="240" w:lineRule="auto"/>
      </w:pPr>
      <w:r>
        <w:separator/>
      </w:r>
    </w:p>
  </w:footnote>
  <w:footnote w:type="continuationSeparator" w:id="0">
    <w:p w14:paraId="0704B649" w14:textId="77777777" w:rsidR="00836F28" w:rsidRDefault="00836F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50B93"/>
    <w:multiLevelType w:val="hybridMultilevel"/>
    <w:tmpl w:val="D9D0A05E"/>
    <w:lvl w:ilvl="0" w:tplc="030ADC66">
      <w:start w:val="1"/>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B0B7829"/>
    <w:multiLevelType w:val="hybridMultilevel"/>
    <w:tmpl w:val="DAC8C5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F02889"/>
    <w:multiLevelType w:val="hybridMultilevel"/>
    <w:tmpl w:val="08FE3E4A"/>
    <w:lvl w:ilvl="0" w:tplc="3070C8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6860E58"/>
    <w:multiLevelType w:val="hybridMultilevel"/>
    <w:tmpl w:val="648020C6"/>
    <w:lvl w:ilvl="0" w:tplc="F364E890">
      <w:start w:val="1"/>
      <w:numFmt w:val="upperLetter"/>
      <w:lvlText w:val="%1."/>
      <w:lvlJc w:val="left"/>
      <w:pPr>
        <w:ind w:left="720" w:hanging="360"/>
      </w:pPr>
      <w:rPr>
        <w:rFonts w:asciiTheme="minorHAnsi" w:hAnsiTheme="minorHAnsi" w:cstheme="minorBidi"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FB48E6"/>
    <w:multiLevelType w:val="hybridMultilevel"/>
    <w:tmpl w:val="4126A698"/>
    <w:lvl w:ilvl="0" w:tplc="1208172C">
      <w:start w:val="1"/>
      <w:numFmt w:val="upperLetter"/>
      <w:lvlText w:val="%1."/>
      <w:lvlJc w:val="left"/>
      <w:pPr>
        <w:ind w:left="1080" w:hanging="360"/>
      </w:pPr>
      <w:rPr>
        <w:rFonts w:asciiTheme="minorHAnsi" w:hAnsiTheme="minorHAnsi" w:cstheme="minorBidi" w:hint="default"/>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8BE1372"/>
    <w:multiLevelType w:val="hybridMultilevel"/>
    <w:tmpl w:val="0AB63B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AA45356"/>
    <w:multiLevelType w:val="hybridMultilevel"/>
    <w:tmpl w:val="0228147A"/>
    <w:lvl w:ilvl="0" w:tplc="1DB880DC">
      <w:start w:val="1"/>
      <w:numFmt w:val="bullet"/>
      <w:lvlText w:val=""/>
      <w:lvlJc w:val="left"/>
      <w:pPr>
        <w:ind w:left="1800" w:hanging="360"/>
      </w:pPr>
      <w:rPr>
        <w:rFonts w:ascii="Symbol" w:eastAsiaTheme="minorHAns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7AC07851"/>
    <w:multiLevelType w:val="hybridMultilevel"/>
    <w:tmpl w:val="875C5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2"/>
  </w:num>
  <w:num w:numId="4">
    <w:abstractNumId w:val="0"/>
  </w:num>
  <w:num w:numId="5">
    <w:abstractNumId w:val="6"/>
  </w:num>
  <w:num w:numId="6">
    <w:abstractNumId w:val="3"/>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attachedTemplate r:id="rId1"/>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7FE"/>
    <w:rsid w:val="000336A2"/>
    <w:rsid w:val="00096546"/>
    <w:rsid w:val="000B5050"/>
    <w:rsid w:val="00107606"/>
    <w:rsid w:val="001A1DF0"/>
    <w:rsid w:val="001B72B2"/>
    <w:rsid w:val="001F2100"/>
    <w:rsid w:val="00201A85"/>
    <w:rsid w:val="00294436"/>
    <w:rsid w:val="002F09F3"/>
    <w:rsid w:val="00353236"/>
    <w:rsid w:val="0039784D"/>
    <w:rsid w:val="003C2F97"/>
    <w:rsid w:val="0047510F"/>
    <w:rsid w:val="004A7C4F"/>
    <w:rsid w:val="004B508B"/>
    <w:rsid w:val="004C4BF5"/>
    <w:rsid w:val="00576188"/>
    <w:rsid w:val="00601F6C"/>
    <w:rsid w:val="00613721"/>
    <w:rsid w:val="006401C4"/>
    <w:rsid w:val="00646A6B"/>
    <w:rsid w:val="006C183D"/>
    <w:rsid w:val="00715F7A"/>
    <w:rsid w:val="00783128"/>
    <w:rsid w:val="007C2BAA"/>
    <w:rsid w:val="007C58DF"/>
    <w:rsid w:val="007E3450"/>
    <w:rsid w:val="00836F28"/>
    <w:rsid w:val="0087096C"/>
    <w:rsid w:val="008A1572"/>
    <w:rsid w:val="009239A6"/>
    <w:rsid w:val="009309EE"/>
    <w:rsid w:val="00981D88"/>
    <w:rsid w:val="00A254AA"/>
    <w:rsid w:val="00A27010"/>
    <w:rsid w:val="00A853E2"/>
    <w:rsid w:val="00A86175"/>
    <w:rsid w:val="00AA2558"/>
    <w:rsid w:val="00AA71DC"/>
    <w:rsid w:val="00AD33F2"/>
    <w:rsid w:val="00AF0F4D"/>
    <w:rsid w:val="00B416E0"/>
    <w:rsid w:val="00B41B5B"/>
    <w:rsid w:val="00B563CE"/>
    <w:rsid w:val="00C766B6"/>
    <w:rsid w:val="00D26970"/>
    <w:rsid w:val="00D42EF7"/>
    <w:rsid w:val="00D70DE2"/>
    <w:rsid w:val="00D75D00"/>
    <w:rsid w:val="00E52D43"/>
    <w:rsid w:val="00EA3505"/>
    <w:rsid w:val="00EB1AB6"/>
    <w:rsid w:val="00ED47FE"/>
    <w:rsid w:val="00EE221D"/>
    <w:rsid w:val="00EF5652"/>
    <w:rsid w:val="00F27311"/>
    <w:rsid w:val="00F95069"/>
    <w:rsid w:val="00FA483D"/>
    <w:rsid w:val="00FC1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FE18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4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qFormat="1"/>
    <w:lsdException w:name="Table Grid" w:uiPriority="59"/>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b/>
      <w:bCs/>
      <w:color w:val="000000" w:themeColor="text1"/>
    </w:rPr>
  </w:style>
  <w:style w:type="paragraph" w:styleId="Heading2">
    <w:name w:val="heading 2"/>
    <w:basedOn w:val="Normal"/>
    <w:next w:val="Normal"/>
    <w:link w:val="Heading2Char"/>
    <w:uiPriority w:val="9"/>
    <w:unhideWhenUsed/>
    <w:pPr>
      <w:keepNext/>
      <w:keepLines/>
      <w:outlineLvl w:val="1"/>
    </w:pPr>
    <w:rPr>
      <w:rFonts w:asciiTheme="majorHAnsi" w:eastAsiaTheme="majorEastAsia" w:hAnsiTheme="majorHAnsi" w:cstheme="majorBid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18"/>
      <w:szCs w:val="18"/>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customStyle="1" w:styleId="CompanyName">
    <w:name w:val="Company Name"/>
    <w:basedOn w:val="Normal"/>
    <w:qFormat/>
    <w:pPr>
      <w:spacing w:after="0" w:line="240" w:lineRule="auto"/>
      <w:jc w:val="center"/>
    </w:pPr>
    <w:rPr>
      <w:rFonts w:asciiTheme="majorHAnsi" w:eastAsiaTheme="majorEastAsia" w:hAnsiTheme="majorHAnsi" w:cstheme="majorBidi"/>
      <w:b/>
      <w:bCs/>
      <w:color w:val="FFFFFF" w:themeColor="background1"/>
      <w:spacing w:val="-15"/>
      <w:sz w:val="32"/>
    </w:rPr>
  </w:style>
  <w:style w:type="paragraph" w:styleId="Title">
    <w:name w:val="Title"/>
    <w:basedOn w:val="Normal"/>
    <w:next w:val="Normal"/>
    <w:qFormat/>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pPr>
      <w:spacing w:after="0" w:line="240" w:lineRule="auto"/>
      <w:jc w:val="center"/>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semiHidden/>
    <w:unhideWhenUsed/>
    <w:rsid w:val="000965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6546"/>
    <w:rPr>
      <w:rFonts w:ascii="Tahoma" w:hAnsi="Tahoma" w:cs="Tahoma"/>
      <w:sz w:val="16"/>
      <w:szCs w:val="16"/>
    </w:rPr>
  </w:style>
  <w:style w:type="paragraph" w:styleId="ListParagraph">
    <w:name w:val="List Paragraph"/>
    <w:basedOn w:val="Normal"/>
    <w:uiPriority w:val="34"/>
    <w:unhideWhenUsed/>
    <w:qFormat/>
    <w:rsid w:val="00EA3505"/>
    <w:pPr>
      <w:ind w:left="720"/>
      <w:contextualSpacing/>
    </w:pPr>
  </w:style>
  <w:style w:type="character" w:styleId="Hyperlink">
    <w:name w:val="Hyperlink"/>
    <w:basedOn w:val="DefaultParagraphFont"/>
    <w:uiPriority w:val="99"/>
    <w:unhideWhenUsed/>
    <w:rsid w:val="00D26970"/>
    <w:rPr>
      <w:color w:val="0000FF" w:themeColor="hyperlink"/>
      <w:u w:val="single"/>
    </w:rPr>
  </w:style>
  <w:style w:type="character" w:customStyle="1" w:styleId="UnresolvedMention">
    <w:name w:val="Unresolved Mention"/>
    <w:basedOn w:val="DefaultParagraphFont"/>
    <w:uiPriority w:val="99"/>
    <w:semiHidden/>
    <w:unhideWhenUsed/>
    <w:rsid w:val="00D2697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4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qFormat="1"/>
    <w:lsdException w:name="Table Grid" w:uiPriority="59"/>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b/>
      <w:bCs/>
      <w:color w:val="000000" w:themeColor="text1"/>
    </w:rPr>
  </w:style>
  <w:style w:type="paragraph" w:styleId="Heading2">
    <w:name w:val="heading 2"/>
    <w:basedOn w:val="Normal"/>
    <w:next w:val="Normal"/>
    <w:link w:val="Heading2Char"/>
    <w:uiPriority w:val="9"/>
    <w:unhideWhenUsed/>
    <w:pPr>
      <w:keepNext/>
      <w:keepLines/>
      <w:outlineLvl w:val="1"/>
    </w:pPr>
    <w:rPr>
      <w:rFonts w:asciiTheme="majorHAnsi" w:eastAsiaTheme="majorEastAsia" w:hAnsiTheme="majorHAnsi" w:cstheme="majorBid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18"/>
      <w:szCs w:val="18"/>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customStyle="1" w:styleId="CompanyName">
    <w:name w:val="Company Name"/>
    <w:basedOn w:val="Normal"/>
    <w:qFormat/>
    <w:pPr>
      <w:spacing w:after="0" w:line="240" w:lineRule="auto"/>
      <w:jc w:val="center"/>
    </w:pPr>
    <w:rPr>
      <w:rFonts w:asciiTheme="majorHAnsi" w:eastAsiaTheme="majorEastAsia" w:hAnsiTheme="majorHAnsi" w:cstheme="majorBidi"/>
      <w:b/>
      <w:bCs/>
      <w:color w:val="FFFFFF" w:themeColor="background1"/>
      <w:spacing w:val="-15"/>
      <w:sz w:val="32"/>
    </w:rPr>
  </w:style>
  <w:style w:type="paragraph" w:styleId="Title">
    <w:name w:val="Title"/>
    <w:basedOn w:val="Normal"/>
    <w:next w:val="Normal"/>
    <w:qFormat/>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pPr>
      <w:spacing w:after="0" w:line="240" w:lineRule="auto"/>
      <w:jc w:val="center"/>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semiHidden/>
    <w:unhideWhenUsed/>
    <w:rsid w:val="000965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6546"/>
    <w:rPr>
      <w:rFonts w:ascii="Tahoma" w:hAnsi="Tahoma" w:cs="Tahoma"/>
      <w:sz w:val="16"/>
      <w:szCs w:val="16"/>
    </w:rPr>
  </w:style>
  <w:style w:type="paragraph" w:styleId="ListParagraph">
    <w:name w:val="List Paragraph"/>
    <w:basedOn w:val="Normal"/>
    <w:uiPriority w:val="34"/>
    <w:unhideWhenUsed/>
    <w:qFormat/>
    <w:rsid w:val="00EA3505"/>
    <w:pPr>
      <w:ind w:left="720"/>
      <w:contextualSpacing/>
    </w:pPr>
  </w:style>
  <w:style w:type="character" w:styleId="Hyperlink">
    <w:name w:val="Hyperlink"/>
    <w:basedOn w:val="DefaultParagraphFont"/>
    <w:uiPriority w:val="99"/>
    <w:unhideWhenUsed/>
    <w:rsid w:val="00D26970"/>
    <w:rPr>
      <w:color w:val="0000FF" w:themeColor="hyperlink"/>
      <w:u w:val="single"/>
    </w:rPr>
  </w:style>
  <w:style w:type="character" w:customStyle="1" w:styleId="UnresolvedMention">
    <w:name w:val="Unresolved Mention"/>
    <w:basedOn w:val="DefaultParagraphFont"/>
    <w:uiPriority w:val="99"/>
    <w:semiHidden/>
    <w:unhideWhenUsed/>
    <w:rsid w:val="00D269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jowsey\AppData\Roaming\Microsoft\Templates\Interoffice%20Memo%20(Professional%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026"/>
    <w:rsid w:val="00CA2DCE"/>
    <w:rsid w:val="00DF465A"/>
    <w:rsid w:val="00E40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3840C8EF9AD47E6AFE5DA3922521716">
    <w:name w:val="F3840C8EF9AD47E6AFE5DA3922521716"/>
  </w:style>
  <w:style w:type="paragraph" w:customStyle="1" w:styleId="66107A66801546BBA4670D494DA20578">
    <w:name w:val="66107A66801546BBA4670D494DA20578"/>
  </w:style>
  <w:style w:type="character" w:styleId="PlaceholderText">
    <w:name w:val="Placeholder Text"/>
    <w:basedOn w:val="DefaultParagraphFont"/>
    <w:uiPriority w:val="99"/>
    <w:semiHidden/>
    <w:rPr>
      <w:color w:val="808080"/>
    </w:rPr>
  </w:style>
  <w:style w:type="paragraph" w:customStyle="1" w:styleId="9AEAB91EF27E4C4F8B872CCF3B47F6E8">
    <w:name w:val="9AEAB91EF27E4C4F8B872CCF3B47F6E8"/>
  </w:style>
  <w:style w:type="paragraph" w:customStyle="1" w:styleId="F9447FDDF4DA449290B352EF90DDC8A7">
    <w:name w:val="F9447FDDF4DA449290B352EF90DDC8A7"/>
  </w:style>
  <w:style w:type="paragraph" w:customStyle="1" w:styleId="75DCA81FBAB94AB38B07A4FDA7BD34E7">
    <w:name w:val="75DCA81FBAB94AB38B07A4FDA7BD34E7"/>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sz w:val="20"/>
      <w:szCs w:val="20"/>
    </w:rPr>
  </w:style>
  <w:style w:type="paragraph" w:customStyle="1" w:styleId="D1B565E7508C41639E68CC922ADCAD9E">
    <w:name w:val="D1B565E7508C41639E68CC922ADCAD9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3840C8EF9AD47E6AFE5DA3922521716">
    <w:name w:val="F3840C8EF9AD47E6AFE5DA3922521716"/>
  </w:style>
  <w:style w:type="paragraph" w:customStyle="1" w:styleId="66107A66801546BBA4670D494DA20578">
    <w:name w:val="66107A66801546BBA4670D494DA20578"/>
  </w:style>
  <w:style w:type="character" w:styleId="PlaceholderText">
    <w:name w:val="Placeholder Text"/>
    <w:basedOn w:val="DefaultParagraphFont"/>
    <w:uiPriority w:val="99"/>
    <w:semiHidden/>
    <w:rPr>
      <w:color w:val="808080"/>
    </w:rPr>
  </w:style>
  <w:style w:type="paragraph" w:customStyle="1" w:styleId="9AEAB91EF27E4C4F8B872CCF3B47F6E8">
    <w:name w:val="9AEAB91EF27E4C4F8B872CCF3B47F6E8"/>
  </w:style>
  <w:style w:type="paragraph" w:customStyle="1" w:styleId="F9447FDDF4DA449290B352EF90DDC8A7">
    <w:name w:val="F9447FDDF4DA449290B352EF90DDC8A7"/>
  </w:style>
  <w:style w:type="paragraph" w:customStyle="1" w:styleId="75DCA81FBAB94AB38B07A4FDA7BD34E7">
    <w:name w:val="75DCA81FBAB94AB38B07A4FDA7BD34E7"/>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sz w:val="20"/>
      <w:szCs w:val="20"/>
    </w:rPr>
  </w:style>
  <w:style w:type="paragraph" w:customStyle="1" w:styleId="D1B565E7508C41639E68CC922ADCAD9E">
    <w:name w:val="D1B565E7508C41639E68CC922ADCAD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Black-Arial">
      <a:majorFont>
        <a:latin typeface="Arial Black" panose="020B0A040201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panose="020B06040202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2020-05-20T00:00:00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CDB7E72-433B-4B44-9311-2C06B3247CC5}">
  <ds:schemaRefs>
    <ds:schemaRef ds:uri="http://schemas.microsoft.com/sharepoint/v3/contenttype/forms"/>
  </ds:schemaRefs>
</ds:datastoreItem>
</file>

<file path=customXml/itemProps3.xml><?xml version="1.0" encoding="utf-8"?>
<ds:datastoreItem xmlns:ds="http://schemas.openxmlformats.org/officeDocument/2006/customXml" ds:itemID="{11CAD9BE-B882-4C0C-AE21-131B3D292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Interoffice Memo (Professional design)</Template>
  <TotalTime>0</TotalTime>
  <Pages>5</Pages>
  <Words>1000</Words>
  <Characters>5701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2020-09-24T15:34:00Z</dcterms:created>
  <dcterms:modified xsi:type="dcterms:W3CDTF">2020-09-24T15:34:00Z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TC034649189991</vt:lpwstr>
  </property>
</Properties>
</file>