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1CF68" w14:textId="1E34ACF7" w:rsidR="00E145F0" w:rsidRDefault="00E145F0">
      <w:pPr>
        <w:rPr>
          <w:rFonts w:ascii="Times New Roman" w:hAnsi="Times New Roman" w:cs="Times New Roman"/>
          <w:sz w:val="24"/>
          <w:szCs w:val="24"/>
        </w:rPr>
      </w:pPr>
    </w:p>
    <w:p w14:paraId="65DC4A82" w14:textId="4F2341B4" w:rsidR="00E145F0" w:rsidRDefault="00E145F0">
      <w:pPr>
        <w:rPr>
          <w:rFonts w:ascii="Times New Roman" w:hAnsi="Times New Roman" w:cs="Times New Roman"/>
          <w:sz w:val="24"/>
          <w:szCs w:val="24"/>
        </w:rPr>
      </w:pPr>
    </w:p>
    <w:p w14:paraId="169C867C" w14:textId="0DE012B3" w:rsidR="00E145F0" w:rsidRDefault="00E145F0">
      <w:pPr>
        <w:rPr>
          <w:rFonts w:ascii="Times New Roman" w:hAnsi="Times New Roman" w:cs="Times New Roman"/>
          <w:sz w:val="24"/>
          <w:szCs w:val="24"/>
        </w:rPr>
      </w:pPr>
    </w:p>
    <w:p w14:paraId="683A13B9" w14:textId="171390FA" w:rsidR="00E145F0" w:rsidRDefault="00E145F0">
      <w:pPr>
        <w:rPr>
          <w:rFonts w:ascii="Times New Roman" w:hAnsi="Times New Roman" w:cs="Times New Roman"/>
          <w:sz w:val="24"/>
          <w:szCs w:val="24"/>
        </w:rPr>
      </w:pPr>
    </w:p>
    <w:p w14:paraId="64AD8875" w14:textId="0E2FD5E0" w:rsidR="00E145F0" w:rsidRDefault="00E145F0" w:rsidP="00E145F0">
      <w:pPr>
        <w:spacing w:line="480" w:lineRule="auto"/>
        <w:jc w:val="center"/>
        <w:rPr>
          <w:rFonts w:ascii="Times New Roman" w:hAnsi="Times New Roman" w:cs="Times New Roman"/>
          <w:sz w:val="24"/>
          <w:szCs w:val="24"/>
        </w:rPr>
      </w:pPr>
      <w:r>
        <w:rPr>
          <w:rFonts w:ascii="Times New Roman" w:hAnsi="Times New Roman" w:cs="Times New Roman"/>
          <w:sz w:val="24"/>
          <w:szCs w:val="24"/>
        </w:rPr>
        <w:t>Legal Research Midterm</w:t>
      </w:r>
    </w:p>
    <w:p w14:paraId="5C2C9883" w14:textId="5F098619" w:rsidR="00E145F0" w:rsidRDefault="00E145F0" w:rsidP="00E145F0">
      <w:pPr>
        <w:spacing w:line="480" w:lineRule="auto"/>
        <w:jc w:val="center"/>
        <w:rPr>
          <w:rFonts w:ascii="Times New Roman" w:hAnsi="Times New Roman" w:cs="Times New Roman"/>
          <w:sz w:val="24"/>
          <w:szCs w:val="24"/>
        </w:rPr>
      </w:pPr>
      <w:r>
        <w:rPr>
          <w:rFonts w:ascii="Times New Roman" w:hAnsi="Times New Roman" w:cs="Times New Roman"/>
          <w:sz w:val="24"/>
          <w:szCs w:val="24"/>
        </w:rPr>
        <w:t>Jamila Stokes</w:t>
      </w:r>
    </w:p>
    <w:p w14:paraId="0B6A51CA" w14:textId="5F4C922C" w:rsidR="00E145F0" w:rsidRDefault="00E145F0" w:rsidP="00E145F0">
      <w:pPr>
        <w:spacing w:line="480" w:lineRule="auto"/>
        <w:jc w:val="center"/>
        <w:rPr>
          <w:rFonts w:ascii="Times New Roman" w:hAnsi="Times New Roman" w:cs="Times New Roman"/>
          <w:sz w:val="24"/>
          <w:szCs w:val="24"/>
        </w:rPr>
      </w:pPr>
      <w:r>
        <w:rPr>
          <w:rFonts w:ascii="Times New Roman" w:hAnsi="Times New Roman" w:cs="Times New Roman"/>
          <w:sz w:val="24"/>
          <w:szCs w:val="24"/>
        </w:rPr>
        <w:t>PLEG135</w:t>
      </w:r>
    </w:p>
    <w:p w14:paraId="179093F4" w14:textId="2088B5AF" w:rsidR="00E145F0" w:rsidRDefault="00E145F0" w:rsidP="00E145F0">
      <w:pPr>
        <w:spacing w:line="480" w:lineRule="auto"/>
        <w:jc w:val="center"/>
        <w:rPr>
          <w:rFonts w:ascii="Times New Roman" w:hAnsi="Times New Roman" w:cs="Times New Roman"/>
          <w:sz w:val="24"/>
          <w:szCs w:val="24"/>
        </w:rPr>
      </w:pPr>
    </w:p>
    <w:p w14:paraId="37AEBD56" w14:textId="45A26003" w:rsidR="00E145F0" w:rsidRDefault="00E145F0" w:rsidP="00E145F0">
      <w:pPr>
        <w:spacing w:line="480" w:lineRule="auto"/>
        <w:jc w:val="center"/>
        <w:rPr>
          <w:rFonts w:ascii="Times New Roman" w:hAnsi="Times New Roman" w:cs="Times New Roman"/>
          <w:sz w:val="24"/>
          <w:szCs w:val="24"/>
        </w:rPr>
      </w:pPr>
    </w:p>
    <w:p w14:paraId="014A2FC8" w14:textId="1617B339" w:rsidR="00E145F0" w:rsidRDefault="00E145F0" w:rsidP="00E145F0">
      <w:pPr>
        <w:spacing w:line="480" w:lineRule="auto"/>
        <w:jc w:val="center"/>
        <w:rPr>
          <w:rFonts w:ascii="Times New Roman" w:hAnsi="Times New Roman" w:cs="Times New Roman"/>
          <w:sz w:val="24"/>
          <w:szCs w:val="24"/>
        </w:rPr>
      </w:pPr>
    </w:p>
    <w:p w14:paraId="26434197" w14:textId="7D37FF74" w:rsidR="00E145F0" w:rsidRDefault="00E145F0" w:rsidP="00E145F0">
      <w:pPr>
        <w:spacing w:line="480" w:lineRule="auto"/>
        <w:jc w:val="center"/>
        <w:rPr>
          <w:rFonts w:ascii="Times New Roman" w:hAnsi="Times New Roman" w:cs="Times New Roman"/>
          <w:sz w:val="24"/>
          <w:szCs w:val="24"/>
        </w:rPr>
      </w:pPr>
    </w:p>
    <w:p w14:paraId="684FF32C" w14:textId="5E30C21D" w:rsidR="00E145F0" w:rsidRDefault="00E145F0" w:rsidP="00E145F0">
      <w:pPr>
        <w:spacing w:line="480" w:lineRule="auto"/>
        <w:jc w:val="center"/>
        <w:rPr>
          <w:rFonts w:ascii="Times New Roman" w:hAnsi="Times New Roman" w:cs="Times New Roman"/>
          <w:sz w:val="24"/>
          <w:szCs w:val="24"/>
        </w:rPr>
      </w:pPr>
    </w:p>
    <w:p w14:paraId="0F93B84B" w14:textId="3111BBFC" w:rsidR="00E145F0" w:rsidRDefault="00E145F0" w:rsidP="00E145F0">
      <w:pPr>
        <w:spacing w:line="480" w:lineRule="auto"/>
        <w:jc w:val="center"/>
        <w:rPr>
          <w:rFonts w:ascii="Times New Roman" w:hAnsi="Times New Roman" w:cs="Times New Roman"/>
          <w:sz w:val="24"/>
          <w:szCs w:val="24"/>
        </w:rPr>
      </w:pPr>
    </w:p>
    <w:p w14:paraId="106588DE" w14:textId="224069B8" w:rsidR="00E145F0" w:rsidRDefault="00E145F0" w:rsidP="00E145F0">
      <w:pPr>
        <w:spacing w:line="480" w:lineRule="auto"/>
        <w:jc w:val="center"/>
        <w:rPr>
          <w:rFonts w:ascii="Times New Roman" w:hAnsi="Times New Roman" w:cs="Times New Roman"/>
          <w:sz w:val="24"/>
          <w:szCs w:val="24"/>
        </w:rPr>
      </w:pPr>
    </w:p>
    <w:p w14:paraId="1C246CBF" w14:textId="3C6C9801" w:rsidR="00E145F0" w:rsidRDefault="00E145F0" w:rsidP="00E145F0">
      <w:pPr>
        <w:spacing w:line="480" w:lineRule="auto"/>
        <w:jc w:val="center"/>
        <w:rPr>
          <w:rFonts w:ascii="Times New Roman" w:hAnsi="Times New Roman" w:cs="Times New Roman"/>
          <w:sz w:val="24"/>
          <w:szCs w:val="24"/>
        </w:rPr>
      </w:pPr>
    </w:p>
    <w:p w14:paraId="2D10362E" w14:textId="61FB580D" w:rsidR="00E145F0" w:rsidRDefault="00E145F0" w:rsidP="00E145F0">
      <w:pPr>
        <w:spacing w:line="480" w:lineRule="auto"/>
        <w:jc w:val="center"/>
        <w:rPr>
          <w:rFonts w:ascii="Times New Roman" w:hAnsi="Times New Roman" w:cs="Times New Roman"/>
          <w:sz w:val="24"/>
          <w:szCs w:val="24"/>
        </w:rPr>
      </w:pPr>
    </w:p>
    <w:p w14:paraId="026DE6A8" w14:textId="4D367F24" w:rsidR="00E145F0" w:rsidRDefault="00E145F0" w:rsidP="00E145F0">
      <w:pPr>
        <w:spacing w:line="480" w:lineRule="auto"/>
        <w:jc w:val="center"/>
        <w:rPr>
          <w:rFonts w:ascii="Times New Roman" w:hAnsi="Times New Roman" w:cs="Times New Roman"/>
          <w:sz w:val="24"/>
          <w:szCs w:val="24"/>
        </w:rPr>
      </w:pPr>
    </w:p>
    <w:p w14:paraId="3EB86631" w14:textId="433535AD" w:rsidR="00E145F0" w:rsidRDefault="00E145F0" w:rsidP="00E145F0">
      <w:pPr>
        <w:spacing w:line="480" w:lineRule="auto"/>
        <w:jc w:val="center"/>
        <w:rPr>
          <w:rFonts w:ascii="Times New Roman" w:hAnsi="Times New Roman" w:cs="Times New Roman"/>
          <w:sz w:val="24"/>
          <w:szCs w:val="24"/>
        </w:rPr>
      </w:pPr>
    </w:p>
    <w:p w14:paraId="78BB8D46" w14:textId="4E27AAB8" w:rsidR="00E145F0" w:rsidRDefault="00E145F0" w:rsidP="00E145F0">
      <w:pPr>
        <w:spacing w:line="480" w:lineRule="auto"/>
        <w:jc w:val="center"/>
        <w:rPr>
          <w:rFonts w:ascii="Times New Roman" w:hAnsi="Times New Roman" w:cs="Times New Roman"/>
          <w:sz w:val="24"/>
          <w:szCs w:val="24"/>
        </w:rPr>
      </w:pPr>
    </w:p>
    <w:p w14:paraId="62CD2B16" w14:textId="01310050" w:rsidR="00E145F0" w:rsidRDefault="004E0327" w:rsidP="00E145F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According to the </w:t>
      </w:r>
      <w:proofErr w:type="spellStart"/>
      <w:r>
        <w:rPr>
          <w:rFonts w:ascii="Times New Roman" w:hAnsi="Times New Roman" w:cs="Times New Roman"/>
          <w:sz w:val="24"/>
          <w:szCs w:val="24"/>
        </w:rPr>
        <w:t>Langam</w:t>
      </w:r>
      <w:proofErr w:type="spellEnd"/>
      <w:r>
        <w:rPr>
          <w:rFonts w:ascii="Times New Roman" w:hAnsi="Times New Roman" w:cs="Times New Roman"/>
          <w:sz w:val="24"/>
          <w:szCs w:val="24"/>
        </w:rPr>
        <w:t xml:space="preserve"> Act and the Michigan Department of Licensing and Regulatory Affairs a trademark and trade name has two different distinctions. </w:t>
      </w:r>
      <w:r w:rsidR="0008453D">
        <w:rPr>
          <w:rFonts w:ascii="Times New Roman" w:hAnsi="Times New Roman" w:cs="Times New Roman"/>
          <w:sz w:val="24"/>
          <w:szCs w:val="24"/>
        </w:rPr>
        <w:t>According to Michigan law a trademark serves primarily to distinguish a production of goods or products from a similar goods produced by another. For example, Sweet Lorraine’s Bakery of North Carolina produces goods that are totally different from that of Mr. Sawyers Sweet Lorraine’s Café in Detroit</w:t>
      </w:r>
      <w:r w:rsidR="002D66DD">
        <w:rPr>
          <w:rFonts w:ascii="Times New Roman" w:hAnsi="Times New Roman" w:cs="Times New Roman"/>
          <w:sz w:val="24"/>
          <w:szCs w:val="24"/>
        </w:rPr>
        <w:t>. His trademark on the name Sweet Lorraine’s may mainly focus on the goods that his business produces and not so much the name. Therefore</w:t>
      </w:r>
      <w:r w:rsidR="00FF41A8">
        <w:rPr>
          <w:rFonts w:ascii="Times New Roman" w:hAnsi="Times New Roman" w:cs="Times New Roman"/>
          <w:sz w:val="24"/>
          <w:szCs w:val="24"/>
        </w:rPr>
        <w:t>,</w:t>
      </w:r>
      <w:r w:rsidR="002D66DD">
        <w:rPr>
          <w:rFonts w:ascii="Times New Roman" w:hAnsi="Times New Roman" w:cs="Times New Roman"/>
          <w:sz w:val="24"/>
          <w:szCs w:val="24"/>
        </w:rPr>
        <w:t xml:space="preserve"> while doing our research we need to see if there was a trade name was filed with the Corporations Division of the </w:t>
      </w:r>
      <w:r w:rsidR="00AD4592">
        <w:rPr>
          <w:rFonts w:ascii="Times New Roman" w:hAnsi="Times New Roman" w:cs="Times New Roman"/>
          <w:sz w:val="24"/>
          <w:szCs w:val="24"/>
        </w:rPr>
        <w:t>of the Corpor</w:t>
      </w:r>
      <w:r w:rsidR="00CA0F1C">
        <w:rPr>
          <w:rFonts w:ascii="Times New Roman" w:hAnsi="Times New Roman" w:cs="Times New Roman"/>
          <w:sz w:val="24"/>
          <w:szCs w:val="24"/>
        </w:rPr>
        <w:t>ations, Securities &amp; Commercial</w:t>
      </w:r>
      <w:r w:rsidR="00BA7350">
        <w:rPr>
          <w:rFonts w:ascii="Times New Roman" w:hAnsi="Times New Roman" w:cs="Times New Roman"/>
          <w:sz w:val="24"/>
          <w:szCs w:val="24"/>
        </w:rPr>
        <w:t xml:space="preserve"> Licensing Bu</w:t>
      </w:r>
      <w:r w:rsidR="004667A7">
        <w:rPr>
          <w:rFonts w:ascii="Times New Roman" w:hAnsi="Times New Roman" w:cs="Times New Roman"/>
          <w:sz w:val="24"/>
          <w:szCs w:val="24"/>
        </w:rPr>
        <w:t xml:space="preserve">reau since </w:t>
      </w:r>
      <w:r w:rsidR="00EA5B7B">
        <w:rPr>
          <w:rFonts w:ascii="Times New Roman" w:hAnsi="Times New Roman" w:cs="Times New Roman"/>
          <w:sz w:val="24"/>
          <w:szCs w:val="24"/>
        </w:rPr>
        <w:t>Mr. Sawyers and his wife business is a limited liability corpo</w:t>
      </w:r>
      <w:r w:rsidR="00FF41A8">
        <w:rPr>
          <w:rFonts w:ascii="Times New Roman" w:hAnsi="Times New Roman" w:cs="Times New Roman"/>
          <w:sz w:val="24"/>
          <w:szCs w:val="24"/>
        </w:rPr>
        <w:t>ration and handling of their trade name would have to be filed with this division</w:t>
      </w:r>
      <w:r w:rsidR="00343F48">
        <w:rPr>
          <w:rFonts w:ascii="Times New Roman" w:hAnsi="Times New Roman" w:cs="Times New Roman"/>
          <w:sz w:val="24"/>
          <w:szCs w:val="24"/>
        </w:rPr>
        <w:t>.</w:t>
      </w:r>
    </w:p>
    <w:p w14:paraId="192F215B" w14:textId="77777777" w:rsidR="00D8470E" w:rsidRPr="00804283" w:rsidRDefault="00274C33" w:rsidP="00D8470E">
      <w:pPr>
        <w:spacing w:line="480" w:lineRule="auto"/>
        <w:rPr>
          <w:rFonts w:ascii="Helvetica" w:hAnsi="Helvetica" w:cs="Helvetica"/>
          <w:color w:val="373739"/>
          <w:sz w:val="21"/>
          <w:szCs w:val="21"/>
          <w:shd w:val="clear" w:color="auto" w:fill="FFFFFF"/>
        </w:rPr>
      </w:pPr>
      <w:r>
        <w:rPr>
          <w:rFonts w:ascii="Times New Roman" w:hAnsi="Times New Roman" w:cs="Times New Roman"/>
          <w:sz w:val="24"/>
          <w:szCs w:val="24"/>
        </w:rPr>
        <w:t>After careful research I was able to locate the Lanham Act of</w:t>
      </w:r>
      <w:r w:rsidR="00367DA5">
        <w:rPr>
          <w:rFonts w:ascii="Times New Roman" w:hAnsi="Times New Roman" w:cs="Times New Roman"/>
          <w:sz w:val="24"/>
          <w:szCs w:val="24"/>
        </w:rPr>
        <w:t xml:space="preserve"> last amended in</w:t>
      </w:r>
      <w:r w:rsidR="00491043">
        <w:rPr>
          <w:rFonts w:ascii="Times New Roman" w:hAnsi="Times New Roman" w:cs="Times New Roman"/>
          <w:sz w:val="24"/>
          <w:szCs w:val="24"/>
        </w:rPr>
        <w:t xml:space="preserve"> October 1962 thi</w:t>
      </w:r>
      <w:r w:rsidR="006571CC">
        <w:rPr>
          <w:rFonts w:ascii="Times New Roman" w:hAnsi="Times New Roman" w:cs="Times New Roman"/>
          <w:sz w:val="24"/>
          <w:szCs w:val="24"/>
        </w:rPr>
        <w:t>s act states that another party who uses</w:t>
      </w:r>
      <w:r w:rsidR="00D030DD">
        <w:rPr>
          <w:rFonts w:ascii="Times New Roman" w:hAnsi="Times New Roman" w:cs="Times New Roman"/>
          <w:sz w:val="24"/>
          <w:szCs w:val="24"/>
        </w:rPr>
        <w:t xml:space="preserve"> a name </w:t>
      </w:r>
      <w:r w:rsidR="003D6F4E">
        <w:rPr>
          <w:rFonts w:ascii="Times New Roman" w:hAnsi="Times New Roman" w:cs="Times New Roman"/>
          <w:sz w:val="24"/>
          <w:szCs w:val="24"/>
        </w:rPr>
        <w:t>that has been trademarked with bon</w:t>
      </w:r>
      <w:r w:rsidR="00C040AE">
        <w:rPr>
          <w:rFonts w:ascii="Times New Roman" w:hAnsi="Times New Roman" w:cs="Times New Roman"/>
          <w:sz w:val="24"/>
          <w:szCs w:val="24"/>
        </w:rPr>
        <w:t xml:space="preserve">a fide intention </w:t>
      </w:r>
      <w:r w:rsidR="00BA5E36">
        <w:rPr>
          <w:rFonts w:ascii="Times New Roman" w:hAnsi="Times New Roman" w:cs="Times New Roman"/>
          <w:sz w:val="24"/>
          <w:szCs w:val="24"/>
        </w:rPr>
        <w:t xml:space="preserve">and without </w:t>
      </w:r>
      <w:r w:rsidR="00D9473E">
        <w:rPr>
          <w:rFonts w:ascii="Times New Roman" w:hAnsi="Times New Roman" w:cs="Times New Roman"/>
          <w:sz w:val="24"/>
          <w:szCs w:val="24"/>
        </w:rPr>
        <w:t xml:space="preserve">meaning to cause confusion or take </w:t>
      </w:r>
      <w:r w:rsidR="00A14CCE">
        <w:rPr>
          <w:rFonts w:ascii="Times New Roman" w:hAnsi="Times New Roman" w:cs="Times New Roman"/>
          <w:sz w:val="24"/>
          <w:szCs w:val="24"/>
        </w:rPr>
        <w:t>mislead the or</w:t>
      </w:r>
      <w:r w:rsidR="00DB5939">
        <w:rPr>
          <w:rFonts w:ascii="Times New Roman" w:hAnsi="Times New Roman" w:cs="Times New Roman"/>
          <w:sz w:val="24"/>
          <w:szCs w:val="24"/>
        </w:rPr>
        <w:t xml:space="preserve">iginal trade marker should not be found guilty of infringement. This is just my </w:t>
      </w:r>
      <w:r w:rsidR="00E84653">
        <w:rPr>
          <w:rFonts w:ascii="Times New Roman" w:hAnsi="Times New Roman" w:cs="Times New Roman"/>
          <w:sz w:val="24"/>
          <w:szCs w:val="24"/>
        </w:rPr>
        <w:t xml:space="preserve">understand of the section of the law I have read so far. The area of the Lanham law that I </w:t>
      </w:r>
      <w:r w:rsidR="002567FF">
        <w:rPr>
          <w:rFonts w:ascii="Times New Roman" w:hAnsi="Times New Roman" w:cs="Times New Roman"/>
          <w:sz w:val="24"/>
          <w:szCs w:val="24"/>
        </w:rPr>
        <w:t>think is appropriate to cite an that is most helpful to this case is section</w:t>
      </w:r>
      <w:r w:rsidR="00BB242C">
        <w:rPr>
          <w:rFonts w:ascii="Times New Roman" w:hAnsi="Times New Roman" w:cs="Times New Roman"/>
          <w:sz w:val="24"/>
          <w:szCs w:val="24"/>
        </w:rPr>
        <w:t xml:space="preserve"> 2 subse</w:t>
      </w:r>
      <w:r w:rsidR="00D20D85">
        <w:rPr>
          <w:rFonts w:ascii="Times New Roman" w:hAnsi="Times New Roman" w:cs="Times New Roman"/>
          <w:sz w:val="24"/>
          <w:szCs w:val="24"/>
        </w:rPr>
        <w:t>ction (d)</w:t>
      </w:r>
      <w:r w:rsidR="00901B87">
        <w:rPr>
          <w:rFonts w:ascii="Times New Roman" w:hAnsi="Times New Roman" w:cs="Times New Roman"/>
          <w:sz w:val="24"/>
          <w:szCs w:val="24"/>
        </w:rPr>
        <w:t xml:space="preserve"> of </w:t>
      </w:r>
      <w:r w:rsidR="00792C3D">
        <w:rPr>
          <w:rFonts w:ascii="Times New Roman" w:hAnsi="Times New Roman" w:cs="Times New Roman"/>
          <w:sz w:val="24"/>
          <w:szCs w:val="24"/>
        </w:rPr>
        <w:t>section 2</w:t>
      </w:r>
      <w:r w:rsidR="00B81234">
        <w:rPr>
          <w:rFonts w:ascii="Times New Roman" w:hAnsi="Times New Roman" w:cs="Times New Roman"/>
          <w:sz w:val="24"/>
          <w:szCs w:val="24"/>
        </w:rPr>
        <w:t xml:space="preserve">. </w:t>
      </w:r>
      <w:r w:rsidR="001B6FA8">
        <w:rPr>
          <w:rFonts w:ascii="Times New Roman" w:hAnsi="Times New Roman" w:cs="Times New Roman"/>
          <w:sz w:val="24"/>
          <w:szCs w:val="24"/>
        </w:rPr>
        <w:t>Title 15</w:t>
      </w:r>
      <w:r w:rsidR="004F740B">
        <w:rPr>
          <w:rFonts w:ascii="Times New Roman" w:hAnsi="Times New Roman" w:cs="Times New Roman"/>
          <w:sz w:val="24"/>
          <w:szCs w:val="24"/>
        </w:rPr>
        <w:t>-Commence an Trade states that no trade</w:t>
      </w:r>
      <w:r w:rsidR="00CC0BF3">
        <w:rPr>
          <w:rFonts w:ascii="Times New Roman" w:hAnsi="Times New Roman" w:cs="Times New Roman"/>
          <w:sz w:val="24"/>
          <w:szCs w:val="24"/>
        </w:rPr>
        <w:t>mark by which the goods</w:t>
      </w:r>
      <w:r w:rsidR="002E1125">
        <w:rPr>
          <w:rFonts w:ascii="Times New Roman" w:hAnsi="Times New Roman" w:cs="Times New Roman"/>
          <w:sz w:val="24"/>
          <w:szCs w:val="24"/>
        </w:rPr>
        <w:t xml:space="preserve"> of the applicant may be distinguished </w:t>
      </w:r>
      <w:r w:rsidR="00F01562">
        <w:rPr>
          <w:rFonts w:ascii="Times New Roman" w:hAnsi="Times New Roman" w:cs="Times New Roman"/>
          <w:sz w:val="24"/>
          <w:szCs w:val="24"/>
        </w:rPr>
        <w:t>from the goods of others shall be refused registration</w:t>
      </w:r>
      <w:r w:rsidR="00146F32">
        <w:rPr>
          <w:rFonts w:ascii="Times New Roman" w:hAnsi="Times New Roman" w:cs="Times New Roman"/>
          <w:sz w:val="24"/>
          <w:szCs w:val="24"/>
        </w:rPr>
        <w:t xml:space="preserve"> on the principa</w:t>
      </w:r>
      <w:r w:rsidR="00C62A19">
        <w:rPr>
          <w:rFonts w:ascii="Times New Roman" w:hAnsi="Times New Roman" w:cs="Times New Roman"/>
          <w:sz w:val="24"/>
          <w:szCs w:val="24"/>
        </w:rPr>
        <w:t xml:space="preserve">l register on account of its nature unless it </w:t>
      </w:r>
      <w:r w:rsidR="00B27F3B">
        <w:rPr>
          <w:rFonts w:ascii="Times New Roman" w:hAnsi="Times New Roman" w:cs="Times New Roman"/>
          <w:sz w:val="24"/>
          <w:szCs w:val="24"/>
        </w:rPr>
        <w:t>(d) consist of or comprises a mark</w:t>
      </w:r>
      <w:r w:rsidR="00192D4A">
        <w:rPr>
          <w:rFonts w:ascii="Times New Roman" w:hAnsi="Times New Roman" w:cs="Times New Roman"/>
          <w:sz w:val="24"/>
          <w:szCs w:val="24"/>
        </w:rPr>
        <w:t xml:space="preserve"> which resembles a mar</w:t>
      </w:r>
      <w:r w:rsidR="0095561B">
        <w:rPr>
          <w:rFonts w:ascii="Times New Roman" w:hAnsi="Times New Roman" w:cs="Times New Roman"/>
          <w:sz w:val="24"/>
          <w:szCs w:val="24"/>
        </w:rPr>
        <w:t>k or trade name</w:t>
      </w:r>
      <w:r w:rsidR="004B13A0">
        <w:rPr>
          <w:rFonts w:ascii="Times New Roman" w:hAnsi="Times New Roman" w:cs="Times New Roman"/>
          <w:sz w:val="24"/>
          <w:szCs w:val="24"/>
        </w:rPr>
        <w:t xml:space="preserve"> previously</w:t>
      </w:r>
      <w:r w:rsidR="0041361F">
        <w:rPr>
          <w:rFonts w:ascii="Times New Roman" w:hAnsi="Times New Roman" w:cs="Times New Roman"/>
          <w:sz w:val="24"/>
          <w:szCs w:val="24"/>
        </w:rPr>
        <w:t xml:space="preserve"> </w:t>
      </w:r>
      <w:r w:rsidR="00241A56">
        <w:rPr>
          <w:rFonts w:ascii="Times New Roman" w:hAnsi="Times New Roman" w:cs="Times New Roman"/>
          <w:sz w:val="24"/>
          <w:szCs w:val="24"/>
        </w:rPr>
        <w:t>used within the United States</w:t>
      </w:r>
      <w:r w:rsidR="00D22144">
        <w:rPr>
          <w:rFonts w:ascii="Times New Roman" w:hAnsi="Times New Roman" w:cs="Times New Roman"/>
          <w:sz w:val="24"/>
          <w:szCs w:val="24"/>
        </w:rPr>
        <w:t xml:space="preserve"> by another and not abandoned as to be likely</w:t>
      </w:r>
      <w:r w:rsidR="00484857">
        <w:rPr>
          <w:rFonts w:ascii="Times New Roman" w:hAnsi="Times New Roman" w:cs="Times New Roman"/>
          <w:sz w:val="24"/>
          <w:szCs w:val="24"/>
        </w:rPr>
        <w:t>, when used on or in connection with the goods</w:t>
      </w:r>
      <w:r w:rsidR="005A18CF">
        <w:rPr>
          <w:rFonts w:ascii="Times New Roman" w:hAnsi="Times New Roman" w:cs="Times New Roman"/>
          <w:sz w:val="24"/>
          <w:szCs w:val="24"/>
        </w:rPr>
        <w:t xml:space="preserve"> of the applicant</w:t>
      </w:r>
      <w:r w:rsidR="006D0F5F">
        <w:rPr>
          <w:rFonts w:ascii="Times New Roman" w:hAnsi="Times New Roman" w:cs="Times New Roman"/>
          <w:sz w:val="24"/>
          <w:szCs w:val="24"/>
        </w:rPr>
        <w:t xml:space="preserve"> to cause confusion  or to cause mistake</w:t>
      </w:r>
      <w:r w:rsidR="00244302">
        <w:rPr>
          <w:rFonts w:ascii="Times New Roman" w:hAnsi="Times New Roman" w:cs="Times New Roman"/>
          <w:sz w:val="24"/>
          <w:szCs w:val="24"/>
        </w:rPr>
        <w:t xml:space="preserve"> or to deceive. According to these elements Ms. Donnelly owner of </w:t>
      </w:r>
      <w:r w:rsidR="00B109EB">
        <w:rPr>
          <w:rFonts w:ascii="Times New Roman" w:hAnsi="Times New Roman" w:cs="Times New Roman"/>
          <w:sz w:val="24"/>
          <w:szCs w:val="24"/>
        </w:rPr>
        <w:t>Sweet Lorraine’s Bakery</w:t>
      </w:r>
      <w:r w:rsidR="0078704C">
        <w:rPr>
          <w:rFonts w:ascii="Times New Roman" w:hAnsi="Times New Roman" w:cs="Times New Roman"/>
          <w:sz w:val="24"/>
          <w:szCs w:val="24"/>
        </w:rPr>
        <w:t>,</w:t>
      </w:r>
      <w:r w:rsidR="00B109EB">
        <w:rPr>
          <w:rFonts w:ascii="Times New Roman" w:hAnsi="Times New Roman" w:cs="Times New Roman"/>
          <w:sz w:val="24"/>
          <w:szCs w:val="24"/>
        </w:rPr>
        <w:t xml:space="preserve"> LLC</w:t>
      </w:r>
      <w:r w:rsidR="002A3F54">
        <w:rPr>
          <w:rFonts w:ascii="Times New Roman" w:hAnsi="Times New Roman" w:cs="Times New Roman"/>
          <w:sz w:val="24"/>
          <w:szCs w:val="24"/>
        </w:rPr>
        <w:t xml:space="preserve"> so far has not broken any law that would be considered as </w:t>
      </w:r>
      <w:r w:rsidR="00E31D91">
        <w:rPr>
          <w:rFonts w:ascii="Times New Roman" w:hAnsi="Times New Roman" w:cs="Times New Roman"/>
          <w:sz w:val="24"/>
          <w:szCs w:val="24"/>
        </w:rPr>
        <w:t>infringement. The statu</w:t>
      </w:r>
      <w:r w:rsidR="003D1FEF">
        <w:rPr>
          <w:rFonts w:ascii="Times New Roman" w:hAnsi="Times New Roman" w:cs="Times New Roman"/>
          <w:sz w:val="24"/>
          <w:szCs w:val="24"/>
        </w:rPr>
        <w:t>te also goes on to say that prov</w:t>
      </w:r>
      <w:r w:rsidR="0056411C">
        <w:rPr>
          <w:rFonts w:ascii="Times New Roman" w:hAnsi="Times New Roman" w:cs="Times New Roman"/>
          <w:sz w:val="24"/>
          <w:szCs w:val="24"/>
        </w:rPr>
        <w:t xml:space="preserve">ided that if </w:t>
      </w:r>
      <w:r w:rsidR="000808B5">
        <w:rPr>
          <w:rFonts w:ascii="Times New Roman" w:hAnsi="Times New Roman" w:cs="Times New Roman"/>
          <w:sz w:val="24"/>
          <w:szCs w:val="24"/>
        </w:rPr>
        <w:t xml:space="preserve">the </w:t>
      </w:r>
      <w:r w:rsidR="000808B5">
        <w:rPr>
          <w:rFonts w:ascii="Times New Roman" w:hAnsi="Times New Roman" w:cs="Times New Roman"/>
          <w:sz w:val="24"/>
          <w:szCs w:val="24"/>
        </w:rPr>
        <w:lastRenderedPageBreak/>
        <w:t>Director</w:t>
      </w:r>
      <w:r w:rsidR="00F61C1D">
        <w:rPr>
          <w:rFonts w:ascii="Times New Roman" w:hAnsi="Times New Roman" w:cs="Times New Roman"/>
          <w:sz w:val="24"/>
          <w:szCs w:val="24"/>
        </w:rPr>
        <w:t xml:space="preserve"> determines</w:t>
      </w:r>
      <w:r w:rsidR="007B426B">
        <w:rPr>
          <w:rFonts w:ascii="Times New Roman" w:hAnsi="Times New Roman" w:cs="Times New Roman"/>
          <w:sz w:val="24"/>
          <w:szCs w:val="24"/>
        </w:rPr>
        <w:t xml:space="preserve"> that confusion or mistake</w:t>
      </w:r>
      <w:r w:rsidR="00E74ED0">
        <w:rPr>
          <w:rFonts w:ascii="Times New Roman" w:hAnsi="Times New Roman" w:cs="Times New Roman"/>
          <w:sz w:val="24"/>
          <w:szCs w:val="24"/>
        </w:rPr>
        <w:t xml:space="preserve"> or deception </w:t>
      </w:r>
      <w:r w:rsidR="00AE408E">
        <w:rPr>
          <w:rFonts w:ascii="Times New Roman" w:hAnsi="Times New Roman" w:cs="Times New Roman"/>
          <w:sz w:val="24"/>
          <w:szCs w:val="24"/>
        </w:rPr>
        <w:t xml:space="preserve">is not likely </w:t>
      </w:r>
      <w:r w:rsidR="00BB7B97">
        <w:rPr>
          <w:rFonts w:ascii="Times New Roman" w:hAnsi="Times New Roman" w:cs="Times New Roman"/>
          <w:sz w:val="24"/>
          <w:szCs w:val="24"/>
        </w:rPr>
        <w:t xml:space="preserve">to result </w:t>
      </w:r>
      <w:r w:rsidR="007E6583">
        <w:rPr>
          <w:rFonts w:ascii="Times New Roman" w:hAnsi="Times New Roman" w:cs="Times New Roman"/>
          <w:sz w:val="24"/>
          <w:szCs w:val="24"/>
        </w:rPr>
        <w:t>from the name being used</w:t>
      </w:r>
      <w:r w:rsidR="00846699">
        <w:rPr>
          <w:rFonts w:ascii="Times New Roman" w:hAnsi="Times New Roman" w:cs="Times New Roman"/>
          <w:sz w:val="24"/>
          <w:szCs w:val="24"/>
        </w:rPr>
        <w:t xml:space="preserve"> by more than one person</w:t>
      </w:r>
      <w:r w:rsidR="00D831C2">
        <w:rPr>
          <w:rFonts w:ascii="Times New Roman" w:hAnsi="Times New Roman" w:cs="Times New Roman"/>
          <w:sz w:val="24"/>
          <w:szCs w:val="24"/>
        </w:rPr>
        <w:t xml:space="preserve"> then concurrent</w:t>
      </w:r>
      <w:r w:rsidR="009F78CC">
        <w:rPr>
          <w:rFonts w:ascii="Times New Roman" w:hAnsi="Times New Roman" w:cs="Times New Roman"/>
          <w:sz w:val="24"/>
          <w:szCs w:val="24"/>
        </w:rPr>
        <w:t xml:space="preserve"> registration may be issued</w:t>
      </w:r>
      <w:r w:rsidR="000808B5">
        <w:rPr>
          <w:rFonts w:ascii="Times New Roman" w:hAnsi="Times New Roman" w:cs="Times New Roman"/>
          <w:sz w:val="24"/>
          <w:szCs w:val="24"/>
        </w:rPr>
        <w:t>.</w:t>
      </w:r>
      <w:r w:rsidR="00CF0C83">
        <w:rPr>
          <w:rFonts w:ascii="Times New Roman" w:hAnsi="Times New Roman" w:cs="Times New Roman"/>
          <w:sz w:val="24"/>
          <w:szCs w:val="24"/>
        </w:rPr>
        <w:t xml:space="preserve"> Since the trade name is the issue a</w:t>
      </w:r>
      <w:r w:rsidR="00FE7837">
        <w:rPr>
          <w:rFonts w:ascii="Times New Roman" w:hAnsi="Times New Roman" w:cs="Times New Roman"/>
          <w:sz w:val="24"/>
          <w:szCs w:val="24"/>
        </w:rPr>
        <w:t>t hand</w:t>
      </w:r>
      <w:r w:rsidR="00CF0C83">
        <w:rPr>
          <w:rFonts w:ascii="Times New Roman" w:hAnsi="Times New Roman" w:cs="Times New Roman"/>
          <w:sz w:val="24"/>
          <w:szCs w:val="24"/>
        </w:rPr>
        <w:t xml:space="preserve"> at not a trademark or service </w:t>
      </w:r>
      <w:r w:rsidR="00AC1BC7">
        <w:rPr>
          <w:rFonts w:ascii="Times New Roman" w:hAnsi="Times New Roman" w:cs="Times New Roman"/>
          <w:sz w:val="24"/>
          <w:szCs w:val="24"/>
        </w:rPr>
        <w:t>mark,</w:t>
      </w:r>
      <w:r w:rsidR="00CF0C83">
        <w:rPr>
          <w:rFonts w:ascii="Times New Roman" w:hAnsi="Times New Roman" w:cs="Times New Roman"/>
          <w:sz w:val="24"/>
          <w:szCs w:val="24"/>
        </w:rPr>
        <w:t xml:space="preserve"> </w:t>
      </w:r>
      <w:r w:rsidR="00744FF1">
        <w:rPr>
          <w:rFonts w:ascii="Times New Roman" w:hAnsi="Times New Roman" w:cs="Times New Roman"/>
          <w:sz w:val="24"/>
          <w:szCs w:val="24"/>
        </w:rPr>
        <w:t xml:space="preserve">we would have to establish </w:t>
      </w:r>
      <w:r w:rsidR="00FE7837">
        <w:rPr>
          <w:rFonts w:ascii="Times New Roman" w:hAnsi="Times New Roman" w:cs="Times New Roman"/>
          <w:sz w:val="24"/>
          <w:szCs w:val="24"/>
        </w:rPr>
        <w:t>what</w:t>
      </w:r>
      <w:r w:rsidR="00744FF1">
        <w:rPr>
          <w:rFonts w:ascii="Times New Roman" w:hAnsi="Times New Roman" w:cs="Times New Roman"/>
          <w:sz w:val="24"/>
          <w:szCs w:val="24"/>
        </w:rPr>
        <w:t xml:space="preserve"> </w:t>
      </w:r>
      <w:r w:rsidR="00AC1BC7">
        <w:rPr>
          <w:rFonts w:ascii="Times New Roman" w:hAnsi="Times New Roman" w:cs="Times New Roman"/>
          <w:sz w:val="24"/>
          <w:szCs w:val="24"/>
        </w:rPr>
        <w:t>her rights</w:t>
      </w:r>
      <w:r w:rsidR="00FE7837">
        <w:rPr>
          <w:rFonts w:ascii="Times New Roman" w:hAnsi="Times New Roman" w:cs="Times New Roman"/>
          <w:sz w:val="24"/>
          <w:szCs w:val="24"/>
        </w:rPr>
        <w:t xml:space="preserve"> are</w:t>
      </w:r>
      <w:r w:rsidR="00AC1BC7">
        <w:rPr>
          <w:rFonts w:ascii="Times New Roman" w:hAnsi="Times New Roman" w:cs="Times New Roman"/>
          <w:sz w:val="24"/>
          <w:szCs w:val="24"/>
        </w:rPr>
        <w:t xml:space="preserve"> to the </w:t>
      </w:r>
      <w:r w:rsidR="00586CF2">
        <w:rPr>
          <w:rFonts w:ascii="Times New Roman" w:hAnsi="Times New Roman" w:cs="Times New Roman"/>
          <w:sz w:val="24"/>
          <w:szCs w:val="24"/>
        </w:rPr>
        <w:t>concurrent use of the name</w:t>
      </w:r>
      <w:r w:rsidR="00FE7837">
        <w:rPr>
          <w:rFonts w:ascii="Times New Roman" w:hAnsi="Times New Roman" w:cs="Times New Roman"/>
          <w:sz w:val="24"/>
          <w:szCs w:val="24"/>
        </w:rPr>
        <w:t xml:space="preserve"> in a totally different ju</w:t>
      </w:r>
      <w:r w:rsidR="00412773">
        <w:rPr>
          <w:rFonts w:ascii="Times New Roman" w:hAnsi="Times New Roman" w:cs="Times New Roman"/>
          <w:sz w:val="24"/>
          <w:szCs w:val="24"/>
        </w:rPr>
        <w:t>risdiction.</w:t>
      </w:r>
      <w:r w:rsidR="00D8470E">
        <w:rPr>
          <w:rFonts w:ascii="Times New Roman" w:hAnsi="Times New Roman" w:cs="Times New Roman"/>
          <w:sz w:val="24"/>
          <w:szCs w:val="24"/>
        </w:rPr>
        <w:t xml:space="preserve"> This law is Primary law and can be found in Lexis Advance which has pdf of the statute that can be found at </w:t>
      </w:r>
      <w:r w:rsidR="00D8470E" w:rsidRPr="00CF64F4">
        <w:rPr>
          <w:rFonts w:ascii="Times New Roman" w:hAnsi="Times New Roman" w:cs="Times New Roman"/>
          <w:color w:val="000000" w:themeColor="text1"/>
          <w:sz w:val="24"/>
          <w:szCs w:val="24"/>
          <w:shd w:val="clear" w:color="auto" w:fill="FFFFFF"/>
        </w:rPr>
        <w:t>Trade-marks., 60 Stat. 427</w:t>
      </w:r>
      <w:r w:rsidR="00D8470E" w:rsidRPr="00CF64F4">
        <w:rPr>
          <w:rFonts w:ascii="Helvetica" w:hAnsi="Helvetica" w:cs="Helvetica"/>
          <w:color w:val="000000" w:themeColor="text1"/>
          <w:sz w:val="21"/>
          <w:szCs w:val="21"/>
          <w:shd w:val="clear" w:color="auto" w:fill="FFFFFF"/>
        </w:rPr>
        <w:t xml:space="preserve"> </w:t>
      </w:r>
      <w:hyperlink r:id="rId6" w:history="1">
        <w:r w:rsidR="00D8470E" w:rsidRPr="008C699B">
          <w:rPr>
            <w:rStyle w:val="Hyperlink"/>
            <w:rFonts w:ascii="Helvetica" w:hAnsi="Helvetica" w:cs="Helvetica"/>
            <w:i/>
            <w:iCs/>
            <w:color w:val="004B91"/>
            <w:sz w:val="21"/>
            <w:szCs w:val="21"/>
            <w:bdr w:val="none" w:sz="0" w:space="0" w:color="auto" w:frame="1"/>
            <w:shd w:val="clear" w:color="auto" w:fill="FFFFFF"/>
          </w:rPr>
          <w:t>79 P.L. 489, 60 Stat. 427, 79 Cong. Ch. 540, 79 P.L. 489, 60 Stat. 427, 79 Cong. Ch. 540</w:t>
        </w:r>
      </w:hyperlink>
      <w:r w:rsidR="00D8470E">
        <w:t xml:space="preserve"> </w:t>
      </w:r>
      <w:r w:rsidR="00D8470E" w:rsidRPr="00CF64F4">
        <w:rPr>
          <w:rFonts w:ascii="Times New Roman" w:hAnsi="Times New Roman" w:cs="Times New Roman"/>
          <w:sz w:val="24"/>
          <w:szCs w:val="24"/>
        </w:rPr>
        <w:t>and the amended version</w:t>
      </w:r>
      <w:r w:rsidR="00D8470E">
        <w:t xml:space="preserve"> </w:t>
      </w:r>
      <w:r w:rsidR="00D8470E" w:rsidRPr="008C699B">
        <w:rPr>
          <w:rFonts w:ascii="Helvetica" w:hAnsi="Helvetica" w:cs="Helvetica"/>
          <w:i/>
          <w:iCs/>
          <w:color w:val="004B91"/>
          <w:sz w:val="21"/>
          <w:szCs w:val="21"/>
          <w:shd w:val="clear" w:color="auto" w:fill="FFFFFF"/>
        </w:rPr>
        <w:t>87 P.L. 772, 76 Stat. 769, 87 P.L. 772, 76 Stat. 769</w:t>
      </w:r>
      <w:r w:rsidR="00D8470E">
        <w:rPr>
          <w:rFonts w:ascii="Helvetica" w:hAnsi="Helvetica" w:cs="Helvetica"/>
          <w:color w:val="004B91"/>
          <w:sz w:val="21"/>
          <w:szCs w:val="21"/>
          <w:shd w:val="clear" w:color="auto" w:fill="FFFFFF"/>
        </w:rPr>
        <w:t>.</w:t>
      </w:r>
    </w:p>
    <w:p w14:paraId="4FE5C119" w14:textId="401F55A2" w:rsidR="00343F48" w:rsidRDefault="00343F48" w:rsidP="00E145F0">
      <w:pPr>
        <w:spacing w:line="480" w:lineRule="auto"/>
        <w:rPr>
          <w:rFonts w:ascii="Times New Roman" w:hAnsi="Times New Roman" w:cs="Times New Roman"/>
          <w:sz w:val="24"/>
          <w:szCs w:val="24"/>
        </w:rPr>
      </w:pPr>
    </w:p>
    <w:p w14:paraId="7062B6EB" w14:textId="218850C1" w:rsidR="006D4053" w:rsidRPr="001F3C09" w:rsidRDefault="00816A20" w:rsidP="00DB24B3">
      <w:pPr>
        <w:pStyle w:val="ssinlinetext"/>
        <w:shd w:val="clear" w:color="auto" w:fill="FFFFFF"/>
        <w:spacing w:before="0" w:after="0" w:line="480" w:lineRule="auto"/>
        <w:textAlignment w:val="baseline"/>
        <w:rPr>
          <w:color w:val="000000" w:themeColor="text1"/>
        </w:rPr>
      </w:pPr>
      <w:r w:rsidRPr="006D4053">
        <w:rPr>
          <w:color w:val="000000" w:themeColor="text1"/>
        </w:rPr>
        <w:t>There were multiple cases on trademark the Lanham Act</w:t>
      </w:r>
      <w:r w:rsidR="00163143" w:rsidRPr="006D4053">
        <w:rPr>
          <w:color w:val="000000" w:themeColor="text1"/>
        </w:rPr>
        <w:t xml:space="preserve"> </w:t>
      </w:r>
      <w:r w:rsidR="00233E61" w:rsidRPr="006D4053">
        <w:rPr>
          <w:color w:val="000000" w:themeColor="text1"/>
        </w:rPr>
        <w:t xml:space="preserve">the case that I would recommend citing </w:t>
      </w:r>
      <w:r w:rsidR="00477208">
        <w:rPr>
          <w:color w:val="000000" w:themeColor="text1"/>
        </w:rPr>
        <w:t xml:space="preserve"> is </w:t>
      </w:r>
      <w:r w:rsidR="00DC137F">
        <w:rPr>
          <w:color w:val="000000" w:themeColor="text1"/>
        </w:rPr>
        <w:t xml:space="preserve">a Primary source and </w:t>
      </w:r>
      <w:r w:rsidR="008C21DC">
        <w:rPr>
          <w:color w:val="000000" w:themeColor="text1"/>
        </w:rPr>
        <w:t xml:space="preserve">has mandatory authority because it </w:t>
      </w:r>
      <w:r w:rsidR="00C55BCE">
        <w:rPr>
          <w:color w:val="000000" w:themeColor="text1"/>
        </w:rPr>
        <w:t>was decided within the state of Michigan</w:t>
      </w:r>
      <w:r w:rsidR="0022135C">
        <w:rPr>
          <w:color w:val="000000" w:themeColor="text1"/>
        </w:rPr>
        <w:t xml:space="preserve"> is </w:t>
      </w:r>
      <w:r w:rsidR="009D51BE">
        <w:rPr>
          <w:color w:val="000000" w:themeColor="text1"/>
        </w:rPr>
        <w:t>“</w:t>
      </w:r>
      <w:r w:rsidR="009D51BE" w:rsidRPr="008C699B">
        <w:rPr>
          <w:rFonts w:ascii="Helvetica" w:hAnsi="Helvetica" w:cs="Helvetica"/>
          <w:i/>
          <w:iCs/>
          <w:color w:val="004B91"/>
          <w:sz w:val="21"/>
          <w:szCs w:val="21"/>
          <w:shd w:val="clear" w:color="auto" w:fill="FFFFFF"/>
        </w:rPr>
        <w:t>Park 'n Fly v. Dollar Park &amp; Fly, 469 U.S. 189, 105 S. Ct. 658, 83 L. Ed. 2d 582, 1985 U.S. LEXIS 33, 53 U.S.L.W. 4044, 224 U.S.P.Q. (BNA) 327</w:t>
      </w:r>
      <w:r w:rsidR="009D51BE">
        <w:rPr>
          <w:color w:val="000000" w:themeColor="text1"/>
        </w:rPr>
        <w:t xml:space="preserve"> </w:t>
      </w:r>
      <w:r w:rsidR="006D4053" w:rsidRPr="006D4053">
        <w:rPr>
          <w:color w:val="000000" w:themeColor="text1"/>
        </w:rPr>
        <w:t xml:space="preserve"> Petitioner argued that because its registered service mark "Park 'N Fly" had attained incontestable status, respondent infringed the mark by using the words "Park and Fly." Specifically, petitioner asserted that the appeals court erred in allowing respondent to successfully challenge the mark on the ground that it was merely descriptive. The Supreme Court agreed, holding that incontestability not only barred cancellation of petitioner's mark, but allowed petitioner to utilize that status to enjoin respondent's use of its mark. Nothing in the language of the </w:t>
      </w:r>
      <w:r w:rsidR="000410EF">
        <w:rPr>
          <w:color w:val="000000" w:themeColor="text1"/>
        </w:rPr>
        <w:t>Lanham Act</w:t>
      </w:r>
      <w:bookmarkStart w:id="0" w:name="_GoBack"/>
      <w:bookmarkEnd w:id="0"/>
      <w:r w:rsidR="000410EF" w:rsidRPr="006D4053">
        <w:rPr>
          <w:color w:val="000000" w:themeColor="text1"/>
        </w:rPr>
        <w:t xml:space="preserve"> </w:t>
      </w:r>
      <w:r w:rsidR="006D4053" w:rsidRPr="006D4053">
        <w:rPr>
          <w:color w:val="000000" w:themeColor="text1"/>
        </w:rPr>
        <w:t>of 1946 (</w:t>
      </w:r>
      <w:r w:rsidR="000410EF">
        <w:rPr>
          <w:color w:val="000000" w:themeColor="text1"/>
        </w:rPr>
        <w:t>Lanham</w:t>
      </w:r>
      <w:r w:rsidR="006D4053" w:rsidRPr="006D4053">
        <w:rPr>
          <w:color w:val="000000" w:themeColor="text1"/>
        </w:rPr>
        <w:t>), </w:t>
      </w:r>
      <w:hyperlink r:id="rId7" w:history="1">
        <w:r w:rsidR="006D4053" w:rsidRPr="006D4053">
          <w:rPr>
            <w:rStyle w:val="Hyperlink"/>
            <w:color w:val="000000" w:themeColor="text1"/>
            <w:bdr w:val="none" w:sz="0" w:space="0" w:color="auto" w:frame="1"/>
          </w:rPr>
          <w:t>15 U.S.C.S. § 1051 et seq.</w:t>
        </w:r>
      </w:hyperlink>
      <w:r w:rsidR="006D4053" w:rsidRPr="006D4053">
        <w:rPr>
          <w:color w:val="000000" w:themeColor="text1"/>
        </w:rPr>
        <w:t>, supported the offensive/defensive distinction adopted by the appeals court in upholding respondent's challenge. Moreover</w:t>
      </w:r>
      <w:r w:rsidR="000410EF">
        <w:rPr>
          <w:color w:val="000000" w:themeColor="text1"/>
        </w:rPr>
        <w:t>,</w:t>
      </w:r>
      <w:r w:rsidR="006D4053" w:rsidRPr="006D4053">
        <w:rPr>
          <w:color w:val="000000" w:themeColor="text1"/>
        </w:rPr>
        <w:t xml:space="preserve"> nothing in</w:t>
      </w:r>
      <w:r w:rsidR="000410EF">
        <w:rPr>
          <w:color w:val="000000" w:themeColor="text1"/>
        </w:rPr>
        <w:t xml:space="preserve"> Lanham</w:t>
      </w:r>
      <w:r w:rsidR="006D4053" w:rsidRPr="006D4053">
        <w:rPr>
          <w:color w:val="000000" w:themeColor="text1"/>
        </w:rPr>
        <w:t>, or in its legislative history, allowed an incontestable mark to be challenged as merely descriptive and nothing supported a departure from </w:t>
      </w:r>
      <w:r w:rsidR="000410EF">
        <w:rPr>
          <w:color w:val="000000" w:themeColor="text1"/>
        </w:rPr>
        <w:t>Lanham</w:t>
      </w:r>
      <w:r w:rsidR="006D4053" w:rsidRPr="006D4053">
        <w:rPr>
          <w:color w:val="000000" w:themeColor="text1"/>
        </w:rPr>
        <w:t>'s clear language on incontestability. That</w:t>
      </w:r>
      <w:r w:rsidR="000410EF">
        <w:rPr>
          <w:color w:val="000000" w:themeColor="text1"/>
        </w:rPr>
        <w:t xml:space="preserve"> trademark </w:t>
      </w:r>
      <w:r w:rsidR="000410EF" w:rsidRPr="006D4053">
        <w:rPr>
          <w:color w:val="000000" w:themeColor="text1"/>
        </w:rPr>
        <w:t>registrations</w:t>
      </w:r>
      <w:r w:rsidR="006D4053" w:rsidRPr="006D4053">
        <w:rPr>
          <w:color w:val="000000" w:themeColor="text1"/>
        </w:rPr>
        <w:t xml:space="preserve"> were issued </w:t>
      </w:r>
      <w:r w:rsidR="006D4053" w:rsidRPr="001F3C09">
        <w:rPr>
          <w:color w:val="000000" w:themeColor="text1"/>
        </w:rPr>
        <w:lastRenderedPageBreak/>
        <w:t>without inquiry into the application's merits was no basis for supporting respondent's position as challenges were permitted following publication of the registration.</w:t>
      </w:r>
      <w:r w:rsidR="00F01ABF" w:rsidRPr="001F3C09">
        <w:rPr>
          <w:color w:val="000000" w:themeColor="text1"/>
          <w:shd w:val="clear" w:color="auto" w:fill="FFFFFF"/>
        </w:rPr>
        <w:t xml:space="preserve"> The judgment holding that respondent's use of "Dollar Park and Fly" did not infringe petitioner's incontestable mark "Park 'N Fly" was reversed because the infringement of an incontestable mark could not be defended on the ground that the mark was purely descriptive, as neither the </w:t>
      </w:r>
      <w:r w:rsidR="00740962">
        <w:rPr>
          <w:color w:val="000000" w:themeColor="text1"/>
          <w:shd w:val="clear" w:color="auto" w:fill="FFFFFF"/>
        </w:rPr>
        <w:t>Lanham Act</w:t>
      </w:r>
      <w:r w:rsidR="00F01ABF" w:rsidRPr="001F3C09">
        <w:rPr>
          <w:color w:val="000000" w:themeColor="text1"/>
          <w:shd w:val="clear" w:color="auto" w:fill="FFFFFF"/>
        </w:rPr>
        <w:t>, nor legislative history supported this defense.</w:t>
      </w:r>
      <w:r w:rsidR="00F01ABF" w:rsidRPr="001F3C09">
        <w:rPr>
          <w:color w:val="000000" w:themeColor="text1"/>
        </w:rPr>
        <w:t xml:space="preserve"> </w:t>
      </w:r>
      <w:r w:rsidR="009D51BE" w:rsidRPr="001F3C09">
        <w:rPr>
          <w:color w:val="000000" w:themeColor="text1"/>
        </w:rPr>
        <w:t>”</w:t>
      </w:r>
    </w:p>
    <w:p w14:paraId="7DD68F18" w14:textId="69BC31A7" w:rsidR="000808B5" w:rsidRPr="001F3C09" w:rsidRDefault="002220FC" w:rsidP="00DB24B3">
      <w:pPr>
        <w:pStyle w:val="ssinlinetext"/>
        <w:shd w:val="clear" w:color="auto" w:fill="FFFFFF"/>
        <w:spacing w:before="0" w:after="0" w:line="480" w:lineRule="auto"/>
        <w:textAlignment w:val="baseline"/>
        <w:rPr>
          <w:color w:val="000000" w:themeColor="text1"/>
          <w:shd w:val="clear" w:color="auto" w:fill="FFFFFF"/>
        </w:rPr>
      </w:pPr>
      <w:r w:rsidRPr="001F3C09">
        <w:rPr>
          <w:color w:val="000000" w:themeColor="text1"/>
        </w:rPr>
        <w:t>T</w:t>
      </w:r>
      <w:r w:rsidR="0022135C" w:rsidRPr="001F3C09">
        <w:rPr>
          <w:color w:val="000000" w:themeColor="text1"/>
        </w:rPr>
        <w:t>h</w:t>
      </w:r>
      <w:r w:rsidR="0013755A" w:rsidRPr="001F3C09">
        <w:rPr>
          <w:color w:val="000000" w:themeColor="text1"/>
        </w:rPr>
        <w:t>is</w:t>
      </w:r>
      <w:r w:rsidRPr="001F3C09">
        <w:rPr>
          <w:color w:val="000000" w:themeColor="text1"/>
        </w:rPr>
        <w:t xml:space="preserve"> </w:t>
      </w:r>
      <w:r w:rsidR="0022135C" w:rsidRPr="001F3C09">
        <w:rPr>
          <w:color w:val="000000" w:themeColor="text1"/>
        </w:rPr>
        <w:t xml:space="preserve">next </w:t>
      </w:r>
      <w:r w:rsidRPr="001F3C09">
        <w:rPr>
          <w:color w:val="000000" w:themeColor="text1"/>
        </w:rPr>
        <w:t>case would also be a</w:t>
      </w:r>
      <w:r w:rsidR="00DD37CA" w:rsidRPr="001F3C09">
        <w:rPr>
          <w:color w:val="000000" w:themeColor="text1"/>
        </w:rPr>
        <w:t xml:space="preserve"> </w:t>
      </w:r>
      <w:r w:rsidR="00393F24" w:rsidRPr="001F3C09">
        <w:rPr>
          <w:color w:val="000000" w:themeColor="text1"/>
        </w:rPr>
        <w:t xml:space="preserve">helpful </w:t>
      </w:r>
      <w:r w:rsidR="0013755A" w:rsidRPr="001F3C09">
        <w:rPr>
          <w:color w:val="000000" w:themeColor="text1"/>
        </w:rPr>
        <w:t xml:space="preserve">and </w:t>
      </w:r>
      <w:r w:rsidR="004B7172" w:rsidRPr="001F3C09">
        <w:rPr>
          <w:color w:val="000000" w:themeColor="text1"/>
        </w:rPr>
        <w:t>was heard by the Sixth Cir</w:t>
      </w:r>
      <w:r w:rsidR="008F5CE5" w:rsidRPr="001F3C09">
        <w:rPr>
          <w:color w:val="000000" w:themeColor="text1"/>
        </w:rPr>
        <w:t xml:space="preserve">cuit on like the above case. </w:t>
      </w:r>
      <w:r w:rsidR="008F5CE5" w:rsidRPr="008C699B">
        <w:rPr>
          <w:i/>
          <w:iCs/>
          <w:color w:val="000000" w:themeColor="text1"/>
        </w:rPr>
        <w:t>This case is also</w:t>
      </w:r>
      <w:r w:rsidR="0065333F" w:rsidRPr="008C699B">
        <w:rPr>
          <w:i/>
          <w:iCs/>
          <w:color w:val="000000" w:themeColor="text1"/>
        </w:rPr>
        <w:t xml:space="preserve"> a</w:t>
      </w:r>
      <w:r w:rsidR="008F5CE5" w:rsidRPr="008C699B">
        <w:rPr>
          <w:i/>
          <w:iCs/>
          <w:color w:val="000000" w:themeColor="text1"/>
        </w:rPr>
        <w:t xml:space="preserve"> </w:t>
      </w:r>
      <w:r w:rsidR="0065333F" w:rsidRPr="008C699B">
        <w:rPr>
          <w:i/>
          <w:iCs/>
          <w:color w:val="000000" w:themeColor="text1"/>
        </w:rPr>
        <w:t xml:space="preserve">primary source and </w:t>
      </w:r>
      <w:r w:rsidR="007F229E" w:rsidRPr="008C699B">
        <w:rPr>
          <w:i/>
          <w:iCs/>
          <w:color w:val="000000" w:themeColor="text1"/>
        </w:rPr>
        <w:t>has mandatory authority</w:t>
      </w:r>
      <w:r w:rsidR="005B630F" w:rsidRPr="008C699B">
        <w:rPr>
          <w:i/>
          <w:iCs/>
          <w:color w:val="000000" w:themeColor="text1"/>
        </w:rPr>
        <w:br/>
      </w:r>
      <w:r w:rsidR="005B630F" w:rsidRPr="008C699B">
        <w:rPr>
          <w:i/>
          <w:iCs/>
          <w:color w:val="000000" w:themeColor="text1"/>
          <w:shd w:val="clear" w:color="auto" w:fill="FFFFFF"/>
        </w:rPr>
        <w:t xml:space="preserve">“Hensley Mfg. v. </w:t>
      </w:r>
      <w:proofErr w:type="spellStart"/>
      <w:r w:rsidR="005B630F" w:rsidRPr="008C699B">
        <w:rPr>
          <w:i/>
          <w:iCs/>
          <w:color w:val="000000" w:themeColor="text1"/>
          <w:shd w:val="clear" w:color="auto" w:fill="FFFFFF"/>
        </w:rPr>
        <w:t>ProPride</w:t>
      </w:r>
      <w:proofErr w:type="spellEnd"/>
      <w:r w:rsidR="005B630F" w:rsidRPr="008C699B">
        <w:rPr>
          <w:i/>
          <w:iCs/>
          <w:color w:val="000000" w:themeColor="text1"/>
          <w:shd w:val="clear" w:color="auto" w:fill="FFFFFF"/>
        </w:rPr>
        <w:t>, Inc., 579 F.3d 603, 2009 U.S. App. LEXIS 19797, 2009 FED App. 0324P (6th Cir.), 92 U.S.P.Q.2D (BNA) 1003</w:t>
      </w:r>
      <w:r w:rsidR="005B630F" w:rsidRPr="001F3C09">
        <w:rPr>
          <w:color w:val="000000" w:themeColor="text1"/>
        </w:rPr>
        <w:t xml:space="preserve"> </w:t>
      </w:r>
      <w:r w:rsidR="000D4426" w:rsidRPr="001F3C09">
        <w:rPr>
          <w:color w:val="000000" w:themeColor="text1"/>
        </w:rPr>
        <w:t xml:space="preserve"> </w:t>
      </w:r>
      <w:r w:rsidR="000D4426" w:rsidRPr="001F3C09">
        <w:rPr>
          <w:color w:val="000000" w:themeColor="text1"/>
          <w:shd w:val="clear" w:color="auto" w:fill="FFFFFF"/>
        </w:rPr>
        <w:t>he</w:t>
      </w:r>
      <w:r w:rsidR="00740962">
        <w:rPr>
          <w:color w:val="000000" w:themeColor="text1"/>
          <w:shd w:val="clear" w:color="auto" w:fill="FFFFFF"/>
        </w:rPr>
        <w:t xml:space="preserve"> trademark</w:t>
      </w:r>
      <w:r w:rsidR="00740962" w:rsidRPr="001F3C09">
        <w:rPr>
          <w:color w:val="000000" w:themeColor="text1"/>
          <w:shd w:val="clear" w:color="auto" w:fill="FFFFFF"/>
        </w:rPr>
        <w:t xml:space="preserve"> </w:t>
      </w:r>
      <w:r w:rsidR="000D4426" w:rsidRPr="001F3C09">
        <w:rPr>
          <w:color w:val="000000" w:themeColor="text1"/>
          <w:shd w:val="clear" w:color="auto" w:fill="FFFFFF"/>
        </w:rPr>
        <w:t>owner alleged that it purchased the trailer hitch business of the inventor as a going concern. The</w:t>
      </w:r>
      <w:r w:rsidR="00740962">
        <w:rPr>
          <w:color w:val="000000" w:themeColor="text1"/>
          <w:shd w:val="clear" w:color="auto" w:fill="FFFFFF"/>
        </w:rPr>
        <w:t xml:space="preserve"> trademark</w:t>
      </w:r>
      <w:r w:rsidR="00740962" w:rsidRPr="001F3C09">
        <w:rPr>
          <w:color w:val="000000" w:themeColor="text1"/>
          <w:shd w:val="clear" w:color="auto" w:fill="FFFFFF"/>
        </w:rPr>
        <w:t xml:space="preserve"> </w:t>
      </w:r>
      <w:r w:rsidR="000D4426" w:rsidRPr="001F3C09">
        <w:rPr>
          <w:color w:val="000000" w:themeColor="text1"/>
          <w:shd w:val="clear" w:color="auto" w:fill="FFFFFF"/>
        </w:rPr>
        <w:t>owner registered a</w:t>
      </w:r>
      <w:r w:rsidR="00F21F14">
        <w:rPr>
          <w:color w:val="000000" w:themeColor="text1"/>
          <w:shd w:val="clear" w:color="auto" w:fill="FFFFFF"/>
        </w:rPr>
        <w:t xml:space="preserve"> trademark</w:t>
      </w:r>
      <w:r w:rsidR="00F21F14" w:rsidRPr="001F3C09">
        <w:rPr>
          <w:color w:val="000000" w:themeColor="text1"/>
          <w:shd w:val="clear" w:color="auto" w:fill="FFFFFF"/>
        </w:rPr>
        <w:t xml:space="preserve"> </w:t>
      </w:r>
      <w:r w:rsidR="000D4426" w:rsidRPr="001F3C09">
        <w:rPr>
          <w:color w:val="000000" w:themeColor="text1"/>
          <w:shd w:val="clear" w:color="auto" w:fill="FFFFFF"/>
        </w:rPr>
        <w:t>for the inventor's</w:t>
      </w:r>
      <w:r w:rsidR="00740962">
        <w:rPr>
          <w:color w:val="000000" w:themeColor="text1"/>
          <w:shd w:val="clear" w:color="auto" w:fill="FFFFFF"/>
        </w:rPr>
        <w:t xml:space="preserve"> name</w:t>
      </w:r>
      <w:r w:rsidR="000D4426" w:rsidRPr="001F3C09">
        <w:rPr>
          <w:color w:val="000000" w:themeColor="text1"/>
          <w:shd w:val="clear" w:color="auto" w:fill="FFFFFF"/>
        </w:rPr>
        <w:t> and sold trailer hitches using his </w:t>
      </w:r>
      <w:r w:rsidR="00F21F14">
        <w:rPr>
          <w:color w:val="000000" w:themeColor="text1"/>
          <w:shd w:val="clear" w:color="auto" w:fill="FFFFFF"/>
        </w:rPr>
        <w:t>n</w:t>
      </w:r>
      <w:r w:rsidR="00740962">
        <w:rPr>
          <w:color w:val="000000" w:themeColor="text1"/>
          <w:shd w:val="clear" w:color="auto" w:fill="FFFFFF"/>
        </w:rPr>
        <w:t>ame</w:t>
      </w:r>
      <w:r w:rsidR="000D4426" w:rsidRPr="001F3C09">
        <w:rPr>
          <w:color w:val="000000" w:themeColor="text1"/>
          <w:shd w:val="clear" w:color="auto" w:fill="FFFFFF"/>
        </w:rPr>
        <w:t>. The inventor split with the</w:t>
      </w:r>
      <w:r w:rsidR="00F21F14">
        <w:rPr>
          <w:color w:val="000000" w:themeColor="text1"/>
          <w:shd w:val="clear" w:color="auto" w:fill="FFFFFF"/>
        </w:rPr>
        <w:t xml:space="preserve"> trademark</w:t>
      </w:r>
      <w:r w:rsidR="00F21F14" w:rsidRPr="001F3C09">
        <w:rPr>
          <w:color w:val="000000" w:themeColor="text1"/>
          <w:shd w:val="clear" w:color="auto" w:fill="FFFFFF"/>
        </w:rPr>
        <w:t xml:space="preserve"> </w:t>
      </w:r>
      <w:r w:rsidR="000D4426" w:rsidRPr="001F3C09">
        <w:rPr>
          <w:color w:val="000000" w:themeColor="text1"/>
          <w:shd w:val="clear" w:color="auto" w:fill="FFFFFF"/>
        </w:rPr>
        <w:t>owner, designed a new trailer hitch, and licensed the new design to the competitor. The complaint referred to attached examples of the competitor's advertisements. The appellate court determined that the </w:t>
      </w:r>
      <w:r w:rsidR="00F21F14">
        <w:rPr>
          <w:color w:val="000000" w:themeColor="text1"/>
          <w:shd w:val="clear" w:color="auto" w:fill="FFFFFF"/>
        </w:rPr>
        <w:t>trademark</w:t>
      </w:r>
      <w:r w:rsidR="00F21F14" w:rsidRPr="001F3C09">
        <w:rPr>
          <w:color w:val="000000" w:themeColor="text1"/>
          <w:shd w:val="clear" w:color="auto" w:fill="FFFFFF"/>
        </w:rPr>
        <w:t xml:space="preserve"> </w:t>
      </w:r>
      <w:r w:rsidR="000D4426" w:rsidRPr="001F3C09">
        <w:rPr>
          <w:color w:val="000000" w:themeColor="text1"/>
          <w:shd w:val="clear" w:color="auto" w:fill="FFFFFF"/>
        </w:rPr>
        <w:t>infringement claims failed because (1) the advertisements did not create a likelihood of consumer confusion regarding the source of the competitor's products since, inter alia, they identified the inventor as the designer of the new hitch, stated that he was no longer affiliated with the </w:t>
      </w:r>
      <w:r w:rsidR="00F21F14">
        <w:rPr>
          <w:color w:val="000000" w:themeColor="text1"/>
          <w:shd w:val="clear" w:color="auto" w:fill="FFFFFF"/>
        </w:rPr>
        <w:t>trademark</w:t>
      </w:r>
      <w:r w:rsidR="000D4426" w:rsidRPr="001F3C09">
        <w:rPr>
          <w:color w:val="000000" w:themeColor="text1"/>
          <w:shd w:val="clear" w:color="auto" w:fill="FFFFFF"/>
        </w:rPr>
        <w:t> owner, and clearly identify the competitor as the seller, and (2) the affirmative defense of fair use applied to bar the</w:t>
      </w:r>
      <w:r w:rsidR="00F21F14">
        <w:rPr>
          <w:color w:val="000000" w:themeColor="text1"/>
          <w:shd w:val="clear" w:color="auto" w:fill="FFFFFF"/>
        </w:rPr>
        <w:t xml:space="preserve"> trademark</w:t>
      </w:r>
      <w:r w:rsidR="00F21F14" w:rsidRPr="001F3C09">
        <w:rPr>
          <w:color w:val="000000" w:themeColor="text1"/>
          <w:shd w:val="clear" w:color="auto" w:fill="FFFFFF"/>
        </w:rPr>
        <w:t xml:space="preserve"> </w:t>
      </w:r>
      <w:r w:rsidR="000D4426" w:rsidRPr="001F3C09">
        <w:rPr>
          <w:color w:val="000000" w:themeColor="text1"/>
          <w:shd w:val="clear" w:color="auto" w:fill="FFFFFF"/>
        </w:rPr>
        <w:t>infringement claims since the complaint and attached exhibits showed that the competitor's uses of the inventor's </w:t>
      </w:r>
      <w:r w:rsidR="00CD0E7A">
        <w:rPr>
          <w:color w:val="000000" w:themeColor="text1"/>
          <w:shd w:val="clear" w:color="auto" w:fill="FFFFFF"/>
        </w:rPr>
        <w:t>name</w:t>
      </w:r>
      <w:r w:rsidR="000D4426" w:rsidRPr="001F3C09">
        <w:rPr>
          <w:color w:val="000000" w:themeColor="text1"/>
          <w:shd w:val="clear" w:color="auto" w:fill="FFFFFF"/>
        </w:rPr>
        <w:t> were descriptive. The </w:t>
      </w:r>
      <w:r w:rsidR="00F21F14">
        <w:rPr>
          <w:color w:val="000000" w:themeColor="text1"/>
          <w:shd w:val="clear" w:color="auto" w:fill="FFFFFF"/>
        </w:rPr>
        <w:t>trademark</w:t>
      </w:r>
      <w:r w:rsidR="000D4426" w:rsidRPr="001F3C09">
        <w:rPr>
          <w:color w:val="000000" w:themeColor="text1"/>
          <w:shd w:val="clear" w:color="auto" w:fill="FFFFFF"/>
        </w:rPr>
        <w:t xml:space="preserve"> owner's procedural arguments regarding </w:t>
      </w:r>
      <w:r w:rsidR="000D4426" w:rsidRPr="001F3C09">
        <w:rPr>
          <w:color w:val="000000" w:themeColor="text1"/>
          <w:shd w:val="clear" w:color="auto" w:fill="FFFFFF"/>
        </w:rPr>
        <w:lastRenderedPageBreak/>
        <w:t>dismissal were rejected.</w:t>
      </w:r>
      <w:r w:rsidR="00DE1842" w:rsidRPr="001F3C09">
        <w:rPr>
          <w:rFonts w:ascii="Verdana" w:hAnsi="Verdana"/>
          <w:color w:val="373739"/>
          <w:sz w:val="18"/>
          <w:szCs w:val="18"/>
          <w:shd w:val="clear" w:color="auto" w:fill="FFFFFF"/>
        </w:rPr>
        <w:t xml:space="preserve"> </w:t>
      </w:r>
      <w:r w:rsidR="00DE1842" w:rsidRPr="001F3C09">
        <w:rPr>
          <w:color w:val="000000" w:themeColor="text1"/>
          <w:shd w:val="clear" w:color="auto" w:fill="FFFFFF"/>
        </w:rPr>
        <w:t>The appellate court affirmed the district court's dismissal of the complaint.</w:t>
      </w:r>
      <w:r w:rsidR="005B630F" w:rsidRPr="001F3C09">
        <w:rPr>
          <w:color w:val="000000" w:themeColor="text1"/>
          <w:shd w:val="clear" w:color="auto" w:fill="FFFFFF"/>
        </w:rPr>
        <w:t>”</w:t>
      </w:r>
    </w:p>
    <w:p w14:paraId="10E748F0" w14:textId="3D9B7A13" w:rsidR="005238D9" w:rsidRDefault="005238D9" w:rsidP="00DB24B3">
      <w:pPr>
        <w:pStyle w:val="ssinlinetext"/>
        <w:shd w:val="clear" w:color="auto" w:fill="FFFFFF"/>
        <w:spacing w:before="0" w:after="0" w:line="480" w:lineRule="auto"/>
        <w:textAlignment w:val="baseline"/>
        <w:rPr>
          <w:color w:val="000000" w:themeColor="text1"/>
          <w:shd w:val="clear" w:color="auto" w:fill="FFFFFF"/>
        </w:rPr>
      </w:pPr>
      <w:r w:rsidRPr="001F3C09">
        <w:rPr>
          <w:color w:val="000000" w:themeColor="text1"/>
          <w:shd w:val="clear" w:color="auto" w:fill="FFFFFF"/>
        </w:rPr>
        <w:t xml:space="preserve">As stated above the </w:t>
      </w:r>
      <w:r w:rsidR="006D44FD" w:rsidRPr="001F3C09">
        <w:rPr>
          <w:color w:val="000000" w:themeColor="text1"/>
          <w:shd w:val="clear" w:color="auto" w:fill="FFFFFF"/>
        </w:rPr>
        <w:t>infringement actions is determin</w:t>
      </w:r>
      <w:r w:rsidR="006B6218" w:rsidRPr="001F3C09">
        <w:rPr>
          <w:color w:val="000000" w:themeColor="text1"/>
          <w:shd w:val="clear" w:color="auto" w:fill="FFFFFF"/>
        </w:rPr>
        <w:t xml:space="preserve">ed </w:t>
      </w:r>
      <w:r w:rsidR="00D8470E" w:rsidRPr="001F3C09">
        <w:rPr>
          <w:color w:val="000000" w:themeColor="text1"/>
          <w:shd w:val="clear" w:color="auto" w:fill="FFFFFF"/>
        </w:rPr>
        <w:t>this factor</w:t>
      </w:r>
      <w:r w:rsidR="00141D40" w:rsidRPr="001F3C09">
        <w:rPr>
          <w:color w:val="000000" w:themeColor="text1"/>
          <w:shd w:val="clear" w:color="auto" w:fill="FFFFFF"/>
        </w:rPr>
        <w:t xml:space="preserve">: </w:t>
      </w:r>
      <w:r w:rsidR="00D8470E" w:rsidRPr="001F3C09">
        <w:rPr>
          <w:color w:val="000000" w:themeColor="text1"/>
          <w:shd w:val="clear" w:color="auto" w:fill="FFFFFF"/>
        </w:rPr>
        <w:t>“</w:t>
      </w:r>
      <w:r w:rsidR="00141D40" w:rsidRPr="001F3C09">
        <w:rPr>
          <w:color w:val="000000" w:themeColor="text1"/>
          <w:shd w:val="clear" w:color="auto" w:fill="FFFFFF"/>
        </w:rPr>
        <w:t>The touchstone of liability for</w:t>
      </w:r>
      <w:r w:rsidR="00CD0E7A">
        <w:rPr>
          <w:color w:val="000000" w:themeColor="text1"/>
          <w:shd w:val="clear" w:color="auto" w:fill="FFFFFF"/>
        </w:rPr>
        <w:t xml:space="preserve"> trademark</w:t>
      </w:r>
      <w:r w:rsidR="00CD0E7A" w:rsidRPr="001F3C09">
        <w:rPr>
          <w:color w:val="000000" w:themeColor="text1"/>
          <w:shd w:val="clear" w:color="auto" w:fill="FFFFFF"/>
        </w:rPr>
        <w:t xml:space="preserve"> </w:t>
      </w:r>
      <w:r w:rsidR="00141D40" w:rsidRPr="001F3C09">
        <w:rPr>
          <w:color w:val="000000" w:themeColor="text1"/>
          <w:shd w:val="clear" w:color="auto" w:fill="FFFFFF"/>
        </w:rPr>
        <w:t>infringement is whether the defendant's use of the disputed mark is likely to cause confusion among consumers regarding the origin of the goods offered by the parties. In determining whether a likelihood of confusion exists, a court will typically weigh the following eight factors: (1) strength of the senior mark; (2) relatedness of the goods or services; (3) similarity of the marks; (4) evidence of actual confusion; (5) marketing channels used; (6) likely degree of purchaser care; (7) the intent of defendant in selecting the mark; and (8) likelihood of expansion of the product lines. But the likelihood of confusion analysis also involves a preliminary question: whether the defendants are using the challenged mark in a way that identifies the source of their goods. If they are not, then the mark is being used in a "non-</w:t>
      </w:r>
      <w:r w:rsidR="000E5FAD">
        <w:rPr>
          <w:color w:val="000000" w:themeColor="text1"/>
          <w:shd w:val="clear" w:color="auto" w:fill="FFFFFF"/>
        </w:rPr>
        <w:t>trademark</w:t>
      </w:r>
      <w:r w:rsidR="00141D40" w:rsidRPr="001F3C09">
        <w:rPr>
          <w:color w:val="000000" w:themeColor="text1"/>
          <w:shd w:val="clear" w:color="auto" w:fill="FFFFFF"/>
        </w:rPr>
        <w:t> way" and </w:t>
      </w:r>
      <w:r w:rsidR="000E5FAD">
        <w:rPr>
          <w:color w:val="000000" w:themeColor="text1"/>
          <w:shd w:val="clear" w:color="auto" w:fill="FFFFFF"/>
        </w:rPr>
        <w:t>trademark</w:t>
      </w:r>
      <w:r w:rsidR="000E5FAD" w:rsidRPr="001F3C09">
        <w:rPr>
          <w:color w:val="000000" w:themeColor="text1"/>
          <w:shd w:val="clear" w:color="auto" w:fill="FFFFFF"/>
        </w:rPr>
        <w:t xml:space="preserve"> </w:t>
      </w:r>
      <w:r w:rsidR="00141D40" w:rsidRPr="001F3C09">
        <w:rPr>
          <w:color w:val="000000" w:themeColor="text1"/>
          <w:shd w:val="clear" w:color="auto" w:fill="FFFFFF"/>
        </w:rPr>
        <w:t>infringement laws, along with the eight-factor analysis, do not even apply. Where there is no likelihood of confusion as to the source of the products, it is unnecessary for the district court to examine the eight factors traditionally used to determine</w:t>
      </w:r>
      <w:r w:rsidR="00141D40" w:rsidRPr="00D8470E">
        <w:rPr>
          <w:color w:val="000000" w:themeColor="text1"/>
          <w:shd w:val="clear" w:color="auto" w:fill="FFFFFF"/>
        </w:rPr>
        <w:t xml:space="preserve"> likelihood of confusion between two source-signifying marks.</w:t>
      </w:r>
      <w:r w:rsidR="00D8470E">
        <w:rPr>
          <w:color w:val="000000" w:themeColor="text1"/>
          <w:shd w:val="clear" w:color="auto" w:fill="FFFFFF"/>
        </w:rPr>
        <w:t>”</w:t>
      </w:r>
      <w:r w:rsidR="00141D40" w:rsidRPr="00D8470E">
        <w:rPr>
          <w:color w:val="000000" w:themeColor="text1"/>
          <w:shd w:val="clear" w:color="auto" w:fill="FFFFFF"/>
        </w:rPr>
        <w:t xml:space="preserve">  </w:t>
      </w:r>
    </w:p>
    <w:p w14:paraId="21AF2488" w14:textId="52169CDD" w:rsidR="00DC77BC" w:rsidRDefault="00085DEA" w:rsidP="00DB24B3">
      <w:pPr>
        <w:pStyle w:val="ssinlinetext"/>
        <w:shd w:val="clear" w:color="auto" w:fill="FFFFFF"/>
        <w:spacing w:before="0" w:after="0" w:line="480" w:lineRule="auto"/>
        <w:textAlignment w:val="baseline"/>
        <w:rPr>
          <w:color w:val="000000" w:themeColor="text1"/>
          <w:shd w:val="clear" w:color="auto" w:fill="FFFFFF"/>
        </w:rPr>
      </w:pPr>
      <w:r w:rsidRPr="00B0446E">
        <w:rPr>
          <w:color w:val="000000" w:themeColor="text1"/>
          <w:shd w:val="clear" w:color="auto" w:fill="FFFFFF"/>
        </w:rPr>
        <w:t xml:space="preserve">The Federal district court case I </w:t>
      </w:r>
      <w:r w:rsidR="00DF6600" w:rsidRPr="00B0446E">
        <w:rPr>
          <w:color w:val="000000" w:themeColor="text1"/>
          <w:shd w:val="clear" w:color="auto" w:fill="FFFFFF"/>
        </w:rPr>
        <w:t xml:space="preserve">intend to refer to </w:t>
      </w:r>
      <w:r w:rsidR="009A39D6" w:rsidRPr="00B0446E">
        <w:rPr>
          <w:color w:val="000000" w:themeColor="text1"/>
          <w:shd w:val="clear" w:color="auto" w:fill="FFFFFF"/>
        </w:rPr>
        <w:t>for this case is</w:t>
      </w:r>
      <w:r w:rsidR="00DC77BC" w:rsidRPr="00B0446E">
        <w:rPr>
          <w:color w:val="000000" w:themeColor="text1"/>
          <w:shd w:val="clear" w:color="auto" w:fill="FFFFFF"/>
        </w:rPr>
        <w:t xml:space="preserve">: </w:t>
      </w:r>
      <w:proofErr w:type="spellStart"/>
      <w:r w:rsidR="009A39D6" w:rsidRPr="008C699B">
        <w:rPr>
          <w:i/>
          <w:iCs/>
          <w:color w:val="000000" w:themeColor="text1"/>
          <w:shd w:val="clear" w:color="auto" w:fill="FFFFFF"/>
        </w:rPr>
        <w:t>Foxtrap</w:t>
      </w:r>
      <w:proofErr w:type="spellEnd"/>
      <w:r w:rsidR="009A39D6" w:rsidRPr="008C699B">
        <w:rPr>
          <w:i/>
          <w:iCs/>
          <w:color w:val="000000" w:themeColor="text1"/>
          <w:shd w:val="clear" w:color="auto" w:fill="FFFFFF"/>
        </w:rPr>
        <w:t xml:space="preserve">, Inc. v. </w:t>
      </w:r>
      <w:proofErr w:type="spellStart"/>
      <w:r w:rsidR="009A39D6" w:rsidRPr="008C699B">
        <w:rPr>
          <w:i/>
          <w:iCs/>
          <w:color w:val="000000" w:themeColor="text1"/>
          <w:shd w:val="clear" w:color="auto" w:fill="FFFFFF"/>
        </w:rPr>
        <w:t>Foxtrap</w:t>
      </w:r>
      <w:proofErr w:type="spellEnd"/>
      <w:r w:rsidR="009A39D6" w:rsidRPr="008C699B">
        <w:rPr>
          <w:i/>
          <w:iCs/>
          <w:color w:val="000000" w:themeColor="text1"/>
          <w:shd w:val="clear" w:color="auto" w:fill="FFFFFF"/>
        </w:rPr>
        <w:t>, Inc., 671 F.2d 636, 1982 U.S. App. LEXIS 21463, 215 U.S.P.Q. (BNA) 1105, 217 U.S. App. D.C. 130</w:t>
      </w:r>
      <w:r w:rsidR="00DC77BC" w:rsidRPr="00B0446E">
        <w:rPr>
          <w:color w:val="000000" w:themeColor="text1"/>
          <w:shd w:val="clear" w:color="auto" w:fill="FFFFFF"/>
        </w:rPr>
        <w:t xml:space="preserve">. </w:t>
      </w:r>
      <w:r w:rsidR="0097464B" w:rsidRPr="00B0446E">
        <w:rPr>
          <w:color w:val="000000" w:themeColor="text1"/>
          <w:shd w:val="clear" w:color="auto" w:fill="FFFFFF"/>
        </w:rPr>
        <w:t>“</w:t>
      </w:r>
      <w:r w:rsidR="0097464B" w:rsidRPr="00B0446E">
        <w:rPr>
          <w:color w:val="000000" w:themeColor="text1"/>
        </w:rPr>
        <w:t>Plaintiff, a private club in the District of Columbia, had members residing in several adjoining states, including Pennsylvania. Defendant was a public disco and bar in Philadelphia that operated under the same</w:t>
      </w:r>
      <w:r w:rsidR="000E5FAD">
        <w:rPr>
          <w:color w:val="000000" w:themeColor="text1"/>
        </w:rPr>
        <w:t xml:space="preserve"> name</w:t>
      </w:r>
      <w:r w:rsidR="0097464B" w:rsidRPr="00B0446E">
        <w:rPr>
          <w:color w:val="000000" w:themeColor="text1"/>
        </w:rPr>
        <w:t>. Plaintiff brought this action,</w:t>
      </w:r>
      <w:r w:rsidR="00006045">
        <w:rPr>
          <w:color w:val="000000" w:themeColor="text1"/>
        </w:rPr>
        <w:t xml:space="preserve"> c</w:t>
      </w:r>
      <w:r w:rsidR="0097464B" w:rsidRPr="00B0446E">
        <w:rPr>
          <w:color w:val="000000" w:themeColor="text1"/>
        </w:rPr>
        <w:t>laiming </w:t>
      </w:r>
      <w:r w:rsidR="000E5FAD">
        <w:rPr>
          <w:color w:val="000000" w:themeColor="text1"/>
        </w:rPr>
        <w:t>trademark</w:t>
      </w:r>
      <w:r w:rsidR="0097464B" w:rsidRPr="00B0446E">
        <w:rPr>
          <w:color w:val="000000" w:themeColor="text1"/>
        </w:rPr>
        <w:t xml:space="preserve"> infringement and unfair competition. The district court permanently enjoined defendant from using </w:t>
      </w:r>
      <w:r w:rsidR="0097464B" w:rsidRPr="00B0446E">
        <w:rPr>
          <w:color w:val="000000" w:themeColor="text1"/>
        </w:rPr>
        <w:lastRenderedPageBreak/>
        <w:t>defendant's </w:t>
      </w:r>
      <w:r w:rsidR="000E5FAD">
        <w:rPr>
          <w:color w:val="000000" w:themeColor="text1"/>
        </w:rPr>
        <w:t>trade name</w:t>
      </w:r>
      <w:r w:rsidR="0097464B" w:rsidRPr="00B0446E">
        <w:rPr>
          <w:color w:val="000000" w:themeColor="text1"/>
        </w:rPr>
        <w:t>, and it issued a monetary award to plaintiff. Defendant appealed the injunction, contending that the parties did not offer competitive services and that plaintiff's </w:t>
      </w:r>
      <w:r w:rsidR="000E5FAD">
        <w:rPr>
          <w:color w:val="000000" w:themeColor="text1"/>
        </w:rPr>
        <w:t>trademark</w:t>
      </w:r>
      <w:r w:rsidR="0097464B" w:rsidRPr="00B0446E">
        <w:rPr>
          <w:color w:val="000000" w:themeColor="text1"/>
        </w:rPr>
        <w:t xml:space="preserve"> rights did not extend to Philadelphia. The court affirmed the injunction. The marks were identical, and customers actually had confused the parties' relationship. Defendant's limited area defense failed because defendant had knowledge of plaintiff's prior use. The injunction was not too broad because no descriptive legend would suffice to distinguish the clubs in the minds of potential customers. The court vacated the monetary </w:t>
      </w:r>
      <w:r w:rsidR="00303D54" w:rsidRPr="00B0446E">
        <w:rPr>
          <w:color w:val="000000" w:themeColor="text1"/>
        </w:rPr>
        <w:t>award and</w:t>
      </w:r>
      <w:r w:rsidR="0097464B" w:rsidRPr="00B0446E">
        <w:rPr>
          <w:color w:val="000000" w:themeColor="text1"/>
        </w:rPr>
        <w:t xml:space="preserve"> remanded the case for findings of fact to support an award.</w:t>
      </w:r>
      <w:r w:rsidR="00B0446E" w:rsidRPr="00B0446E">
        <w:rPr>
          <w:color w:val="000000" w:themeColor="text1"/>
        </w:rPr>
        <w:t xml:space="preserve"> In </w:t>
      </w:r>
      <w:r w:rsidR="00303D54" w:rsidRPr="00B0446E">
        <w:rPr>
          <w:color w:val="000000" w:themeColor="text1"/>
        </w:rPr>
        <w:t>conclusion,</w:t>
      </w:r>
      <w:r w:rsidR="00303D54" w:rsidRPr="0097464B">
        <w:rPr>
          <w:color w:val="000000" w:themeColor="text1"/>
        </w:rPr>
        <w:t xml:space="preserve"> the</w:t>
      </w:r>
      <w:r w:rsidR="0097464B" w:rsidRPr="0097464B">
        <w:rPr>
          <w:color w:val="000000" w:themeColor="text1"/>
        </w:rPr>
        <w:t xml:space="preserve"> court affirmed the injunction but vacated the monetary award and remanded for detailed findings of fact and conclusions of law to support an award. There were multiple legal theories of monetary remedies available, and each depended on a different factual underpinning for validity.</w:t>
      </w:r>
      <w:r w:rsidR="00303D54">
        <w:rPr>
          <w:color w:val="000000" w:themeColor="text1"/>
        </w:rPr>
        <w:t xml:space="preserve">” </w:t>
      </w:r>
      <w:r w:rsidR="00AE383B">
        <w:rPr>
          <w:color w:val="000000" w:themeColor="text1"/>
        </w:rPr>
        <w:t xml:space="preserve"> Although this case </w:t>
      </w:r>
      <w:r w:rsidR="00DC77BC" w:rsidRPr="00AE383B">
        <w:rPr>
          <w:color w:val="000000" w:themeColor="text1"/>
          <w:shd w:val="clear" w:color="auto" w:fill="FFFFFF"/>
        </w:rPr>
        <w:t xml:space="preserve">does not support </w:t>
      </w:r>
      <w:r w:rsidR="00A42921" w:rsidRPr="00AE383B">
        <w:rPr>
          <w:color w:val="000000" w:themeColor="text1"/>
          <w:shd w:val="clear" w:color="auto" w:fill="FFFFFF"/>
        </w:rPr>
        <w:t xml:space="preserve">our </w:t>
      </w:r>
      <w:r w:rsidR="0099729B">
        <w:rPr>
          <w:color w:val="000000" w:themeColor="text1"/>
          <w:shd w:val="clear" w:color="auto" w:fill="FFFFFF"/>
        </w:rPr>
        <w:t>argument</w:t>
      </w:r>
      <w:r w:rsidR="00F85549">
        <w:rPr>
          <w:color w:val="000000" w:themeColor="text1"/>
          <w:shd w:val="clear" w:color="auto" w:fill="FFFFFF"/>
        </w:rPr>
        <w:t>,</w:t>
      </w:r>
      <w:r w:rsidR="00A42921" w:rsidRPr="00AE383B">
        <w:rPr>
          <w:color w:val="000000" w:themeColor="text1"/>
          <w:shd w:val="clear" w:color="auto" w:fill="FFFFFF"/>
        </w:rPr>
        <w:t xml:space="preserve"> it relates to the facts of our cas</w:t>
      </w:r>
      <w:r w:rsidR="008F0BE3">
        <w:rPr>
          <w:color w:val="000000" w:themeColor="text1"/>
          <w:shd w:val="clear" w:color="auto" w:fill="FFFFFF"/>
        </w:rPr>
        <w:t xml:space="preserve">e has similar traits </w:t>
      </w:r>
      <w:r w:rsidR="00740C52">
        <w:rPr>
          <w:color w:val="000000" w:themeColor="text1"/>
          <w:shd w:val="clear" w:color="auto" w:fill="FFFFFF"/>
        </w:rPr>
        <w:t>but different outcomes</w:t>
      </w:r>
      <w:r w:rsidR="00A42921" w:rsidRPr="00AE383B">
        <w:rPr>
          <w:color w:val="000000" w:themeColor="text1"/>
          <w:shd w:val="clear" w:color="auto" w:fill="FFFFFF"/>
        </w:rPr>
        <w:t xml:space="preserve"> Th</w:t>
      </w:r>
      <w:r w:rsidR="00ED7460" w:rsidRPr="00AE383B">
        <w:rPr>
          <w:color w:val="000000" w:themeColor="text1"/>
          <w:shd w:val="clear" w:color="auto" w:fill="FFFFFF"/>
        </w:rPr>
        <w:t>is case covers the fact</w:t>
      </w:r>
      <w:r w:rsidR="007543AA" w:rsidRPr="00AE383B">
        <w:rPr>
          <w:color w:val="000000" w:themeColor="text1"/>
          <w:shd w:val="clear" w:color="auto" w:fill="FFFFFF"/>
        </w:rPr>
        <w:t xml:space="preserve"> of our case and </w:t>
      </w:r>
      <w:r w:rsidR="00285284" w:rsidRPr="00AE383B">
        <w:rPr>
          <w:color w:val="000000" w:themeColor="text1"/>
          <w:shd w:val="clear" w:color="auto" w:fill="FFFFFF"/>
        </w:rPr>
        <w:t xml:space="preserve">Domicile of business </w:t>
      </w:r>
      <w:r w:rsidR="00303D54">
        <w:rPr>
          <w:color w:val="000000" w:themeColor="text1"/>
          <w:shd w:val="clear" w:color="auto" w:fill="FFFFFF"/>
        </w:rPr>
        <w:t>within</w:t>
      </w:r>
      <w:r w:rsidR="00285284" w:rsidRPr="00AE383B">
        <w:rPr>
          <w:color w:val="000000" w:themeColor="text1"/>
          <w:shd w:val="clear" w:color="auto" w:fill="FFFFFF"/>
        </w:rPr>
        <w:t xml:space="preserve"> two different juris</w:t>
      </w:r>
      <w:r w:rsidR="00E22737" w:rsidRPr="00AE383B">
        <w:rPr>
          <w:color w:val="000000" w:themeColor="text1"/>
          <w:shd w:val="clear" w:color="auto" w:fill="FFFFFF"/>
        </w:rPr>
        <w:t>dictions.</w:t>
      </w:r>
      <w:r w:rsidR="00F13D5B" w:rsidRPr="00AE383B">
        <w:rPr>
          <w:color w:val="000000" w:themeColor="text1"/>
          <w:shd w:val="clear" w:color="auto" w:fill="FFFFFF"/>
        </w:rPr>
        <w:t xml:space="preserve"> </w:t>
      </w:r>
    </w:p>
    <w:p w14:paraId="7BF57C5C" w14:textId="13B0CF7C"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0114777B" w14:textId="09385C57"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523B20FD" w14:textId="416D75C5"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1F4BDF49" w14:textId="3CC1A965"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6C8C522B" w14:textId="5E392A97"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5223BD25" w14:textId="401C098F" w:rsidR="001F3C09" w:rsidRDefault="001F3C09" w:rsidP="00DB24B3">
      <w:pPr>
        <w:pStyle w:val="ssinlinetext"/>
        <w:shd w:val="clear" w:color="auto" w:fill="FFFFFF"/>
        <w:spacing w:before="0" w:after="0" w:line="480" w:lineRule="auto"/>
        <w:textAlignment w:val="baseline"/>
        <w:rPr>
          <w:color w:val="000000" w:themeColor="text1"/>
          <w:shd w:val="clear" w:color="auto" w:fill="FFFFFF"/>
        </w:rPr>
      </w:pPr>
    </w:p>
    <w:p w14:paraId="5772063B" w14:textId="7C144164" w:rsidR="001F3C09" w:rsidRDefault="001F3C09" w:rsidP="001F3C09">
      <w:pPr>
        <w:pStyle w:val="ssinlinetext"/>
        <w:shd w:val="clear" w:color="auto" w:fill="FFFFFF"/>
        <w:spacing w:before="0" w:after="0" w:line="480" w:lineRule="auto"/>
        <w:jc w:val="center"/>
        <w:textAlignment w:val="baseline"/>
        <w:rPr>
          <w:color w:val="000000" w:themeColor="text1"/>
          <w:shd w:val="clear" w:color="auto" w:fill="FFFFFF"/>
        </w:rPr>
      </w:pPr>
      <w:r>
        <w:rPr>
          <w:color w:val="000000" w:themeColor="text1"/>
          <w:shd w:val="clear" w:color="auto" w:fill="FFFFFF"/>
        </w:rPr>
        <w:lastRenderedPageBreak/>
        <w:t>Reference</w:t>
      </w:r>
      <w:r w:rsidR="000A38FA">
        <w:rPr>
          <w:color w:val="000000" w:themeColor="text1"/>
          <w:shd w:val="clear" w:color="auto" w:fill="FFFFFF"/>
        </w:rPr>
        <w:t>s</w:t>
      </w:r>
    </w:p>
    <w:p w14:paraId="301D8500" w14:textId="5C9C2BFF" w:rsidR="00C12441" w:rsidRDefault="000410EF" w:rsidP="00C12441">
      <w:pPr>
        <w:pStyle w:val="ssinlinetext"/>
        <w:shd w:val="clear" w:color="auto" w:fill="FFFFFF"/>
        <w:spacing w:before="0" w:after="0" w:line="480" w:lineRule="auto"/>
        <w:textAlignment w:val="baseline"/>
        <w:rPr>
          <w:rFonts w:ascii="Helvetica" w:hAnsi="Helvetica" w:cs="Helvetica"/>
          <w:color w:val="004B91"/>
          <w:sz w:val="21"/>
          <w:szCs w:val="21"/>
          <w:shd w:val="clear" w:color="auto" w:fill="FFFFFF"/>
        </w:rPr>
      </w:pPr>
      <w:hyperlink r:id="rId8" w:history="1">
        <w:r w:rsidR="00592CC1" w:rsidRPr="00FB0A93">
          <w:rPr>
            <w:rStyle w:val="Hyperlink"/>
            <w:shd w:val="clear" w:color="auto" w:fill="FFFFFF"/>
          </w:rPr>
          <w:t>www.lexisadvance/lanham</w:t>
        </w:r>
      </w:hyperlink>
      <w:r w:rsidR="001F031A">
        <w:br/>
      </w:r>
      <w:r w:rsidR="009450ED">
        <w:rPr>
          <w:rFonts w:ascii="Helvetica" w:hAnsi="Helvetica" w:cs="Helvetica"/>
          <w:color w:val="004B91"/>
          <w:sz w:val="21"/>
          <w:szCs w:val="21"/>
          <w:shd w:val="clear" w:color="auto" w:fill="FFFFFF"/>
        </w:rPr>
        <w:t>www.lexis</w:t>
      </w:r>
      <w:r w:rsidR="00592CC1">
        <w:rPr>
          <w:rFonts w:ascii="Helvetica" w:hAnsi="Helvetica" w:cs="Helvetica"/>
          <w:color w:val="004B91"/>
          <w:sz w:val="21"/>
          <w:szCs w:val="21"/>
          <w:shd w:val="clear" w:color="auto" w:fill="FFFFFF"/>
        </w:rPr>
        <w:t>advance/</w:t>
      </w:r>
      <w:r w:rsidR="001F031A">
        <w:rPr>
          <w:rFonts w:ascii="Helvetica" w:hAnsi="Helvetica" w:cs="Helvetica"/>
          <w:color w:val="004B91"/>
          <w:sz w:val="21"/>
          <w:szCs w:val="21"/>
          <w:shd w:val="clear" w:color="auto" w:fill="FFFFFF"/>
        </w:rPr>
        <w:t>15 USCS § 1051</w:t>
      </w:r>
    </w:p>
    <w:p w14:paraId="6E50AB81" w14:textId="7D6EEE59" w:rsidR="00DA566A" w:rsidRDefault="008C699B" w:rsidP="00C12441">
      <w:pPr>
        <w:pStyle w:val="ssinlinetext"/>
        <w:shd w:val="clear" w:color="auto" w:fill="FFFFFF"/>
        <w:spacing w:before="0" w:after="0" w:line="480" w:lineRule="auto"/>
        <w:textAlignment w:val="baseline"/>
        <w:rPr>
          <w:rFonts w:ascii="Helvetica" w:hAnsi="Helvetica" w:cs="Helvetica"/>
          <w:color w:val="004B91"/>
          <w:sz w:val="21"/>
          <w:szCs w:val="21"/>
          <w:shd w:val="clear" w:color="auto" w:fill="FFFFFF"/>
        </w:rPr>
      </w:pPr>
      <w:r>
        <w:rPr>
          <w:rFonts w:ascii="Helvetica" w:hAnsi="Helvetica" w:cs="Helvetica"/>
          <w:color w:val="004B91"/>
          <w:sz w:val="21"/>
          <w:szCs w:val="21"/>
          <w:shd w:val="clear" w:color="auto" w:fill="FFFFFF"/>
        </w:rPr>
        <w:t>www.lexisadvance/MCLS § 429.31</w:t>
      </w:r>
    </w:p>
    <w:p w14:paraId="23BAC724" w14:textId="77777777" w:rsidR="008C699B" w:rsidRPr="00AE383B" w:rsidRDefault="008C699B" w:rsidP="00C12441">
      <w:pPr>
        <w:pStyle w:val="ssinlinetext"/>
        <w:shd w:val="clear" w:color="auto" w:fill="FFFFFF"/>
        <w:spacing w:before="0" w:after="0" w:line="480" w:lineRule="auto"/>
        <w:textAlignment w:val="baseline"/>
        <w:rPr>
          <w:color w:val="000000" w:themeColor="text1"/>
        </w:rPr>
      </w:pPr>
    </w:p>
    <w:sectPr w:rsidR="008C699B" w:rsidRPr="00AE383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E0175" w14:textId="77777777" w:rsidR="00A51D56" w:rsidRDefault="00A51D56" w:rsidP="00E145F0">
      <w:pPr>
        <w:spacing w:after="0" w:line="240" w:lineRule="auto"/>
      </w:pPr>
      <w:r>
        <w:separator/>
      </w:r>
    </w:p>
  </w:endnote>
  <w:endnote w:type="continuationSeparator" w:id="0">
    <w:p w14:paraId="028113E8" w14:textId="77777777" w:rsidR="00A51D56" w:rsidRDefault="00A51D56" w:rsidP="00E14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02396" w14:textId="77777777" w:rsidR="00A51D56" w:rsidRDefault="00A51D56" w:rsidP="00E145F0">
      <w:pPr>
        <w:spacing w:after="0" w:line="240" w:lineRule="auto"/>
      </w:pPr>
      <w:r>
        <w:separator/>
      </w:r>
    </w:p>
  </w:footnote>
  <w:footnote w:type="continuationSeparator" w:id="0">
    <w:p w14:paraId="6437F30E" w14:textId="77777777" w:rsidR="00A51D56" w:rsidRDefault="00A51D56" w:rsidP="00E14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4A0" w:firstRow="1" w:lastRow="0" w:firstColumn="1" w:lastColumn="0" w:noHBand="0" w:noVBand="1"/>
    </w:tblPr>
    <w:tblGrid>
      <w:gridCol w:w="3120"/>
      <w:gridCol w:w="3121"/>
      <w:gridCol w:w="3119"/>
    </w:tblGrid>
    <w:tr w:rsidR="00E145F0" w14:paraId="7A5CD4C4" w14:textId="77777777">
      <w:trPr>
        <w:trHeight w:val="720"/>
      </w:trPr>
      <w:tc>
        <w:tcPr>
          <w:tcW w:w="1667" w:type="pct"/>
        </w:tcPr>
        <w:p w14:paraId="4F64C4F5" w14:textId="77777777" w:rsidR="00E145F0" w:rsidRDefault="00E145F0">
          <w:pPr>
            <w:pStyle w:val="Header"/>
            <w:tabs>
              <w:tab w:val="clear" w:pos="4680"/>
              <w:tab w:val="clear" w:pos="9360"/>
            </w:tabs>
            <w:rPr>
              <w:color w:val="4472C4" w:themeColor="accent1"/>
            </w:rPr>
          </w:pPr>
        </w:p>
      </w:tc>
      <w:tc>
        <w:tcPr>
          <w:tcW w:w="1667" w:type="pct"/>
        </w:tcPr>
        <w:p w14:paraId="67E4CCDC" w14:textId="77777777" w:rsidR="00E145F0" w:rsidRDefault="00E145F0">
          <w:pPr>
            <w:pStyle w:val="Header"/>
            <w:tabs>
              <w:tab w:val="clear" w:pos="4680"/>
              <w:tab w:val="clear" w:pos="9360"/>
            </w:tabs>
            <w:jc w:val="center"/>
            <w:rPr>
              <w:color w:val="4472C4" w:themeColor="accent1"/>
            </w:rPr>
          </w:pPr>
        </w:p>
      </w:tc>
      <w:tc>
        <w:tcPr>
          <w:tcW w:w="1666" w:type="pct"/>
        </w:tcPr>
        <w:p w14:paraId="4F93F64D" w14:textId="77777777" w:rsidR="00E145F0" w:rsidRDefault="00E145F0">
          <w:pPr>
            <w:pStyle w:val="Header"/>
            <w:tabs>
              <w:tab w:val="clear" w:pos="4680"/>
              <w:tab w:val="clear" w:pos="9360"/>
            </w:tabs>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75E7B7AE" w14:textId="77777777" w:rsidR="00E145F0" w:rsidRDefault="00E145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5F0"/>
    <w:rsid w:val="00006045"/>
    <w:rsid w:val="00040FC8"/>
    <w:rsid w:val="000410EF"/>
    <w:rsid w:val="00071FFD"/>
    <w:rsid w:val="000808B5"/>
    <w:rsid w:val="0008453D"/>
    <w:rsid w:val="000855FA"/>
    <w:rsid w:val="00085DEA"/>
    <w:rsid w:val="000A38FA"/>
    <w:rsid w:val="000D4426"/>
    <w:rsid w:val="000E2056"/>
    <w:rsid w:val="000E5FAD"/>
    <w:rsid w:val="0013755A"/>
    <w:rsid w:val="00141D40"/>
    <w:rsid w:val="00146F32"/>
    <w:rsid w:val="00163143"/>
    <w:rsid w:val="00192D4A"/>
    <w:rsid w:val="001B4829"/>
    <w:rsid w:val="001B6FA8"/>
    <w:rsid w:val="001F031A"/>
    <w:rsid w:val="001F3C09"/>
    <w:rsid w:val="0022135C"/>
    <w:rsid w:val="002220FC"/>
    <w:rsid w:val="00233E61"/>
    <w:rsid w:val="00241A56"/>
    <w:rsid w:val="00244302"/>
    <w:rsid w:val="002567FF"/>
    <w:rsid w:val="002726D5"/>
    <w:rsid w:val="00274C33"/>
    <w:rsid w:val="00285284"/>
    <w:rsid w:val="00293996"/>
    <w:rsid w:val="002A3F54"/>
    <w:rsid w:val="002C3132"/>
    <w:rsid w:val="002C7514"/>
    <w:rsid w:val="002D66DD"/>
    <w:rsid w:val="002E1125"/>
    <w:rsid w:val="002F514B"/>
    <w:rsid w:val="00303D54"/>
    <w:rsid w:val="0032668C"/>
    <w:rsid w:val="00340A6A"/>
    <w:rsid w:val="00343F48"/>
    <w:rsid w:val="00367DA5"/>
    <w:rsid w:val="00393F24"/>
    <w:rsid w:val="003D1FEF"/>
    <w:rsid w:val="003D6F4E"/>
    <w:rsid w:val="003E4CB5"/>
    <w:rsid w:val="003E5BAD"/>
    <w:rsid w:val="003E6673"/>
    <w:rsid w:val="003F3380"/>
    <w:rsid w:val="004064D6"/>
    <w:rsid w:val="00412773"/>
    <w:rsid w:val="0041361F"/>
    <w:rsid w:val="00437C28"/>
    <w:rsid w:val="004667A7"/>
    <w:rsid w:val="00477208"/>
    <w:rsid w:val="00484857"/>
    <w:rsid w:val="00491043"/>
    <w:rsid w:val="00495A6C"/>
    <w:rsid w:val="004B13A0"/>
    <w:rsid w:val="004B7172"/>
    <w:rsid w:val="004D1587"/>
    <w:rsid w:val="004E0327"/>
    <w:rsid w:val="004F740B"/>
    <w:rsid w:val="004F76CB"/>
    <w:rsid w:val="00504D23"/>
    <w:rsid w:val="005238D9"/>
    <w:rsid w:val="0056411C"/>
    <w:rsid w:val="005768C5"/>
    <w:rsid w:val="00586CF2"/>
    <w:rsid w:val="0059090C"/>
    <w:rsid w:val="00592CC1"/>
    <w:rsid w:val="005A18CF"/>
    <w:rsid w:val="005B630F"/>
    <w:rsid w:val="005E4A4A"/>
    <w:rsid w:val="00610703"/>
    <w:rsid w:val="006357B3"/>
    <w:rsid w:val="0065333F"/>
    <w:rsid w:val="006571CC"/>
    <w:rsid w:val="006B6218"/>
    <w:rsid w:val="006D0F5F"/>
    <w:rsid w:val="006D4053"/>
    <w:rsid w:val="006D44FD"/>
    <w:rsid w:val="006D674E"/>
    <w:rsid w:val="00717840"/>
    <w:rsid w:val="0073156D"/>
    <w:rsid w:val="00740962"/>
    <w:rsid w:val="00740C52"/>
    <w:rsid w:val="00744FF1"/>
    <w:rsid w:val="007520B4"/>
    <w:rsid w:val="007543AA"/>
    <w:rsid w:val="0078704C"/>
    <w:rsid w:val="00792C3D"/>
    <w:rsid w:val="007B426B"/>
    <w:rsid w:val="007E6583"/>
    <w:rsid w:val="007F229E"/>
    <w:rsid w:val="00804283"/>
    <w:rsid w:val="00816A20"/>
    <w:rsid w:val="00846699"/>
    <w:rsid w:val="008544FF"/>
    <w:rsid w:val="008749EF"/>
    <w:rsid w:val="0087678D"/>
    <w:rsid w:val="00876AD8"/>
    <w:rsid w:val="008C21DC"/>
    <w:rsid w:val="008C699B"/>
    <w:rsid w:val="008F0BE3"/>
    <w:rsid w:val="008F5CE5"/>
    <w:rsid w:val="00901B87"/>
    <w:rsid w:val="009450ED"/>
    <w:rsid w:val="0095561B"/>
    <w:rsid w:val="0097464B"/>
    <w:rsid w:val="00985A2C"/>
    <w:rsid w:val="0099729B"/>
    <w:rsid w:val="009A39D6"/>
    <w:rsid w:val="009A532D"/>
    <w:rsid w:val="009C1638"/>
    <w:rsid w:val="009D51BE"/>
    <w:rsid w:val="009F78CC"/>
    <w:rsid w:val="00A14CCE"/>
    <w:rsid w:val="00A42921"/>
    <w:rsid w:val="00A51D56"/>
    <w:rsid w:val="00AC1BC7"/>
    <w:rsid w:val="00AD4592"/>
    <w:rsid w:val="00AE383B"/>
    <w:rsid w:val="00AE408E"/>
    <w:rsid w:val="00B0446E"/>
    <w:rsid w:val="00B109EB"/>
    <w:rsid w:val="00B16F3C"/>
    <w:rsid w:val="00B23709"/>
    <w:rsid w:val="00B27F3B"/>
    <w:rsid w:val="00B456FB"/>
    <w:rsid w:val="00B81234"/>
    <w:rsid w:val="00B96E24"/>
    <w:rsid w:val="00BA5E36"/>
    <w:rsid w:val="00BA7350"/>
    <w:rsid w:val="00BB242C"/>
    <w:rsid w:val="00BB7B97"/>
    <w:rsid w:val="00BC51B0"/>
    <w:rsid w:val="00BC60CA"/>
    <w:rsid w:val="00C040AE"/>
    <w:rsid w:val="00C06632"/>
    <w:rsid w:val="00C12441"/>
    <w:rsid w:val="00C5076F"/>
    <w:rsid w:val="00C55BCE"/>
    <w:rsid w:val="00C62A19"/>
    <w:rsid w:val="00C65308"/>
    <w:rsid w:val="00C93C6C"/>
    <w:rsid w:val="00CA0F1C"/>
    <w:rsid w:val="00CA4BFA"/>
    <w:rsid w:val="00CC0BF3"/>
    <w:rsid w:val="00CD02FA"/>
    <w:rsid w:val="00CD0E7A"/>
    <w:rsid w:val="00CD32AB"/>
    <w:rsid w:val="00CF0C83"/>
    <w:rsid w:val="00CF64F4"/>
    <w:rsid w:val="00D030DD"/>
    <w:rsid w:val="00D20D85"/>
    <w:rsid w:val="00D22144"/>
    <w:rsid w:val="00D50B61"/>
    <w:rsid w:val="00D831C2"/>
    <w:rsid w:val="00D8470E"/>
    <w:rsid w:val="00D9473E"/>
    <w:rsid w:val="00DA566A"/>
    <w:rsid w:val="00DB24B3"/>
    <w:rsid w:val="00DB5939"/>
    <w:rsid w:val="00DC137F"/>
    <w:rsid w:val="00DC77BC"/>
    <w:rsid w:val="00DD37CA"/>
    <w:rsid w:val="00DE1842"/>
    <w:rsid w:val="00DF6600"/>
    <w:rsid w:val="00E145F0"/>
    <w:rsid w:val="00E22737"/>
    <w:rsid w:val="00E3005F"/>
    <w:rsid w:val="00E31D91"/>
    <w:rsid w:val="00E40B0C"/>
    <w:rsid w:val="00E66946"/>
    <w:rsid w:val="00E74ED0"/>
    <w:rsid w:val="00E84653"/>
    <w:rsid w:val="00EA5B7B"/>
    <w:rsid w:val="00EC7DC5"/>
    <w:rsid w:val="00ED7460"/>
    <w:rsid w:val="00F01562"/>
    <w:rsid w:val="00F01ABF"/>
    <w:rsid w:val="00F13D5B"/>
    <w:rsid w:val="00F21F14"/>
    <w:rsid w:val="00F22BF5"/>
    <w:rsid w:val="00F577CA"/>
    <w:rsid w:val="00F61C1D"/>
    <w:rsid w:val="00F6531C"/>
    <w:rsid w:val="00F85549"/>
    <w:rsid w:val="00FA6113"/>
    <w:rsid w:val="00FB1879"/>
    <w:rsid w:val="00FC7EDD"/>
    <w:rsid w:val="00FE446A"/>
    <w:rsid w:val="00FE7837"/>
    <w:rsid w:val="00FF07B4"/>
    <w:rsid w:val="00FF4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B450"/>
  <w15:chartTrackingRefBased/>
  <w15:docId w15:val="{6C06DE14-CFE0-42CA-ACD7-27A82F53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F0"/>
  </w:style>
  <w:style w:type="paragraph" w:styleId="Footer">
    <w:name w:val="footer"/>
    <w:basedOn w:val="Normal"/>
    <w:link w:val="FooterChar"/>
    <w:uiPriority w:val="99"/>
    <w:unhideWhenUsed/>
    <w:rsid w:val="00E14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F0"/>
  </w:style>
  <w:style w:type="character" w:styleId="Hyperlink">
    <w:name w:val="Hyperlink"/>
    <w:basedOn w:val="DefaultParagraphFont"/>
    <w:uiPriority w:val="99"/>
    <w:unhideWhenUsed/>
    <w:rsid w:val="003E6673"/>
    <w:rPr>
      <w:color w:val="0000FF"/>
      <w:u w:val="single"/>
    </w:rPr>
  </w:style>
  <w:style w:type="paragraph" w:customStyle="1" w:styleId="ssinlinetext">
    <w:name w:val="ss_inlinetext"/>
    <w:basedOn w:val="Normal"/>
    <w:rsid w:val="006D4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ssh">
    <w:name w:val="ss_sh"/>
    <w:basedOn w:val="DefaultParagraphFont"/>
    <w:rsid w:val="006D4053"/>
  </w:style>
  <w:style w:type="character" w:styleId="UnresolvedMention">
    <w:name w:val="Unresolved Mention"/>
    <w:basedOn w:val="DefaultParagraphFont"/>
    <w:uiPriority w:val="99"/>
    <w:semiHidden/>
    <w:unhideWhenUsed/>
    <w:rsid w:val="00592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541686">
      <w:bodyDiv w:val="1"/>
      <w:marLeft w:val="0"/>
      <w:marRight w:val="0"/>
      <w:marTop w:val="0"/>
      <w:marBottom w:val="0"/>
      <w:divBdr>
        <w:top w:val="none" w:sz="0" w:space="0" w:color="auto"/>
        <w:left w:val="none" w:sz="0" w:space="0" w:color="auto"/>
        <w:bottom w:val="none" w:sz="0" w:space="0" w:color="auto"/>
        <w:right w:val="none" w:sz="0" w:space="0" w:color="auto"/>
      </w:divBdr>
    </w:div>
    <w:div w:id="833224868">
      <w:bodyDiv w:val="1"/>
      <w:marLeft w:val="0"/>
      <w:marRight w:val="0"/>
      <w:marTop w:val="0"/>
      <w:marBottom w:val="0"/>
      <w:divBdr>
        <w:top w:val="none" w:sz="0" w:space="0" w:color="auto"/>
        <w:left w:val="none" w:sz="0" w:space="0" w:color="auto"/>
        <w:bottom w:val="none" w:sz="0" w:space="0" w:color="auto"/>
        <w:right w:val="none" w:sz="0" w:space="0" w:color="auto"/>
      </w:divBdr>
    </w:div>
    <w:div w:id="103214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advance/lanham" TargetMode="External"/><Relationship Id="rId3" Type="http://schemas.openxmlformats.org/officeDocument/2006/relationships/webSettings" Target="webSettings.xml"/><Relationship Id="rId7" Type="http://schemas.openxmlformats.org/officeDocument/2006/relationships/hyperlink" Target="https://advance.lexis.com/document/?pdmfid=1000516&amp;crid=77fde463-bad5-408f-a1f6-ed0fd3610e76&amp;pddocfullpath=%2Fshared%2Fdocument%2Fcases%2Furn%3AcontentItem%3A3S4X-CN50-0039-N2GF-00000-00&amp;pdcontentcomponentid=6443&amp;pdshepid=urn%3AcontentItem%3A7XW4-BVC1-2NSF-C2SC-00000-00&amp;pdteaserkey=sr0&amp;pditab=allpods&amp;pdworkfolderlocatorid=NOT_SAVED_IN_WORKFOLDER&amp;ecomp=ppnqk&amp;earg=sr0&amp;prid=ca91cab7-f82c-4940-baec-ea82572384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vance.lexis.com/api/document/collection/statutes-legislation/id/5CCB-R1H0-01XN-S1R3-00000-00?cite=79%20P.L.%20489%2C%2060%20Stat.%20427%2C%2079%20Cong.%20Ch.%20540&amp;context=100051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7</Pages>
  <Words>1505</Words>
  <Characters>8584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Rhymer</dc:creator>
  <cp:keywords/>
  <dc:description/>
  <cp:lastModifiedBy>Jamila Rhymer</cp:lastModifiedBy>
  <cp:revision>192</cp:revision>
  <dcterms:created xsi:type="dcterms:W3CDTF">2020-04-05T02:52:00Z</dcterms:created>
  <dcterms:modified xsi:type="dcterms:W3CDTF">2020-04-28T02:23:00Z</dcterms:modified>
</cp:coreProperties>
</file>