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7357" w14:textId="394B4A08" w:rsidR="00F816BE" w:rsidRDefault="00B35552" w:rsidP="00B35552">
      <w:pPr>
        <w:spacing w:after="93" w:line="259" w:lineRule="auto"/>
        <w:ind w:left="0" w:firstLine="0"/>
        <w:jc w:val="center"/>
      </w:pPr>
      <w:r>
        <w:t xml:space="preserve">Fallacies </w:t>
      </w:r>
    </w:p>
    <w:p w14:paraId="1863E0E3" w14:textId="4119901A" w:rsidR="00B35552" w:rsidRDefault="00B35552" w:rsidP="00B35552">
      <w:pPr>
        <w:spacing w:after="93" w:line="259" w:lineRule="auto"/>
        <w:ind w:left="0" w:firstLine="0"/>
        <w:jc w:val="center"/>
      </w:pPr>
      <w:r>
        <w:t xml:space="preserve">Brooklynn Painter </w:t>
      </w:r>
    </w:p>
    <w:p w14:paraId="0CB9FF2E" w14:textId="4DD15C87" w:rsidR="00B35552" w:rsidRDefault="00B35552" w:rsidP="00B35552">
      <w:pPr>
        <w:spacing w:after="93" w:line="259" w:lineRule="auto"/>
        <w:ind w:left="0" w:firstLine="0"/>
        <w:jc w:val="center"/>
      </w:pPr>
      <w:r>
        <w:t>Logic and reasoning</w:t>
      </w:r>
    </w:p>
    <w:p w14:paraId="73D787C6" w14:textId="46B6ACA2" w:rsidR="00B35552" w:rsidRDefault="00CA63B8" w:rsidP="00B35552">
      <w:pPr>
        <w:spacing w:after="93" w:line="259" w:lineRule="auto"/>
        <w:ind w:left="0" w:firstLine="0"/>
        <w:jc w:val="center"/>
      </w:pPr>
      <w:r>
        <w:t>Ms</w:t>
      </w:r>
      <w:r w:rsidR="00A3550B">
        <w:t xml:space="preserve">. </w:t>
      </w:r>
      <w:proofErr w:type="spellStart"/>
      <w:r w:rsidR="00A3550B">
        <w:t>Gapola</w:t>
      </w:r>
      <w:proofErr w:type="spellEnd"/>
    </w:p>
    <w:p w14:paraId="69098B28" w14:textId="677BCEB4" w:rsidR="00A3550B" w:rsidRDefault="00A3550B" w:rsidP="00B35552">
      <w:pPr>
        <w:spacing w:after="93" w:line="259" w:lineRule="auto"/>
        <w:ind w:left="0" w:firstLine="0"/>
        <w:jc w:val="center"/>
      </w:pPr>
      <w:r>
        <w:t>09/10/21</w:t>
      </w:r>
    </w:p>
    <w:p w14:paraId="00B32D65" w14:textId="5948EC85" w:rsidR="00BA21E9" w:rsidRDefault="009927A5" w:rsidP="00A31462">
      <w:pPr>
        <w:spacing w:after="93" w:line="259" w:lineRule="auto"/>
        <w:ind w:left="0" w:firstLine="0"/>
      </w:pPr>
      <w:r>
        <w:t>My paper is about</w:t>
      </w:r>
      <w:r w:rsidR="00BA21E9">
        <w:t xml:space="preserve"> Affirming a </w:t>
      </w:r>
      <w:proofErr w:type="spellStart"/>
      <w:r w:rsidR="00BA21E9">
        <w:t>Disjunct</w:t>
      </w:r>
      <w:proofErr w:type="spellEnd"/>
      <w:r w:rsidR="00BA21E9">
        <w:t>, which is the fallacy that occurs when we assume that in an either/or statement (disjunction) if one of the statements (</w:t>
      </w:r>
      <w:proofErr w:type="spellStart"/>
      <w:r w:rsidR="00BA21E9">
        <w:t>disjuncts</w:t>
      </w:r>
      <w:proofErr w:type="spellEnd"/>
      <w:r w:rsidR="00BA21E9">
        <w:t xml:space="preserve">) is true the other must be false. </w:t>
      </w:r>
      <w:r w:rsidR="00E038B9">
        <w:t xml:space="preserve">This will be shown not only on my actual paper but also in the truth table that I will display at the bottom of this page. </w:t>
      </w:r>
      <w:r w:rsidR="004311C6">
        <w:t>I believe that this fallacy is one of the most common ones out of all of the ones we studied in this class.</w:t>
      </w:r>
    </w:p>
    <w:p w14:paraId="7E3A3206" w14:textId="77777777" w:rsidR="00BA21E9" w:rsidRDefault="00BA21E9" w:rsidP="00A31462">
      <w:pPr>
        <w:spacing w:after="93" w:line="259" w:lineRule="auto"/>
        <w:ind w:left="0" w:firstLine="0"/>
      </w:pPr>
    </w:p>
    <w:p w14:paraId="7C4DA7C5" w14:textId="77777777" w:rsidR="00B6171E" w:rsidRDefault="00B6171E" w:rsidP="00A31462">
      <w:pPr>
        <w:spacing w:after="93" w:line="259" w:lineRule="auto"/>
        <w:ind w:left="0" w:firstLine="0"/>
      </w:pPr>
    </w:p>
    <w:p w14:paraId="4EF725BE" w14:textId="77777777" w:rsidR="00B6171E" w:rsidRDefault="00B6171E" w:rsidP="00A31462">
      <w:pPr>
        <w:spacing w:after="93" w:line="259" w:lineRule="auto"/>
        <w:ind w:left="0" w:firstLine="0"/>
      </w:pPr>
    </w:p>
    <w:p w14:paraId="2C9FE81F" w14:textId="77777777" w:rsidR="00B6171E" w:rsidRDefault="00B6171E" w:rsidP="00A31462">
      <w:pPr>
        <w:spacing w:after="93" w:line="259" w:lineRule="auto"/>
        <w:ind w:left="0" w:firstLine="0"/>
      </w:pPr>
    </w:p>
    <w:p w14:paraId="38DBC4F7" w14:textId="77777777" w:rsidR="00B6171E" w:rsidRDefault="00B6171E" w:rsidP="00A31462">
      <w:pPr>
        <w:spacing w:after="93" w:line="259" w:lineRule="auto"/>
        <w:ind w:left="0" w:firstLine="0"/>
      </w:pPr>
    </w:p>
    <w:p w14:paraId="7F948AA5" w14:textId="77777777" w:rsidR="00B6171E" w:rsidRDefault="00B6171E" w:rsidP="00A31462">
      <w:pPr>
        <w:spacing w:after="93" w:line="259" w:lineRule="auto"/>
        <w:ind w:left="0" w:firstLine="0"/>
      </w:pPr>
    </w:p>
    <w:p w14:paraId="5AE5A035" w14:textId="77777777" w:rsidR="00B6171E" w:rsidRDefault="00B6171E" w:rsidP="00A31462">
      <w:pPr>
        <w:spacing w:after="93" w:line="259" w:lineRule="auto"/>
        <w:ind w:left="0" w:firstLine="0"/>
      </w:pPr>
    </w:p>
    <w:p w14:paraId="4ED72196" w14:textId="77777777" w:rsidR="00B6171E" w:rsidRDefault="00B6171E" w:rsidP="00A31462">
      <w:pPr>
        <w:spacing w:after="93" w:line="259" w:lineRule="auto"/>
        <w:ind w:left="0" w:firstLine="0"/>
      </w:pPr>
    </w:p>
    <w:p w14:paraId="0D5F8A8E" w14:textId="77777777" w:rsidR="00B6171E" w:rsidRDefault="00B6171E" w:rsidP="00A31462">
      <w:pPr>
        <w:spacing w:after="93" w:line="259" w:lineRule="auto"/>
        <w:ind w:left="0" w:firstLine="0"/>
      </w:pPr>
    </w:p>
    <w:p w14:paraId="0323E2BE" w14:textId="77777777" w:rsidR="00B6171E" w:rsidRDefault="00B6171E" w:rsidP="00A31462">
      <w:pPr>
        <w:spacing w:after="93" w:line="259" w:lineRule="auto"/>
        <w:ind w:left="0" w:firstLine="0"/>
      </w:pPr>
    </w:p>
    <w:p w14:paraId="2A415B8E" w14:textId="77777777" w:rsidR="00B6171E" w:rsidRDefault="00B6171E" w:rsidP="00A31462">
      <w:pPr>
        <w:spacing w:after="93" w:line="259" w:lineRule="auto"/>
        <w:ind w:left="0" w:firstLine="0"/>
      </w:pPr>
    </w:p>
    <w:p w14:paraId="54D83198" w14:textId="77777777" w:rsidR="00B6171E" w:rsidRDefault="00B6171E" w:rsidP="00A31462">
      <w:pPr>
        <w:spacing w:after="93" w:line="259" w:lineRule="auto"/>
        <w:ind w:left="0" w:firstLine="0"/>
      </w:pPr>
    </w:p>
    <w:p w14:paraId="0C530A49" w14:textId="77777777" w:rsidR="00B6171E" w:rsidRDefault="00B6171E" w:rsidP="00A31462">
      <w:pPr>
        <w:spacing w:after="93" w:line="259" w:lineRule="auto"/>
        <w:ind w:left="0" w:firstLine="0"/>
      </w:pPr>
    </w:p>
    <w:p w14:paraId="66C0F71C" w14:textId="4404D382" w:rsidR="00B6171E" w:rsidRDefault="00D46B99" w:rsidP="00A31462">
      <w:pPr>
        <w:spacing w:after="93" w:line="259" w:lineRule="auto"/>
        <w:ind w:left="0" w:firstLine="0"/>
      </w:pPr>
      <w:r>
        <w:t xml:space="preserve">The argument I chose for this fallacy is that I can not work a double shift both Saturday and Sunday. This means if I work a double on of the days, I do not work a double on the other. This shows me that if one statement is true, the other is false. </w:t>
      </w:r>
    </w:p>
    <w:p w14:paraId="53500923" w14:textId="071CC5C3" w:rsidR="00AC7355" w:rsidRDefault="00AC7355" w:rsidP="00A31462">
      <w:pPr>
        <w:spacing w:after="93" w:line="259" w:lineRule="auto"/>
        <w:ind w:left="0" w:firstLine="0"/>
      </w:pPr>
      <w:r>
        <w:t>In Logic, the disjunction or “either/or” statement is true any time either side of the statement is true as well as when both sides are true.  Therefore, one side being true does not automatically make the other side false.  Unless otherwise stated, it is as though there is as an implied “or both” on the end of the sentence.  For example:</w:t>
      </w:r>
      <w:r w:rsidR="00B6171E">
        <w:t xml:space="preserve"> </w:t>
      </w:r>
      <w:r>
        <w:t xml:space="preserve">“I will clean the kitchen or the basement.  I cleaned the kitchen.  Therefore, I will not clean the basement.”   In this case, it is true that since I cleaned the </w:t>
      </w:r>
      <w:proofErr w:type="gramStart"/>
      <w:r>
        <w:t>kitchen</w:t>
      </w:r>
      <w:proofErr w:type="gramEnd"/>
      <w:r>
        <w:t xml:space="preserve"> I kept my promise even if I don’t go on to clean the basement.  However, what is more important is that my statement is STILL TRUE if I clean the kitchen AND the basement.  So, although you may not expect the basement to be cleaned if the kitchen is cleaned my statement does not become false if I do both.  If we want to exclude the possibility that both things can </w:t>
      </w:r>
      <w:proofErr w:type="gramStart"/>
      <w:r>
        <w:t>happen</w:t>
      </w:r>
      <w:proofErr w:type="gramEnd"/>
      <w:r>
        <w:t xml:space="preserve"> we would have to say “I will clean the kitchen or the basement, but not both.” </w:t>
      </w:r>
      <w:r w:rsidR="002A4859">
        <w:t xml:space="preserve"> </w:t>
      </w:r>
    </w:p>
    <w:p w14:paraId="40909505" w14:textId="77777777" w:rsidR="00C8072D" w:rsidRDefault="00C8072D" w:rsidP="00A31462">
      <w:pPr>
        <w:spacing w:after="93" w:line="259" w:lineRule="auto"/>
        <w:ind w:left="0" w:firstLine="0"/>
      </w:pPr>
    </w:p>
    <w:p w14:paraId="4F4BB2CB" w14:textId="77777777" w:rsidR="00C926C9" w:rsidRDefault="00F816BE">
      <w:pPr>
        <w:spacing w:after="140" w:line="259" w:lineRule="auto"/>
        <w:ind w:left="0" w:firstLine="0"/>
      </w:pPr>
      <w:r>
        <w:rPr>
          <w:rFonts w:ascii="Times New Roman" w:eastAsia="Times New Roman" w:hAnsi="Times New Roman" w:cs="Times New Roman"/>
          <w:b/>
        </w:rPr>
        <w:t>Logical Forms:</w:t>
      </w:r>
    </w:p>
    <w:p w14:paraId="579EEE6C" w14:textId="2C61585E" w:rsidR="00C926C9" w:rsidRDefault="00F816BE" w:rsidP="00AC5CE6">
      <w:pPr>
        <w:spacing w:after="1" w:line="353" w:lineRule="auto"/>
        <w:ind w:left="-5" w:right="2370"/>
      </w:pPr>
      <w:r>
        <w:rPr>
          <w:rFonts w:ascii="Times New Roman" w:eastAsia="Times New Roman" w:hAnsi="Times New Roman" w:cs="Times New Roman"/>
          <w:i/>
        </w:rPr>
        <w:t>P or Q.</w:t>
      </w:r>
      <w:r>
        <w:t xml:space="preserve"> I cannot work a double shift both Saturday and Sunday.  </w:t>
      </w:r>
      <w:proofErr w:type="gramStart"/>
      <w:r>
        <w:rPr>
          <w:rFonts w:ascii="Times New Roman" w:eastAsia="Times New Roman" w:hAnsi="Times New Roman" w:cs="Times New Roman"/>
          <w:i/>
        </w:rPr>
        <w:t>P.</w:t>
      </w:r>
      <w:r>
        <w:t>.</w:t>
      </w:r>
      <w:proofErr w:type="gramEnd"/>
      <w:r>
        <w:t xml:space="preserve">  I am not working a double shift on Saturday. </w:t>
      </w:r>
    </w:p>
    <w:p w14:paraId="330FFC9E" w14:textId="62F95E41" w:rsidR="00C926C9" w:rsidRDefault="00F816BE">
      <w:pPr>
        <w:spacing w:after="578"/>
        <w:ind w:left="-5"/>
      </w:pPr>
      <w:r>
        <w:rPr>
          <w:rFonts w:ascii="Times New Roman" w:eastAsia="Times New Roman" w:hAnsi="Times New Roman" w:cs="Times New Roman"/>
          <w:i/>
        </w:rPr>
        <w:t xml:space="preserve">Therefore, not Q. </w:t>
      </w:r>
      <w:r>
        <w:t xml:space="preserve">Therefore, I am working a double shift on Sunday </w:t>
      </w:r>
    </w:p>
    <w:p w14:paraId="57022141" w14:textId="1B8D2BE2" w:rsidR="005F21D7" w:rsidRDefault="00951975">
      <w:pPr>
        <w:spacing w:after="578"/>
        <w:ind w:left="-5"/>
      </w:pPr>
      <w:r>
        <w:rPr>
          <w:noProof/>
        </w:rPr>
        <w:drawing>
          <wp:anchor distT="0" distB="0" distL="114300" distR="114300" simplePos="0" relativeHeight="251659264" behindDoc="0" locked="0" layoutInCell="1" allowOverlap="1" wp14:anchorId="11D92FC2" wp14:editId="179E6848">
            <wp:simplePos x="0" y="0"/>
            <wp:positionH relativeFrom="column">
              <wp:posOffset>0</wp:posOffset>
            </wp:positionH>
            <wp:positionV relativeFrom="paragraph">
              <wp:posOffset>441325</wp:posOffset>
            </wp:positionV>
            <wp:extent cx="5562600" cy="29146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562600" cy="2914650"/>
                    </a:xfrm>
                    <a:prstGeom prst="rect">
                      <a:avLst/>
                    </a:prstGeom>
                  </pic:spPr>
                </pic:pic>
              </a:graphicData>
            </a:graphic>
          </wp:anchor>
        </w:drawing>
      </w:r>
    </w:p>
    <w:p w14:paraId="33CDD3AD" w14:textId="3C5D2928" w:rsidR="00C926C9" w:rsidRDefault="00F816BE">
      <w:pPr>
        <w:spacing w:after="201"/>
        <w:ind w:left="-5"/>
      </w:pPr>
      <w:r>
        <w:t xml:space="preserve">  </w:t>
      </w:r>
      <w:r w:rsidR="0071511C">
        <w:t xml:space="preserve">In conclusion, this argument is valid because if one thing then not the other is a pretty straight forward argument. I think this allows for people to logically know their work schedule for example because they know that if they work a double on one day, they will not on the other day. This project was a hard one. I don’t think I have ever struggled so much with something so my advice for the future classes is to try and so the lectures twice and keep going back until you truly understand everything. </w:t>
      </w:r>
    </w:p>
    <w:p w14:paraId="4D079E31" w14:textId="77777777" w:rsidR="00AC5CE6" w:rsidRDefault="00AC5CE6">
      <w:pPr>
        <w:ind w:left="-5"/>
      </w:pPr>
    </w:p>
    <w:p w14:paraId="6E6AB459" w14:textId="77777777" w:rsidR="00AC5CE6" w:rsidRDefault="00AC5CE6">
      <w:pPr>
        <w:ind w:left="-5"/>
      </w:pPr>
    </w:p>
    <w:p w14:paraId="21BD2489" w14:textId="77777777" w:rsidR="00AC5CE6" w:rsidRDefault="00AC5CE6">
      <w:pPr>
        <w:ind w:left="-5"/>
      </w:pPr>
    </w:p>
    <w:p w14:paraId="641F3D1D" w14:textId="77777777" w:rsidR="00AC5CE6" w:rsidRDefault="00AC5CE6">
      <w:pPr>
        <w:ind w:left="-5"/>
      </w:pPr>
    </w:p>
    <w:p w14:paraId="314A1606" w14:textId="77777777" w:rsidR="00AC5CE6" w:rsidRDefault="00AC5CE6">
      <w:pPr>
        <w:ind w:left="-5"/>
      </w:pPr>
    </w:p>
    <w:p w14:paraId="49F84BD9" w14:textId="77777777" w:rsidR="00AC5CE6" w:rsidRDefault="00AC5CE6">
      <w:pPr>
        <w:ind w:left="-5"/>
      </w:pPr>
    </w:p>
    <w:p w14:paraId="10BF22F4" w14:textId="77777777" w:rsidR="00AC5CE6" w:rsidRDefault="00AC5CE6">
      <w:pPr>
        <w:ind w:left="-5"/>
      </w:pPr>
    </w:p>
    <w:p w14:paraId="6D010DA5" w14:textId="77777777" w:rsidR="00AC5CE6" w:rsidRDefault="00AC5CE6">
      <w:pPr>
        <w:ind w:left="-5"/>
      </w:pPr>
    </w:p>
    <w:p w14:paraId="1E5F6054" w14:textId="77777777" w:rsidR="00AC5CE6" w:rsidRDefault="00AC5CE6">
      <w:pPr>
        <w:ind w:left="-5"/>
      </w:pPr>
    </w:p>
    <w:p w14:paraId="1AC93B1B" w14:textId="77777777" w:rsidR="00AC5CE6" w:rsidRDefault="00AC5CE6">
      <w:pPr>
        <w:ind w:left="-5"/>
      </w:pPr>
    </w:p>
    <w:p w14:paraId="7A3E65D1" w14:textId="4BFF4364" w:rsidR="00C926C9" w:rsidRDefault="00F816BE">
      <w:pPr>
        <w:ind w:left="-5"/>
      </w:pPr>
      <w:r>
        <w:t>References</w:t>
      </w:r>
    </w:p>
    <w:p w14:paraId="46D4F830" w14:textId="77777777" w:rsidR="00C926C9" w:rsidRDefault="00F816BE">
      <w:pPr>
        <w:numPr>
          <w:ilvl w:val="0"/>
          <w:numId w:val="2"/>
        </w:numPr>
        <w:spacing w:after="3" w:line="253" w:lineRule="auto"/>
        <w:ind w:hanging="360"/>
      </w:pPr>
      <w:r>
        <w:rPr>
          <w:rFonts w:ascii="Calibri" w:eastAsia="Calibri" w:hAnsi="Calibri" w:cs="Calibri"/>
          <w:sz w:val="22"/>
        </w:rPr>
        <w:t xml:space="preserve">The Tragedy of Contract and the Naturalistic Fallacy at the Workplace. Academic Journal By: </w:t>
      </w:r>
    </w:p>
    <w:p w14:paraId="73422D9D" w14:textId="77777777" w:rsidR="00C926C9" w:rsidRDefault="00F816BE">
      <w:pPr>
        <w:spacing w:after="3" w:line="253" w:lineRule="auto"/>
        <w:ind w:left="715"/>
      </w:pPr>
      <w:r>
        <w:rPr>
          <w:rFonts w:ascii="Calibri" w:eastAsia="Calibri" w:hAnsi="Calibri" w:cs="Calibri"/>
          <w:sz w:val="22"/>
        </w:rPr>
        <w:t xml:space="preserve">JONGHOON BAE. Seoul Journal of Business. Jun2020, Vol. 26 Issue 1, p1-19. 19p. DOI: </w:t>
      </w:r>
    </w:p>
    <w:p w14:paraId="4CDCDA9E" w14:textId="1BF6B74D" w:rsidR="00C926C9" w:rsidRDefault="00F816BE">
      <w:pPr>
        <w:spacing w:after="583" w:line="306" w:lineRule="auto"/>
        <w:ind w:left="1080" w:right="226" w:hanging="360"/>
        <w:jc w:val="both"/>
      </w:pPr>
      <w:r>
        <w:rPr>
          <w:rFonts w:ascii="Calibri" w:eastAsia="Calibri" w:hAnsi="Calibri" w:cs="Calibri"/>
          <w:sz w:val="22"/>
        </w:rPr>
        <w:t xml:space="preserve">10.35152/snusjb.2020.26.1.001. </w:t>
      </w:r>
    </w:p>
    <w:p w14:paraId="4FBBBF88" w14:textId="77777777" w:rsidR="00C926C9" w:rsidRDefault="00F816BE">
      <w:pPr>
        <w:numPr>
          <w:ilvl w:val="0"/>
          <w:numId w:val="2"/>
        </w:numPr>
        <w:spacing w:after="3" w:line="253" w:lineRule="auto"/>
        <w:ind w:hanging="360"/>
      </w:pPr>
      <w:r>
        <w:rPr>
          <w:rFonts w:ascii="Calibri" w:eastAsia="Calibri" w:hAnsi="Calibri" w:cs="Calibri"/>
          <w:sz w:val="22"/>
        </w:rPr>
        <w:t>Steps to strengthen ethics in organizations: research findings, ethics placebos, and what works. Editorial &amp; Opinion English</w:t>
      </w:r>
      <w:proofErr w:type="gramStart"/>
      <w:r>
        <w:rPr>
          <w:rFonts w:ascii="Calibri" w:eastAsia="Calibri" w:hAnsi="Calibri" w:cs="Calibri"/>
          <w:sz w:val="22"/>
        </w:rPr>
        <w:t>) ;</w:t>
      </w:r>
      <w:proofErr w:type="gramEnd"/>
      <w:r>
        <w:rPr>
          <w:rFonts w:ascii="Calibri" w:eastAsia="Calibri" w:hAnsi="Calibri" w:cs="Calibri"/>
          <w:sz w:val="22"/>
        </w:rPr>
        <w:t xml:space="preserve"> Abstract available. By: Pope KS, Journal of trauma &amp; </w:t>
      </w:r>
      <w:proofErr w:type="gramStart"/>
      <w:r>
        <w:rPr>
          <w:rFonts w:ascii="Calibri" w:eastAsia="Calibri" w:hAnsi="Calibri" w:cs="Calibri"/>
          <w:sz w:val="22"/>
        </w:rPr>
        <w:t>dissociation :</w:t>
      </w:r>
      <w:proofErr w:type="gramEnd"/>
      <w:r>
        <w:rPr>
          <w:rFonts w:ascii="Calibri" w:eastAsia="Calibri" w:hAnsi="Calibri" w:cs="Calibri"/>
          <w:sz w:val="22"/>
        </w:rPr>
        <w:t xml:space="preserve"> the official journal of the International Society for the Study of Dissociation (ISSD) [J Trauma Dissociation], ISSN: 1529-9740, 2015; Vol. 16 (2), pp. 139-52; Publisher: Routledge; PMID: </w:t>
      </w:r>
    </w:p>
    <w:p w14:paraId="2BE0D2E7" w14:textId="6BE9E6A6" w:rsidR="00C926C9" w:rsidRDefault="00F816BE" w:rsidP="0047037A">
      <w:pPr>
        <w:spacing w:after="206" w:line="253" w:lineRule="auto"/>
        <w:ind w:left="715"/>
      </w:pPr>
      <w:r>
        <w:rPr>
          <w:rFonts w:ascii="Calibri" w:eastAsia="Calibri" w:hAnsi="Calibri" w:cs="Calibri"/>
          <w:sz w:val="22"/>
        </w:rPr>
        <w:t>25602131, Database: MEDLINE Complete PubMed</w:t>
      </w:r>
    </w:p>
    <w:p w14:paraId="6B079F5D" w14:textId="77777777" w:rsidR="00C926C9" w:rsidRDefault="00F816BE">
      <w:pPr>
        <w:numPr>
          <w:ilvl w:val="0"/>
          <w:numId w:val="2"/>
        </w:numPr>
        <w:spacing w:after="3" w:line="253" w:lineRule="auto"/>
        <w:ind w:hanging="360"/>
      </w:pPr>
      <w:r>
        <w:rPr>
          <w:rFonts w:ascii="Calibri" w:eastAsia="Calibri" w:hAnsi="Calibri" w:cs="Calibri"/>
          <w:sz w:val="22"/>
        </w:rPr>
        <w:t xml:space="preserve">Book </w:t>
      </w:r>
      <w:proofErr w:type="gramStart"/>
      <w:r>
        <w:rPr>
          <w:rFonts w:ascii="Calibri" w:eastAsia="Calibri" w:hAnsi="Calibri" w:cs="Calibri"/>
          <w:sz w:val="22"/>
        </w:rPr>
        <w:t>Reviews :</w:t>
      </w:r>
      <w:proofErr w:type="gramEnd"/>
      <w:r>
        <w:rPr>
          <w:rFonts w:ascii="Calibri" w:eastAsia="Calibri" w:hAnsi="Calibri" w:cs="Calibri"/>
          <w:sz w:val="22"/>
        </w:rPr>
        <w:t xml:space="preserve"> THE FALLACY OF FLEXIBILITY: WORKPLACE REFORM IN THE QUEENSLAND OPEN </w:t>
      </w:r>
    </w:p>
    <w:p w14:paraId="1E799C83" w14:textId="77777777" w:rsidR="00C926C9" w:rsidRDefault="00F816BE">
      <w:pPr>
        <w:spacing w:after="3" w:line="253" w:lineRule="auto"/>
        <w:ind w:left="715"/>
      </w:pPr>
      <w:r>
        <w:rPr>
          <w:rFonts w:ascii="Calibri" w:eastAsia="Calibri" w:hAnsi="Calibri" w:cs="Calibri"/>
          <w:sz w:val="22"/>
        </w:rPr>
        <w:t xml:space="preserve">CUT COAL INDUSTRY By Michael Barry, Bradley Bowden and Peter </w:t>
      </w:r>
      <w:proofErr w:type="spellStart"/>
      <w:r>
        <w:rPr>
          <w:rFonts w:ascii="Calibri" w:eastAsia="Calibri" w:hAnsi="Calibri" w:cs="Calibri"/>
          <w:sz w:val="22"/>
        </w:rPr>
        <w:t>Brosnan</w:t>
      </w:r>
      <w:proofErr w:type="spellEnd"/>
      <w:r>
        <w:rPr>
          <w:rFonts w:ascii="Calibri" w:eastAsia="Calibri" w:hAnsi="Calibri" w:cs="Calibri"/>
          <w:sz w:val="22"/>
        </w:rPr>
        <w:t xml:space="preserve">. Allen &amp; Unwin, St </w:t>
      </w:r>
    </w:p>
    <w:p w14:paraId="3A760C75" w14:textId="77777777" w:rsidR="00C926C9" w:rsidRDefault="00F816BE">
      <w:pPr>
        <w:spacing w:after="3" w:line="253" w:lineRule="auto"/>
        <w:ind w:left="715"/>
      </w:pPr>
      <w:proofErr w:type="spellStart"/>
      <w:r>
        <w:rPr>
          <w:rFonts w:ascii="Calibri" w:eastAsia="Calibri" w:hAnsi="Calibri" w:cs="Calibri"/>
          <w:sz w:val="22"/>
        </w:rPr>
        <w:t>Leonards</w:t>
      </w:r>
      <w:proofErr w:type="spellEnd"/>
      <w:r>
        <w:rPr>
          <w:rFonts w:ascii="Calibri" w:eastAsia="Calibri" w:hAnsi="Calibri" w:cs="Calibri"/>
          <w:sz w:val="22"/>
        </w:rPr>
        <w:t xml:space="preserve">, 1998, xii + 231 pp., $35 (paperback). Academic Journal By: </w:t>
      </w:r>
      <w:proofErr w:type="spellStart"/>
      <w:r>
        <w:rPr>
          <w:rFonts w:ascii="Calibri" w:eastAsia="Calibri" w:hAnsi="Calibri" w:cs="Calibri"/>
          <w:sz w:val="22"/>
        </w:rPr>
        <w:t>Heiler</w:t>
      </w:r>
      <w:proofErr w:type="spellEnd"/>
      <w:r>
        <w:rPr>
          <w:rFonts w:ascii="Calibri" w:eastAsia="Calibri" w:hAnsi="Calibri" w:cs="Calibri"/>
          <w:sz w:val="22"/>
        </w:rPr>
        <w:t xml:space="preserve">, Kathryn. Journal of </w:t>
      </w:r>
    </w:p>
    <w:p w14:paraId="5DC8A730" w14:textId="77777777" w:rsidR="00C926C9" w:rsidRDefault="00F816BE">
      <w:pPr>
        <w:spacing w:after="3" w:line="253" w:lineRule="auto"/>
        <w:ind w:left="715"/>
      </w:pPr>
      <w:r>
        <w:rPr>
          <w:rFonts w:ascii="Calibri" w:eastAsia="Calibri" w:hAnsi="Calibri" w:cs="Calibri"/>
          <w:sz w:val="22"/>
        </w:rPr>
        <w:t xml:space="preserve">Industrial </w:t>
      </w:r>
      <w:proofErr w:type="gramStart"/>
      <w:r>
        <w:rPr>
          <w:rFonts w:ascii="Calibri" w:eastAsia="Calibri" w:hAnsi="Calibri" w:cs="Calibri"/>
          <w:sz w:val="22"/>
        </w:rPr>
        <w:t>Relations ,</w:t>
      </w:r>
      <w:proofErr w:type="gramEnd"/>
      <w:r>
        <w:rPr>
          <w:rFonts w:ascii="Calibri" w:eastAsia="Calibri" w:hAnsi="Calibri" w:cs="Calibri"/>
          <w:sz w:val="22"/>
        </w:rPr>
        <w:t xml:space="preserve"> Jun1999, Vol. 41 Issue 2, p332-335, 4p. Publisher: Sage Publications, Ltd.., </w:t>
      </w:r>
    </w:p>
    <w:p w14:paraId="4DA327C1" w14:textId="6944CDE5" w:rsidR="00C926C9" w:rsidRDefault="00F816BE" w:rsidP="0047037A">
      <w:pPr>
        <w:spacing w:after="203" w:line="253" w:lineRule="auto"/>
        <w:ind w:left="715"/>
      </w:pPr>
      <w:r>
        <w:rPr>
          <w:rFonts w:ascii="Calibri" w:eastAsia="Calibri" w:hAnsi="Calibri" w:cs="Calibri"/>
          <w:sz w:val="22"/>
        </w:rPr>
        <w:t>Database: Complementary Index</w:t>
      </w:r>
    </w:p>
    <w:p w14:paraId="0738E4AB" w14:textId="77777777" w:rsidR="00C926C9" w:rsidRDefault="00F816BE">
      <w:pPr>
        <w:numPr>
          <w:ilvl w:val="0"/>
          <w:numId w:val="2"/>
        </w:numPr>
        <w:spacing w:after="3" w:line="253" w:lineRule="auto"/>
        <w:ind w:hanging="360"/>
      </w:pPr>
      <w:r>
        <w:rPr>
          <w:rFonts w:ascii="Calibri" w:eastAsia="Calibri" w:hAnsi="Calibri" w:cs="Calibri"/>
          <w:sz w:val="22"/>
        </w:rPr>
        <w:t>Fallacies found in workplace stereotypes. Periodical Westchester County Business Journal. 10/30/2000, Vol. 39 Issue 44, p16. 1/4p. Reading Level (Lexile): 1360</w:t>
      </w:r>
      <w:proofErr w:type="gramStart"/>
      <w:r>
        <w:rPr>
          <w:rFonts w:ascii="Calibri" w:eastAsia="Calibri" w:hAnsi="Calibri" w:cs="Calibri"/>
          <w:sz w:val="22"/>
        </w:rPr>
        <w:t>. ,</w:t>
      </w:r>
      <w:proofErr w:type="gramEnd"/>
      <w:r>
        <w:rPr>
          <w:rFonts w:ascii="Calibri" w:eastAsia="Calibri" w:hAnsi="Calibri" w:cs="Calibri"/>
          <w:sz w:val="22"/>
        </w:rPr>
        <w:t xml:space="preserve"> Database: Regional </w:t>
      </w:r>
    </w:p>
    <w:p w14:paraId="705E0A61" w14:textId="56C564E0" w:rsidR="00C926C9" w:rsidRDefault="00F816BE" w:rsidP="0047037A">
      <w:pPr>
        <w:spacing w:after="206" w:line="253" w:lineRule="auto"/>
        <w:ind w:left="715"/>
      </w:pPr>
      <w:r>
        <w:rPr>
          <w:rFonts w:ascii="Calibri" w:eastAsia="Calibri" w:hAnsi="Calibri" w:cs="Calibri"/>
          <w:sz w:val="22"/>
        </w:rPr>
        <w:t xml:space="preserve">Business News. </w:t>
      </w:r>
    </w:p>
    <w:sectPr w:rsidR="00C926C9">
      <w:pgSz w:w="12240" w:h="15840"/>
      <w:pgMar w:top="1426" w:right="1442" w:bottom="1442"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B8C"/>
    <w:multiLevelType w:val="hybridMultilevel"/>
    <w:tmpl w:val="FFFFFFFF"/>
    <w:lvl w:ilvl="0" w:tplc="DEECAFD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E89D8">
      <w:start w:val="1"/>
      <w:numFmt w:val="bullet"/>
      <w:lvlText w:val="o"/>
      <w:lvlJc w:val="left"/>
      <w:pPr>
        <w:ind w:left="1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56EEA0">
      <w:start w:val="1"/>
      <w:numFmt w:val="bullet"/>
      <w:lvlText w:val="▪"/>
      <w:lvlJc w:val="left"/>
      <w:pPr>
        <w:ind w:left="2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923254">
      <w:start w:val="1"/>
      <w:numFmt w:val="bullet"/>
      <w:lvlText w:val="•"/>
      <w:lvlJc w:val="left"/>
      <w:pPr>
        <w:ind w:left="2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D6771A">
      <w:start w:val="1"/>
      <w:numFmt w:val="bullet"/>
      <w:lvlText w:val="o"/>
      <w:lvlJc w:val="left"/>
      <w:pPr>
        <w:ind w:left="3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DAAB9C">
      <w:start w:val="1"/>
      <w:numFmt w:val="bullet"/>
      <w:lvlText w:val="▪"/>
      <w:lvlJc w:val="left"/>
      <w:pPr>
        <w:ind w:left="4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729A5C">
      <w:start w:val="1"/>
      <w:numFmt w:val="bullet"/>
      <w:lvlText w:val="•"/>
      <w:lvlJc w:val="left"/>
      <w:pPr>
        <w:ind w:left="4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DC4A2A">
      <w:start w:val="1"/>
      <w:numFmt w:val="bullet"/>
      <w:lvlText w:val="o"/>
      <w:lvlJc w:val="left"/>
      <w:pPr>
        <w:ind w:left="5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84E5C2">
      <w:start w:val="1"/>
      <w:numFmt w:val="bullet"/>
      <w:lvlText w:val="▪"/>
      <w:lvlJc w:val="left"/>
      <w:pPr>
        <w:ind w:left="6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263CF1"/>
    <w:multiLevelType w:val="hybridMultilevel"/>
    <w:tmpl w:val="FFFFFFFF"/>
    <w:lvl w:ilvl="0" w:tplc="51A82680">
      <w:start w:val="1"/>
      <w:numFmt w:val="bullet"/>
      <w:lvlText w:val="•"/>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2643776">
      <w:start w:val="1"/>
      <w:numFmt w:val="bullet"/>
      <w:lvlText w:val="o"/>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0CD8159A">
      <w:start w:val="1"/>
      <w:numFmt w:val="bullet"/>
      <w:lvlText w:val="▪"/>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77ABF54">
      <w:start w:val="1"/>
      <w:numFmt w:val="bullet"/>
      <w:lvlText w:val="•"/>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CA4E666">
      <w:start w:val="1"/>
      <w:numFmt w:val="bullet"/>
      <w:lvlText w:val="o"/>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B6EBEC8">
      <w:start w:val="1"/>
      <w:numFmt w:val="bullet"/>
      <w:lvlText w:val="▪"/>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A46C7116">
      <w:start w:val="1"/>
      <w:numFmt w:val="bullet"/>
      <w:lvlText w:val="•"/>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F9F25AA4">
      <w:start w:val="1"/>
      <w:numFmt w:val="bullet"/>
      <w:lvlText w:val="o"/>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BEAC36E">
      <w:start w:val="1"/>
      <w:numFmt w:val="bullet"/>
      <w:lvlText w:val="▪"/>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6C9"/>
    <w:rsid w:val="0019236D"/>
    <w:rsid w:val="001A0E13"/>
    <w:rsid w:val="002A4859"/>
    <w:rsid w:val="00324218"/>
    <w:rsid w:val="004311C6"/>
    <w:rsid w:val="0047037A"/>
    <w:rsid w:val="004B4C56"/>
    <w:rsid w:val="005F21D7"/>
    <w:rsid w:val="0071511C"/>
    <w:rsid w:val="009363DB"/>
    <w:rsid w:val="00951975"/>
    <w:rsid w:val="009927A5"/>
    <w:rsid w:val="00A31462"/>
    <w:rsid w:val="00A3550B"/>
    <w:rsid w:val="00AC5CE6"/>
    <w:rsid w:val="00AC7355"/>
    <w:rsid w:val="00B35552"/>
    <w:rsid w:val="00B6171E"/>
    <w:rsid w:val="00BA21E9"/>
    <w:rsid w:val="00BC7D2E"/>
    <w:rsid w:val="00C8072D"/>
    <w:rsid w:val="00C926C9"/>
    <w:rsid w:val="00CA63B8"/>
    <w:rsid w:val="00D46B99"/>
    <w:rsid w:val="00D654EB"/>
    <w:rsid w:val="00E038B9"/>
    <w:rsid w:val="00F816BE"/>
    <w:rsid w:val="00FE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D48BCC"/>
  <w15:docId w15:val="{0C03D167-6A3F-2142-96B0-04690066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219" w:lineRule="auto"/>
      <w:ind w:left="370" w:hanging="10"/>
    </w:pPr>
    <w:rPr>
      <w:rFonts w:ascii="Book Antiqua" w:eastAsia="Book Antiqua" w:hAnsi="Book Antiqua" w:cs="Book Antiqua"/>
      <w:color w:val="000000"/>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bn35r9@yahoo.com</dc:creator>
  <cp:keywords/>
  <dc:description/>
  <cp:lastModifiedBy>bn35r9@yahoo.com</cp:lastModifiedBy>
  <cp:revision>2</cp:revision>
  <dcterms:created xsi:type="dcterms:W3CDTF">2021-08-13T23:41:00Z</dcterms:created>
  <dcterms:modified xsi:type="dcterms:W3CDTF">2021-08-13T23:41:00Z</dcterms:modified>
</cp:coreProperties>
</file>