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7468134" w14:textId="5FA71200" w:rsidR="006B719B" w:rsidRDefault="006B719B">
      <w:pPr>
        <w:pStyle w:val="Body"/>
        <w:spacing w:line="480" w:lineRule="auto"/>
        <w:rPr>
          <w:rFonts w:ascii="Times New Roman" w:eastAsia="Times New Roman" w:hAnsi="Times New Roman" w:cs="Times New Roman"/>
          <w:sz w:val="24"/>
          <w:szCs w:val="24"/>
        </w:rPr>
      </w:pPr>
    </w:p>
    <w:p w14:paraId="46D798E2" w14:textId="77777777" w:rsidR="006B719B" w:rsidRDefault="00B20D19">
      <w:pPr>
        <w:pStyle w:val="Body"/>
        <w:spacing w:after="160" w:line="480" w:lineRule="auto"/>
        <w:jc w:val="center"/>
        <w:rPr>
          <w:rFonts w:ascii="Times New Roman" w:eastAsia="Times New Roman" w:hAnsi="Times New Roman" w:cs="Times New Roman"/>
          <w:sz w:val="24"/>
          <w:szCs w:val="24"/>
          <w:u w:color="000000"/>
        </w:rPr>
      </w:pPr>
      <w:bookmarkStart w:id="0" w:name="_Hlk54479087"/>
      <w:r>
        <w:rPr>
          <w:rFonts w:ascii="Times New Roman" w:eastAsia="Calibri" w:hAnsi="Times New Roman" w:cs="Calibri"/>
          <w:sz w:val="24"/>
          <w:szCs w:val="24"/>
          <w:u w:color="000000"/>
        </w:rPr>
        <w:t>Lauren</w:t>
      </w:r>
      <w:r>
        <w:rPr>
          <w:rFonts w:ascii="Times New Roman" w:eastAsia="Calibri" w:hAnsi="Times New Roman" w:cs="Calibri"/>
          <w:sz w:val="24"/>
          <w:szCs w:val="24"/>
          <w:u w:color="000000"/>
        </w:rPr>
        <w:t xml:space="preserve"> Miller</w:t>
      </w:r>
    </w:p>
    <w:p w14:paraId="5810ECA5" w14:textId="77777777" w:rsidR="006B719B" w:rsidRDefault="00B20D19">
      <w:pPr>
        <w:pStyle w:val="Body"/>
        <w:spacing w:after="160" w:line="480" w:lineRule="auto"/>
        <w:jc w:val="center"/>
        <w:rPr>
          <w:rFonts w:ascii="Times New Roman" w:eastAsia="Times New Roman" w:hAnsi="Times New Roman" w:cs="Times New Roman"/>
          <w:sz w:val="24"/>
          <w:szCs w:val="24"/>
          <w:u w:color="000000"/>
        </w:rPr>
      </w:pPr>
      <w:r>
        <w:rPr>
          <w:rFonts w:ascii="Times New Roman" w:eastAsia="Calibri" w:hAnsi="Times New Roman" w:cs="Calibri"/>
          <w:sz w:val="24"/>
          <w:szCs w:val="24"/>
          <w:u w:color="000000"/>
          <w:lang w:val="it-IT"/>
        </w:rPr>
        <w:t>Bryant &amp; Stratton College</w:t>
      </w:r>
    </w:p>
    <w:p w14:paraId="1C5347EA" w14:textId="6D083F21" w:rsidR="006B719B" w:rsidRDefault="00B20D19">
      <w:pPr>
        <w:pStyle w:val="Body"/>
        <w:spacing w:after="160" w:line="480" w:lineRule="auto"/>
        <w:jc w:val="center"/>
        <w:rPr>
          <w:rFonts w:ascii="Times New Roman" w:eastAsia="Times New Roman" w:hAnsi="Times New Roman" w:cs="Times New Roman"/>
          <w:sz w:val="24"/>
          <w:szCs w:val="24"/>
          <w:u w:color="000000"/>
        </w:rPr>
      </w:pPr>
      <w:r>
        <w:rPr>
          <w:rFonts w:ascii="Times New Roman" w:eastAsia="Calibri" w:hAnsi="Times New Roman" w:cs="Calibri"/>
          <w:sz w:val="24"/>
          <w:szCs w:val="24"/>
          <w:u w:color="000000"/>
        </w:rPr>
        <w:t>P</w:t>
      </w:r>
      <w:r w:rsidR="00016409">
        <w:rPr>
          <w:rFonts w:ascii="Times New Roman" w:eastAsia="Calibri" w:hAnsi="Times New Roman" w:cs="Calibri"/>
          <w:sz w:val="24"/>
          <w:szCs w:val="24"/>
          <w:u w:color="000000"/>
        </w:rPr>
        <w:t>HIL</w:t>
      </w:r>
      <w:r>
        <w:rPr>
          <w:rFonts w:ascii="Times New Roman" w:eastAsia="Calibri" w:hAnsi="Times New Roman" w:cs="Calibri"/>
          <w:sz w:val="24"/>
          <w:szCs w:val="24"/>
          <w:u w:color="000000"/>
        </w:rPr>
        <w:t>222- Ethics in Health and Human Service</w:t>
      </w:r>
    </w:p>
    <w:p w14:paraId="41FAAAE8" w14:textId="77777777" w:rsidR="006B719B" w:rsidRDefault="00B20D19">
      <w:pPr>
        <w:pStyle w:val="Body"/>
        <w:spacing w:after="160" w:line="480" w:lineRule="auto"/>
        <w:jc w:val="center"/>
        <w:rPr>
          <w:rFonts w:ascii="Times New Roman" w:eastAsia="Times New Roman" w:hAnsi="Times New Roman" w:cs="Times New Roman"/>
          <w:sz w:val="24"/>
          <w:szCs w:val="24"/>
          <w:u w:color="000000"/>
        </w:rPr>
      </w:pPr>
      <w:r>
        <w:rPr>
          <w:rFonts w:ascii="Times New Roman" w:eastAsia="Calibri" w:hAnsi="Times New Roman" w:cs="Calibri"/>
          <w:sz w:val="24"/>
          <w:szCs w:val="24"/>
          <w:u w:color="000000"/>
        </w:rPr>
        <w:t>Patricia Morris</w:t>
      </w:r>
    </w:p>
    <w:p w14:paraId="487B6A63"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hAnsi="Times New Roman"/>
          <w:sz w:val="24"/>
          <w:szCs w:val="24"/>
        </w:rPr>
        <w:t xml:space="preserve">It is a tragic situation to suffer physical trauma, both for the patient and their loved ones. It is even </w:t>
      </w:r>
      <w:r>
        <w:rPr>
          <w:rFonts w:ascii="Times New Roman" w:hAnsi="Times New Roman"/>
          <w:sz w:val="24"/>
          <w:szCs w:val="24"/>
        </w:rPr>
        <w:t xml:space="preserve">worse when decisions </w:t>
      </w:r>
      <w:proofErr w:type="gramStart"/>
      <w:r>
        <w:rPr>
          <w:rFonts w:ascii="Times New Roman" w:hAnsi="Times New Roman"/>
          <w:sz w:val="24"/>
          <w:szCs w:val="24"/>
        </w:rPr>
        <w:t>have to</w:t>
      </w:r>
      <w:proofErr w:type="gramEnd"/>
      <w:r>
        <w:rPr>
          <w:rFonts w:ascii="Times New Roman" w:hAnsi="Times New Roman"/>
          <w:sz w:val="24"/>
          <w:szCs w:val="24"/>
        </w:rPr>
        <w:t xml:space="preserve"> be made regarding life support. Does the patient want to be on life support? Will there be a chance of recovery? If the patient recovers, what will his quality of life be? Who is responsible for making these decisions? In most </w:t>
      </w:r>
      <w:r>
        <w:rPr>
          <w:rFonts w:ascii="Times New Roman" w:hAnsi="Times New Roman"/>
          <w:sz w:val="24"/>
          <w:szCs w:val="24"/>
        </w:rPr>
        <w:t xml:space="preserve">cases involving life support, these questions are difficult to answer, if they are answerable at all. The intensity increases however, when the patient has cognitive and neurological impairment to begin with. This is so in the case of George. George is a </w:t>
      </w:r>
      <w:proofErr w:type="gramStart"/>
      <w:r>
        <w:rPr>
          <w:rFonts w:ascii="Times New Roman" w:hAnsi="Times New Roman"/>
          <w:sz w:val="24"/>
          <w:szCs w:val="24"/>
        </w:rPr>
        <w:t>2</w:t>
      </w:r>
      <w:r>
        <w:rPr>
          <w:rFonts w:ascii="Times New Roman" w:hAnsi="Times New Roman"/>
          <w:sz w:val="24"/>
          <w:szCs w:val="24"/>
        </w:rPr>
        <w:t>4 year-old</w:t>
      </w:r>
      <w:proofErr w:type="gramEnd"/>
      <w:r>
        <w:rPr>
          <w:rFonts w:ascii="Times New Roman" w:hAnsi="Times New Roman"/>
          <w:sz w:val="24"/>
          <w:szCs w:val="24"/>
        </w:rPr>
        <w:t xml:space="preserve"> male with Down Syndrome. He is currently on life support after he suffered an accident that resulted in traumatic brain injury. His closest relatives are his parents, who are now asking these questions. It is the hospital that is wondering now i</w:t>
      </w:r>
      <w:r>
        <w:rPr>
          <w:rFonts w:ascii="Times New Roman" w:hAnsi="Times New Roman"/>
          <w:sz w:val="24"/>
          <w:szCs w:val="24"/>
        </w:rPr>
        <w:t>f they can make life support decisions for George at all. It is the hospital</w:t>
      </w:r>
      <w:r>
        <w:rPr>
          <w:rFonts w:ascii="Times New Roman" w:hAnsi="Times New Roman"/>
          <w:sz w:val="24"/>
          <w:szCs w:val="24"/>
        </w:rPr>
        <w:t>’</w:t>
      </w:r>
      <w:r>
        <w:rPr>
          <w:rFonts w:ascii="Times New Roman" w:hAnsi="Times New Roman"/>
          <w:sz w:val="24"/>
          <w:szCs w:val="24"/>
        </w:rPr>
        <w:t>s view that for George</w:t>
      </w:r>
      <w:r>
        <w:rPr>
          <w:rFonts w:ascii="Times New Roman" w:hAnsi="Times New Roman"/>
          <w:sz w:val="24"/>
          <w:szCs w:val="24"/>
        </w:rPr>
        <w:t>’</w:t>
      </w:r>
      <w:r>
        <w:rPr>
          <w:rFonts w:ascii="Times New Roman" w:hAnsi="Times New Roman"/>
          <w:sz w:val="24"/>
          <w:szCs w:val="24"/>
        </w:rPr>
        <w:t>s parents to withdraw life support, they must prove that</w:t>
      </w:r>
      <w:r>
        <w:rPr>
          <w:rFonts w:ascii="Times New Roman" w:hAnsi="Times New Roman"/>
          <w:sz w:val="24"/>
          <w:szCs w:val="24"/>
        </w:rPr>
        <w:t>’</w:t>
      </w:r>
      <w:r>
        <w:rPr>
          <w:rFonts w:ascii="Times New Roman" w:hAnsi="Times New Roman"/>
          <w:sz w:val="24"/>
          <w:szCs w:val="24"/>
        </w:rPr>
        <w:t>s what George wanted. I absolutely agree.</w:t>
      </w:r>
    </w:p>
    <w:p w14:paraId="41AD2537"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Down Syndrome is a very complicated disease. As a chromo</w:t>
      </w:r>
      <w:r>
        <w:rPr>
          <w:rFonts w:ascii="Times New Roman" w:eastAsia="Times New Roman" w:hAnsi="Times New Roman" w:cs="Times New Roman"/>
          <w:sz w:val="24"/>
          <w:szCs w:val="24"/>
        </w:rPr>
        <w:t xml:space="preserve">somal disorder, the disease is obviously present from the start of life. It requires </w:t>
      </w:r>
      <w:proofErr w:type="spellStart"/>
      <w:proofErr w:type="gramStart"/>
      <w:r>
        <w:rPr>
          <w:rFonts w:ascii="Times New Roman" w:eastAsia="Times New Roman" w:hAnsi="Times New Roman" w:cs="Times New Roman"/>
          <w:sz w:val="24"/>
          <w:szCs w:val="24"/>
        </w:rPr>
        <w:t>life long</w:t>
      </w:r>
      <w:proofErr w:type="spellEnd"/>
      <w:proofErr w:type="gramEnd"/>
      <w:r>
        <w:rPr>
          <w:rFonts w:ascii="Times New Roman" w:eastAsia="Times New Roman" w:hAnsi="Times New Roman" w:cs="Times New Roman"/>
          <w:sz w:val="24"/>
          <w:szCs w:val="24"/>
        </w:rPr>
        <w:t xml:space="preserve"> care that is not only intensive, but individualized to fit the needs of the patient. Down Syndrome is virtually different for every patient. Some are so affected</w:t>
      </w:r>
      <w:r>
        <w:rPr>
          <w:rFonts w:ascii="Times New Roman" w:eastAsia="Times New Roman" w:hAnsi="Times New Roman" w:cs="Times New Roman"/>
          <w:sz w:val="24"/>
          <w:szCs w:val="24"/>
        </w:rPr>
        <w:t xml:space="preserve"> that they may not speak clearly, read well, have proper motor functioning, and of course have cognitive difficulties inhibiting them to comprehend life </w:t>
      </w:r>
      <w:r>
        <w:rPr>
          <w:rFonts w:ascii="Times New Roman" w:eastAsia="Times New Roman" w:hAnsi="Times New Roman" w:cs="Times New Roman"/>
          <w:sz w:val="24"/>
          <w:szCs w:val="24"/>
        </w:rPr>
        <w:lastRenderedPageBreak/>
        <w:t>challenges and make proper decisions. However, not all Down Syndrome patients have such difficulties. M</w:t>
      </w:r>
      <w:r>
        <w:rPr>
          <w:rFonts w:ascii="Times New Roman" w:eastAsia="Times New Roman" w:hAnsi="Times New Roman" w:cs="Times New Roman"/>
          <w:sz w:val="24"/>
          <w:szCs w:val="24"/>
        </w:rPr>
        <w:t xml:space="preserve">any </w:t>
      </w:r>
      <w:proofErr w:type="gramStart"/>
      <w:r>
        <w:rPr>
          <w:rFonts w:ascii="Times New Roman" w:eastAsia="Times New Roman" w:hAnsi="Times New Roman" w:cs="Times New Roman"/>
          <w:sz w:val="24"/>
          <w:szCs w:val="24"/>
        </w:rPr>
        <w:t>are able to</w:t>
      </w:r>
      <w:proofErr w:type="gramEnd"/>
      <w:r>
        <w:rPr>
          <w:rFonts w:ascii="Times New Roman" w:eastAsia="Times New Roman" w:hAnsi="Times New Roman" w:cs="Times New Roman"/>
          <w:sz w:val="24"/>
          <w:szCs w:val="24"/>
        </w:rPr>
        <w:t xml:space="preserve"> live independent lifestyles and have the ability to care for themselves as well as any other person. Many can excel in education, careers, sports, and the arts. This may very well be the case with our patient George.</w:t>
      </w:r>
    </w:p>
    <w:p w14:paraId="2A79933C"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Down Syndrome patients</w:t>
      </w:r>
      <w:r>
        <w:rPr>
          <w:rFonts w:ascii="Times New Roman" w:eastAsia="Times New Roman" w:hAnsi="Times New Roman" w:cs="Times New Roman"/>
          <w:sz w:val="24"/>
          <w:szCs w:val="24"/>
        </w:rPr>
        <w:t>, like all people, thrive with a healthy and consistent support group. In this case, George</w:t>
      </w:r>
      <w:r>
        <w:rPr>
          <w:rFonts w:ascii="Times New Roman" w:hAnsi="Times New Roman"/>
          <w:sz w:val="24"/>
          <w:szCs w:val="24"/>
        </w:rPr>
        <w:t>’</w:t>
      </w:r>
      <w:r>
        <w:rPr>
          <w:rFonts w:ascii="Times New Roman" w:hAnsi="Times New Roman"/>
          <w:sz w:val="24"/>
          <w:szCs w:val="24"/>
        </w:rPr>
        <w:t>s parents seem to be his closest source of support. Like all parents, they have the authority and responsibility to make decisions for their children. George is a f</w:t>
      </w:r>
      <w:r>
        <w:rPr>
          <w:rFonts w:ascii="Times New Roman" w:hAnsi="Times New Roman"/>
          <w:sz w:val="24"/>
          <w:szCs w:val="24"/>
        </w:rPr>
        <w:t xml:space="preserve">ully grown adult. There is no background information that shows he cannot make </w:t>
      </w:r>
      <w:proofErr w:type="gramStart"/>
      <w:r>
        <w:rPr>
          <w:rFonts w:ascii="Times New Roman" w:hAnsi="Times New Roman"/>
          <w:sz w:val="24"/>
          <w:szCs w:val="24"/>
        </w:rPr>
        <w:t>all of</w:t>
      </w:r>
      <w:proofErr w:type="gramEnd"/>
      <w:r>
        <w:rPr>
          <w:rFonts w:ascii="Times New Roman" w:hAnsi="Times New Roman"/>
          <w:sz w:val="24"/>
          <w:szCs w:val="24"/>
        </w:rPr>
        <w:t xml:space="preserve"> the decisions for himself much like any other adult, including life support decisions. His parents, to withdraw life support, must </w:t>
      </w:r>
      <w:r>
        <w:rPr>
          <w:rFonts w:ascii="Times New Roman" w:hAnsi="Times New Roman"/>
          <w:sz w:val="24"/>
          <w:szCs w:val="24"/>
        </w:rPr>
        <w:t>“</w:t>
      </w:r>
      <w:r>
        <w:rPr>
          <w:rFonts w:ascii="Times New Roman" w:hAnsi="Times New Roman"/>
          <w:sz w:val="24"/>
          <w:szCs w:val="24"/>
        </w:rPr>
        <w:t>present convincing evidence</w:t>
      </w:r>
      <w:r>
        <w:rPr>
          <w:rFonts w:ascii="Times New Roman" w:hAnsi="Times New Roman"/>
          <w:sz w:val="24"/>
          <w:szCs w:val="24"/>
        </w:rPr>
        <w:t xml:space="preserve">” </w:t>
      </w:r>
      <w:r>
        <w:rPr>
          <w:rFonts w:ascii="Times New Roman" w:hAnsi="Times New Roman"/>
          <w:sz w:val="24"/>
          <w:szCs w:val="24"/>
        </w:rPr>
        <w:t>that eith</w:t>
      </w:r>
      <w:r>
        <w:rPr>
          <w:rFonts w:ascii="Times New Roman" w:hAnsi="Times New Roman"/>
          <w:sz w:val="24"/>
          <w:szCs w:val="24"/>
        </w:rPr>
        <w:t>er George didn</w:t>
      </w:r>
      <w:r>
        <w:rPr>
          <w:rFonts w:ascii="Times New Roman" w:hAnsi="Times New Roman"/>
          <w:sz w:val="24"/>
          <w:szCs w:val="24"/>
        </w:rPr>
        <w:t>’</w:t>
      </w:r>
      <w:r>
        <w:rPr>
          <w:rFonts w:ascii="Times New Roman" w:hAnsi="Times New Roman"/>
          <w:sz w:val="24"/>
          <w:szCs w:val="24"/>
        </w:rPr>
        <w:t xml:space="preserve">t wish to remain on life support, and/or that George did not have the cognitive ability to make such a decision. This is a proper burden that all family members have, and a rite for all adults on life support, </w:t>
      </w:r>
      <w:proofErr w:type="gramStart"/>
      <w:r>
        <w:rPr>
          <w:rFonts w:ascii="Times New Roman" w:hAnsi="Times New Roman"/>
          <w:sz w:val="24"/>
          <w:szCs w:val="24"/>
        </w:rPr>
        <w:t>whether or not</w:t>
      </w:r>
      <w:proofErr w:type="gramEnd"/>
      <w:r>
        <w:rPr>
          <w:rFonts w:ascii="Times New Roman" w:hAnsi="Times New Roman"/>
          <w:sz w:val="24"/>
          <w:szCs w:val="24"/>
        </w:rPr>
        <w:t xml:space="preserve"> they have Down S</w:t>
      </w:r>
      <w:r>
        <w:rPr>
          <w:rFonts w:ascii="Times New Roman" w:hAnsi="Times New Roman"/>
          <w:sz w:val="24"/>
          <w:szCs w:val="24"/>
        </w:rPr>
        <w:t xml:space="preserve">yndrome. </w:t>
      </w:r>
    </w:p>
    <w:p w14:paraId="15123FFD"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There is an overwhelming and even inspiring number of persons with Down Syndrome that have made great successes in life. Much of these are in cinema, and some even achieved so much as to intwine themselves into the fabric of the zeitgeist, espec</w:t>
      </w:r>
      <w:r>
        <w:rPr>
          <w:rFonts w:ascii="Times New Roman" w:eastAsia="Times New Roman" w:hAnsi="Times New Roman" w:cs="Times New Roman"/>
          <w:sz w:val="24"/>
          <w:szCs w:val="24"/>
        </w:rPr>
        <w:t xml:space="preserve">ially in the Western world. Most famous and notarized is Chris Burke, whom most will consider the star of </w:t>
      </w:r>
      <w:r>
        <w:rPr>
          <w:rFonts w:ascii="Times New Roman" w:hAnsi="Times New Roman"/>
          <w:sz w:val="24"/>
          <w:szCs w:val="24"/>
        </w:rPr>
        <w:t>“</w:t>
      </w:r>
      <w:r>
        <w:rPr>
          <w:rFonts w:ascii="Times New Roman" w:hAnsi="Times New Roman"/>
          <w:sz w:val="24"/>
          <w:szCs w:val="24"/>
        </w:rPr>
        <w:t>Life Goes on</w:t>
      </w:r>
      <w:r>
        <w:rPr>
          <w:rFonts w:ascii="Times New Roman" w:hAnsi="Times New Roman"/>
          <w:sz w:val="24"/>
          <w:szCs w:val="24"/>
        </w:rPr>
        <w:t xml:space="preserve">” </w:t>
      </w:r>
      <w:r>
        <w:rPr>
          <w:rFonts w:ascii="Times New Roman" w:hAnsi="Times New Roman"/>
          <w:sz w:val="24"/>
          <w:szCs w:val="24"/>
        </w:rPr>
        <w:t xml:space="preserve">playing the character of </w:t>
      </w:r>
      <w:r>
        <w:rPr>
          <w:rFonts w:ascii="Times New Roman" w:hAnsi="Times New Roman"/>
          <w:sz w:val="24"/>
          <w:szCs w:val="24"/>
        </w:rPr>
        <w:t>“</w:t>
      </w:r>
      <w:r>
        <w:rPr>
          <w:rFonts w:ascii="Times New Roman" w:hAnsi="Times New Roman"/>
          <w:sz w:val="24"/>
          <w:szCs w:val="24"/>
        </w:rPr>
        <w:t xml:space="preserve">Charles </w:t>
      </w:r>
      <w:r>
        <w:rPr>
          <w:rFonts w:ascii="Times New Roman" w:hAnsi="Times New Roman"/>
          <w:sz w:val="24"/>
          <w:szCs w:val="24"/>
        </w:rPr>
        <w:t>‘</w:t>
      </w:r>
      <w:r>
        <w:rPr>
          <w:rFonts w:ascii="Times New Roman" w:hAnsi="Times New Roman"/>
          <w:sz w:val="24"/>
          <w:szCs w:val="24"/>
        </w:rPr>
        <w:t>Corky</w:t>
      </w:r>
      <w:r>
        <w:rPr>
          <w:rFonts w:ascii="Times New Roman" w:hAnsi="Times New Roman"/>
          <w:sz w:val="24"/>
          <w:szCs w:val="24"/>
        </w:rPr>
        <w:t xml:space="preserve">’ </w:t>
      </w:r>
      <w:r>
        <w:rPr>
          <w:rFonts w:ascii="Times New Roman" w:hAnsi="Times New Roman"/>
          <w:sz w:val="24"/>
          <w:szCs w:val="24"/>
        </w:rPr>
        <w:t>Thatcher</w:t>
      </w:r>
      <w:r>
        <w:rPr>
          <w:rFonts w:ascii="Times New Roman" w:hAnsi="Times New Roman"/>
          <w:sz w:val="24"/>
          <w:szCs w:val="24"/>
        </w:rPr>
        <w:t>”</w:t>
      </w:r>
      <w:r>
        <w:rPr>
          <w:rFonts w:ascii="Times New Roman" w:hAnsi="Times New Roman"/>
          <w:sz w:val="24"/>
          <w:szCs w:val="24"/>
        </w:rPr>
        <w:t xml:space="preserve">. Most recently, Jamie Brewer, whose roles in </w:t>
      </w:r>
      <w:r>
        <w:rPr>
          <w:rFonts w:ascii="Times New Roman" w:hAnsi="Times New Roman"/>
          <w:sz w:val="24"/>
          <w:szCs w:val="24"/>
        </w:rPr>
        <w:t>“</w:t>
      </w:r>
      <w:r>
        <w:rPr>
          <w:rFonts w:ascii="Times New Roman" w:hAnsi="Times New Roman"/>
          <w:sz w:val="24"/>
          <w:szCs w:val="24"/>
        </w:rPr>
        <w:t>America Horror Story: Coven</w:t>
      </w:r>
      <w:r>
        <w:rPr>
          <w:rFonts w:ascii="Times New Roman" w:hAnsi="Times New Roman"/>
          <w:sz w:val="24"/>
          <w:szCs w:val="24"/>
        </w:rPr>
        <w:t xml:space="preserve">” </w:t>
      </w:r>
      <w:r>
        <w:rPr>
          <w:rFonts w:ascii="Times New Roman" w:hAnsi="Times New Roman"/>
          <w:sz w:val="24"/>
          <w:szCs w:val="24"/>
        </w:rPr>
        <w:t xml:space="preserve">and </w:t>
      </w:r>
      <w:r>
        <w:rPr>
          <w:rFonts w:ascii="Times New Roman" w:hAnsi="Times New Roman"/>
          <w:sz w:val="24"/>
          <w:szCs w:val="24"/>
        </w:rPr>
        <w:t>“</w:t>
      </w:r>
      <w:r>
        <w:rPr>
          <w:rFonts w:ascii="Times New Roman" w:hAnsi="Times New Roman"/>
          <w:sz w:val="24"/>
          <w:szCs w:val="24"/>
        </w:rPr>
        <w:t>American Horror Story: Murder House</w:t>
      </w:r>
      <w:r>
        <w:rPr>
          <w:rFonts w:ascii="Times New Roman" w:hAnsi="Times New Roman"/>
          <w:sz w:val="24"/>
          <w:szCs w:val="24"/>
        </w:rPr>
        <w:t xml:space="preserve">” </w:t>
      </w:r>
      <w:r>
        <w:rPr>
          <w:rFonts w:ascii="Times New Roman" w:hAnsi="Times New Roman"/>
          <w:sz w:val="24"/>
          <w:szCs w:val="24"/>
        </w:rPr>
        <w:t>has landed her as a household name, and considered by many to be one of the most iconic and talented actress in the series. Those with Dow</w:t>
      </w:r>
      <w:r>
        <w:rPr>
          <w:rFonts w:ascii="Times New Roman" w:hAnsi="Times New Roman"/>
          <w:sz w:val="24"/>
          <w:szCs w:val="24"/>
        </w:rPr>
        <w:t xml:space="preserve">n Syndrome can have fully successful lives, so much so, that they outshine those who which have no disorder. There are dozens of actors with Down Syndrome </w:t>
      </w:r>
      <w:r>
        <w:rPr>
          <w:rFonts w:ascii="Times New Roman" w:hAnsi="Times New Roman"/>
          <w:sz w:val="24"/>
          <w:szCs w:val="24"/>
        </w:rPr>
        <w:lastRenderedPageBreak/>
        <w:t>that inspire millions, and are awarded for their work, whether in the entertainment field or other. I</w:t>
      </w:r>
      <w:r>
        <w:rPr>
          <w:rFonts w:ascii="Times New Roman" w:hAnsi="Times New Roman"/>
          <w:sz w:val="24"/>
          <w:szCs w:val="24"/>
        </w:rPr>
        <w:t>n western culture, these men and women are not only revered, but cherished.</w:t>
      </w:r>
    </w:p>
    <w:p w14:paraId="782D828E"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It is clear that the</w:t>
      </w:r>
      <w:proofErr w:type="gramEnd"/>
      <w:r>
        <w:rPr>
          <w:rFonts w:ascii="Times New Roman" w:eastAsia="Times New Roman" w:hAnsi="Times New Roman" w:cs="Times New Roman"/>
          <w:sz w:val="24"/>
          <w:szCs w:val="24"/>
        </w:rPr>
        <w:t xml:space="preserve"> hospital is indeed applying deontological ethics as a foundation for their need of convincing evidence. This is a burden that needs to be met for all of those</w:t>
      </w:r>
      <w:r>
        <w:rPr>
          <w:rFonts w:ascii="Times New Roman" w:eastAsia="Times New Roman" w:hAnsi="Times New Roman" w:cs="Times New Roman"/>
          <w:sz w:val="24"/>
          <w:szCs w:val="24"/>
        </w:rPr>
        <w:t xml:space="preserve"> in such a situation. It implies that human rights are universal until a certain issue is presented that labels that person an exception. This is one pillar that deontological ethics are built on. The good of the whole does not outweigh the rites of the in</w:t>
      </w:r>
      <w:r>
        <w:rPr>
          <w:rFonts w:ascii="Times New Roman" w:eastAsia="Times New Roman" w:hAnsi="Times New Roman" w:cs="Times New Roman"/>
          <w:sz w:val="24"/>
          <w:szCs w:val="24"/>
        </w:rPr>
        <w:t>dividual. In this case, George</w:t>
      </w:r>
      <w:r>
        <w:rPr>
          <w:rFonts w:ascii="Times New Roman" w:hAnsi="Times New Roman"/>
          <w:sz w:val="24"/>
          <w:szCs w:val="24"/>
        </w:rPr>
        <w:t>’</w:t>
      </w:r>
      <w:r>
        <w:rPr>
          <w:rFonts w:ascii="Times New Roman" w:hAnsi="Times New Roman"/>
          <w:sz w:val="24"/>
          <w:szCs w:val="24"/>
        </w:rPr>
        <w:t>s parents, despite their motives, do not have the authority to make decisions for George.</w:t>
      </w:r>
    </w:p>
    <w:p w14:paraId="04F683E4"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Even though background is limited regarding George</w:t>
      </w:r>
      <w:r>
        <w:rPr>
          <w:rFonts w:ascii="Times New Roman" w:hAnsi="Times New Roman"/>
          <w:sz w:val="24"/>
          <w:szCs w:val="24"/>
        </w:rPr>
        <w:t>’</w:t>
      </w:r>
      <w:r>
        <w:rPr>
          <w:rFonts w:ascii="Times New Roman" w:hAnsi="Times New Roman"/>
          <w:sz w:val="24"/>
          <w:szCs w:val="24"/>
        </w:rPr>
        <w:t>s level of disability, from the little that we do know there are certain assumption</w:t>
      </w:r>
      <w:r>
        <w:rPr>
          <w:rFonts w:ascii="Times New Roman" w:hAnsi="Times New Roman"/>
          <w:sz w:val="24"/>
          <w:szCs w:val="24"/>
        </w:rPr>
        <w:t>s that can be made. The first being that George is not married, which is why the burden of proof lies with his parents. We can also see that his parents are his closest living relatives, and most likely are his primary support group. However, George is a f</w:t>
      </w:r>
      <w:r>
        <w:rPr>
          <w:rFonts w:ascii="Times New Roman" w:hAnsi="Times New Roman"/>
          <w:sz w:val="24"/>
          <w:szCs w:val="24"/>
        </w:rPr>
        <w:t>ully grown adult, and so it is reasonable to assume that since George was born with this disorder, and he has been an adult for some time, his functioning wasn</w:t>
      </w:r>
      <w:r>
        <w:rPr>
          <w:rFonts w:ascii="Times New Roman" w:hAnsi="Times New Roman"/>
          <w:sz w:val="24"/>
          <w:szCs w:val="24"/>
        </w:rPr>
        <w:t>’</w:t>
      </w:r>
      <w:r>
        <w:rPr>
          <w:rFonts w:ascii="Times New Roman" w:hAnsi="Times New Roman"/>
          <w:sz w:val="24"/>
          <w:szCs w:val="24"/>
        </w:rPr>
        <w:t xml:space="preserve">t impaired enough to the point that permanent guardianship was necessary. It is also reasonable </w:t>
      </w:r>
      <w:r>
        <w:rPr>
          <w:rFonts w:ascii="Times New Roman" w:hAnsi="Times New Roman"/>
          <w:sz w:val="24"/>
          <w:szCs w:val="24"/>
        </w:rPr>
        <w:t>to assume that he did have enough wherewithal to make important life decisions, such as considering a DNR.</w:t>
      </w:r>
    </w:p>
    <w:p w14:paraId="002E7083"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Do Not Resuscitate orders have very restrictive guidelines to be applied to a patient, both in an ethical policy sense and a legal sense. DNR</w:t>
      </w:r>
      <w:r>
        <w:rPr>
          <w:rFonts w:ascii="Times New Roman" w:hAnsi="Times New Roman"/>
          <w:sz w:val="24"/>
          <w:szCs w:val="24"/>
        </w:rPr>
        <w:t>’</w:t>
      </w:r>
      <w:r>
        <w:rPr>
          <w:rFonts w:ascii="Times New Roman" w:hAnsi="Times New Roman"/>
          <w:sz w:val="24"/>
          <w:szCs w:val="24"/>
        </w:rPr>
        <w:t>s must</w:t>
      </w:r>
      <w:r>
        <w:rPr>
          <w:rFonts w:ascii="Times New Roman" w:hAnsi="Times New Roman"/>
          <w:sz w:val="24"/>
          <w:szCs w:val="24"/>
        </w:rPr>
        <w:t xml:space="preserve"> be completed by the individual while they are coherent and in a proper state of mind. This can be determined in </w:t>
      </w:r>
      <w:proofErr w:type="gramStart"/>
      <w:r>
        <w:rPr>
          <w:rFonts w:ascii="Times New Roman" w:hAnsi="Times New Roman"/>
          <w:sz w:val="24"/>
          <w:szCs w:val="24"/>
        </w:rPr>
        <w:t>a number of</w:t>
      </w:r>
      <w:proofErr w:type="gramEnd"/>
      <w:r>
        <w:rPr>
          <w:rFonts w:ascii="Times New Roman" w:hAnsi="Times New Roman"/>
          <w:sz w:val="24"/>
          <w:szCs w:val="24"/>
        </w:rPr>
        <w:t xml:space="preserve"> ways, varying by states or even the hospitals themselves. For example, in many states, when there is a cognitive or even a mental d</w:t>
      </w:r>
      <w:r>
        <w:rPr>
          <w:rFonts w:ascii="Times New Roman" w:hAnsi="Times New Roman"/>
          <w:sz w:val="24"/>
          <w:szCs w:val="24"/>
        </w:rPr>
        <w:t xml:space="preserve">isorder previously diagnosed, an evaluation must be done by a healthcare professional, usually a social worker. </w:t>
      </w:r>
      <w:proofErr w:type="gramStart"/>
      <w:r>
        <w:rPr>
          <w:rFonts w:ascii="Times New Roman" w:hAnsi="Times New Roman"/>
          <w:sz w:val="24"/>
          <w:szCs w:val="24"/>
        </w:rPr>
        <w:t>Also</w:t>
      </w:r>
      <w:proofErr w:type="gramEnd"/>
      <w:r>
        <w:rPr>
          <w:rFonts w:ascii="Times New Roman" w:hAnsi="Times New Roman"/>
          <w:sz w:val="24"/>
          <w:szCs w:val="24"/>
        </w:rPr>
        <w:t xml:space="preserve"> in some states, when a person is deemed unfit to make such a </w:t>
      </w:r>
      <w:r>
        <w:rPr>
          <w:rFonts w:ascii="Times New Roman" w:hAnsi="Times New Roman"/>
          <w:sz w:val="24"/>
          <w:szCs w:val="24"/>
        </w:rPr>
        <w:t>declaration</w:t>
      </w:r>
      <w:r>
        <w:rPr>
          <w:rFonts w:ascii="Times New Roman" w:hAnsi="Times New Roman"/>
          <w:sz w:val="24"/>
          <w:szCs w:val="24"/>
        </w:rPr>
        <w:t>, that is not the end all. That decision can further be contested b</w:t>
      </w:r>
      <w:r>
        <w:rPr>
          <w:rFonts w:ascii="Times New Roman" w:hAnsi="Times New Roman"/>
          <w:sz w:val="24"/>
          <w:szCs w:val="24"/>
        </w:rPr>
        <w:t xml:space="preserve">y </w:t>
      </w:r>
      <w:r>
        <w:rPr>
          <w:rFonts w:ascii="Times New Roman" w:hAnsi="Times New Roman"/>
          <w:sz w:val="24"/>
          <w:szCs w:val="24"/>
        </w:rPr>
        <w:lastRenderedPageBreak/>
        <w:t>the individual in the courts. In some states, DNR</w:t>
      </w:r>
      <w:r>
        <w:rPr>
          <w:rFonts w:ascii="Times New Roman" w:hAnsi="Times New Roman"/>
          <w:sz w:val="24"/>
          <w:szCs w:val="24"/>
        </w:rPr>
        <w:t>’</w:t>
      </w:r>
      <w:r>
        <w:rPr>
          <w:rFonts w:ascii="Times New Roman" w:hAnsi="Times New Roman"/>
          <w:sz w:val="24"/>
          <w:szCs w:val="24"/>
        </w:rPr>
        <w:t xml:space="preserve">s can be granted to individuals </w:t>
      </w:r>
      <w:proofErr w:type="gramStart"/>
      <w:r>
        <w:rPr>
          <w:rFonts w:ascii="Times New Roman" w:hAnsi="Times New Roman"/>
          <w:sz w:val="24"/>
          <w:szCs w:val="24"/>
        </w:rPr>
        <w:t>whom</w:t>
      </w:r>
      <w:proofErr w:type="gramEnd"/>
      <w:r>
        <w:rPr>
          <w:rFonts w:ascii="Times New Roman" w:hAnsi="Times New Roman"/>
          <w:sz w:val="24"/>
          <w:szCs w:val="24"/>
        </w:rPr>
        <w:t xml:space="preserve"> do not have the proper cognitive or intellectual reasoning skills by their legal guardian. Some states even allow this to be applied to children (some states do not gr</w:t>
      </w:r>
      <w:r>
        <w:rPr>
          <w:rFonts w:ascii="Times New Roman" w:hAnsi="Times New Roman"/>
          <w:sz w:val="24"/>
          <w:szCs w:val="24"/>
        </w:rPr>
        <w:t xml:space="preserve">ant DNRs to children at all). In many states, Down Syndrome patients </w:t>
      </w:r>
      <w:proofErr w:type="gramStart"/>
      <w:r>
        <w:rPr>
          <w:rFonts w:ascii="Times New Roman" w:hAnsi="Times New Roman"/>
          <w:sz w:val="24"/>
          <w:szCs w:val="24"/>
        </w:rPr>
        <w:t>are allowed to</w:t>
      </w:r>
      <w:proofErr w:type="gramEnd"/>
      <w:r>
        <w:rPr>
          <w:rFonts w:ascii="Times New Roman" w:hAnsi="Times New Roman"/>
          <w:sz w:val="24"/>
          <w:szCs w:val="24"/>
        </w:rPr>
        <w:t xml:space="preserve"> file their own DNR decelerations, with proper evaluation from appropriate and trained healthcare professionals. However, for many states, guardianship and power of attorney</w:t>
      </w:r>
      <w:r>
        <w:rPr>
          <w:rFonts w:ascii="Times New Roman" w:hAnsi="Times New Roman"/>
          <w:sz w:val="24"/>
          <w:szCs w:val="24"/>
        </w:rPr>
        <w:t xml:space="preserve"> are not the same thing, as each have different roles and responsibilities. For nearly all states, power of attorney can be handed over freely, so long as the petitioner is deemed able to understand the consequences. This, like most legal procedures, apply</w:t>
      </w:r>
      <w:r>
        <w:rPr>
          <w:rFonts w:ascii="Times New Roman" w:hAnsi="Times New Roman"/>
          <w:sz w:val="24"/>
          <w:szCs w:val="24"/>
        </w:rPr>
        <w:t xml:space="preserve"> deontological ethical theory and contrast that to congressional, local, and constitutional law to make determinations. In sum, the individual</w:t>
      </w:r>
      <w:r>
        <w:rPr>
          <w:rFonts w:ascii="Times New Roman" w:hAnsi="Times New Roman"/>
          <w:sz w:val="24"/>
          <w:szCs w:val="24"/>
        </w:rPr>
        <w:t>’</w:t>
      </w:r>
      <w:r>
        <w:rPr>
          <w:rFonts w:ascii="Times New Roman" w:hAnsi="Times New Roman"/>
          <w:sz w:val="24"/>
          <w:szCs w:val="24"/>
        </w:rPr>
        <w:t>s rights, even as a child, is considered despite any disease and disability they may have. The burden of proof fa</w:t>
      </w:r>
      <w:r>
        <w:rPr>
          <w:rFonts w:ascii="Times New Roman" w:hAnsi="Times New Roman"/>
          <w:sz w:val="24"/>
          <w:szCs w:val="24"/>
        </w:rPr>
        <w:t>lls on the caregivers, and that burden is great.</w:t>
      </w:r>
    </w:p>
    <w:p w14:paraId="109F0B4A"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One common argument used for withdrawing life support is considering the quality of life of the patient. In cases where dependency is present before the patients decline to life support, the quality of life</w:t>
      </w:r>
      <w:r>
        <w:rPr>
          <w:rFonts w:ascii="Times New Roman" w:eastAsia="Times New Roman" w:hAnsi="Times New Roman" w:cs="Times New Roman"/>
          <w:sz w:val="24"/>
          <w:szCs w:val="24"/>
        </w:rPr>
        <w:t xml:space="preserve"> for the guardians also have weight. A Utilitarian ethical viewpoint would consider this heavily. If George recovers, how would his life be while living with both Down Syndrome and brain trauma? How would his parent</w:t>
      </w:r>
      <w:r>
        <w:rPr>
          <w:rFonts w:ascii="Times New Roman" w:hAnsi="Times New Roman"/>
          <w:sz w:val="24"/>
          <w:szCs w:val="24"/>
        </w:rPr>
        <w:t>’</w:t>
      </w:r>
      <w:r>
        <w:rPr>
          <w:rFonts w:ascii="Times New Roman" w:hAnsi="Times New Roman"/>
          <w:sz w:val="24"/>
          <w:szCs w:val="24"/>
        </w:rPr>
        <w:t xml:space="preserve">s cope with the major responsibility of </w:t>
      </w:r>
      <w:r>
        <w:rPr>
          <w:rFonts w:ascii="Times New Roman" w:hAnsi="Times New Roman"/>
          <w:sz w:val="24"/>
          <w:szCs w:val="24"/>
        </w:rPr>
        <w:t>his care? Can they cope? Any empathetic person can respect these considerations. The utilitarian model would lean towards withdrawing life support for these reasons.</w:t>
      </w:r>
    </w:p>
    <w:p w14:paraId="4080C41E" w14:textId="49097E05"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It is true that those with Down Syndrome have more than just cognitive impairment. Care i</w:t>
      </w:r>
      <w:r>
        <w:rPr>
          <w:rFonts w:ascii="Times New Roman" w:eastAsia="Times New Roman" w:hAnsi="Times New Roman" w:cs="Times New Roman"/>
          <w:sz w:val="24"/>
          <w:szCs w:val="24"/>
        </w:rPr>
        <w:t xml:space="preserve">n general </w:t>
      </w:r>
      <w:proofErr w:type="gramStart"/>
      <w:r>
        <w:rPr>
          <w:rFonts w:ascii="Times New Roman" w:eastAsia="Times New Roman" w:hAnsi="Times New Roman" w:cs="Times New Roman"/>
          <w:sz w:val="24"/>
          <w:szCs w:val="24"/>
        </w:rPr>
        <w:t>has to</w:t>
      </w:r>
      <w:proofErr w:type="gramEnd"/>
      <w:r>
        <w:rPr>
          <w:rFonts w:ascii="Times New Roman" w:eastAsia="Times New Roman" w:hAnsi="Times New Roman" w:cs="Times New Roman"/>
          <w:sz w:val="24"/>
          <w:szCs w:val="24"/>
        </w:rPr>
        <w:t xml:space="preserve"> be specifically tailored to an individual with Down Syndrome. Palliative care for these individuals is complex and intensive to say the least. Some patients cannot adequately express their issues, such as chronic pain, depression, newly de</w:t>
      </w:r>
      <w:r>
        <w:rPr>
          <w:rFonts w:ascii="Times New Roman" w:eastAsia="Times New Roman" w:hAnsi="Times New Roman" w:cs="Times New Roman"/>
          <w:sz w:val="24"/>
          <w:szCs w:val="24"/>
        </w:rPr>
        <w:t xml:space="preserve">veloped grievances, or even </w:t>
      </w:r>
      <w:r>
        <w:rPr>
          <w:rFonts w:ascii="Times New Roman" w:eastAsia="Times New Roman" w:hAnsi="Times New Roman" w:cs="Times New Roman"/>
          <w:sz w:val="24"/>
          <w:szCs w:val="24"/>
        </w:rPr>
        <w:lastRenderedPageBreak/>
        <w:t xml:space="preserve">express improvement. They may also experience a quicker grade of muscle loss and mobility issues. Even </w:t>
      </w:r>
      <w:r w:rsidR="00016409">
        <w:rPr>
          <w:rFonts w:ascii="Times New Roman" w:eastAsia="Times New Roman" w:hAnsi="Times New Roman" w:cs="Times New Roman"/>
          <w:sz w:val="24"/>
          <w:szCs w:val="24"/>
        </w:rPr>
        <w:t>incontinence</w:t>
      </w:r>
      <w:r>
        <w:rPr>
          <w:rFonts w:ascii="Times New Roman" w:eastAsia="Times New Roman" w:hAnsi="Times New Roman" w:cs="Times New Roman"/>
          <w:sz w:val="24"/>
          <w:szCs w:val="24"/>
        </w:rPr>
        <w:t xml:space="preserve"> is frequently observed, as well as cardiovascular issues such as frequent clotting and high blood pressure. Pain</w:t>
      </w:r>
      <w:r>
        <w:rPr>
          <w:rFonts w:ascii="Times New Roman" w:eastAsia="Times New Roman" w:hAnsi="Times New Roman" w:cs="Times New Roman"/>
          <w:sz w:val="24"/>
          <w:szCs w:val="24"/>
        </w:rPr>
        <w:t xml:space="preserve"> may also be ignored and thus not reported by the patient, leading to complications that may be overlooked, such as broken bones, angina, or even heart attack. Strokes are also frequently overlooked. Whether it is hospice, post-op care, or palliative care </w:t>
      </w:r>
      <w:r>
        <w:rPr>
          <w:rFonts w:ascii="Times New Roman" w:eastAsia="Times New Roman" w:hAnsi="Times New Roman" w:cs="Times New Roman"/>
          <w:sz w:val="24"/>
          <w:szCs w:val="24"/>
        </w:rPr>
        <w:t xml:space="preserve">in its most general form, it takes a </w:t>
      </w:r>
      <w:proofErr w:type="spellStart"/>
      <w:r>
        <w:rPr>
          <w:rFonts w:ascii="Times New Roman" w:eastAsia="Times New Roman" w:hAnsi="Times New Roman" w:cs="Times New Roman"/>
          <w:sz w:val="24"/>
          <w:szCs w:val="24"/>
        </w:rPr>
        <w:t>well trained</w:t>
      </w:r>
      <w:proofErr w:type="spellEnd"/>
      <w:r>
        <w:rPr>
          <w:rFonts w:ascii="Times New Roman" w:eastAsia="Times New Roman" w:hAnsi="Times New Roman" w:cs="Times New Roman"/>
          <w:sz w:val="24"/>
          <w:szCs w:val="24"/>
        </w:rPr>
        <w:t>, well educated, and experienced healthcare provider with intuitive and knowledgeable observation skills to provide such care.</w:t>
      </w:r>
    </w:p>
    <w:p w14:paraId="26F07784" w14:textId="77777777" w:rsidR="006B719B" w:rsidRDefault="006B719B">
      <w:pPr>
        <w:pStyle w:val="Body"/>
        <w:spacing w:line="480" w:lineRule="auto"/>
        <w:rPr>
          <w:rFonts w:ascii="Times New Roman" w:eastAsia="Times New Roman" w:hAnsi="Times New Roman" w:cs="Times New Roman"/>
          <w:sz w:val="24"/>
          <w:szCs w:val="24"/>
        </w:rPr>
      </w:pPr>
    </w:p>
    <w:p w14:paraId="7225CCFB"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Considering the complications that is commonly associated with Down Syndrome p</w:t>
      </w:r>
      <w:r>
        <w:rPr>
          <w:rFonts w:ascii="Times New Roman" w:eastAsia="Times New Roman" w:hAnsi="Times New Roman" w:cs="Times New Roman"/>
          <w:sz w:val="24"/>
          <w:szCs w:val="24"/>
        </w:rPr>
        <w:t>atients, a utilitarian ethical model would most likely consider George</w:t>
      </w:r>
      <w:r>
        <w:rPr>
          <w:rFonts w:ascii="Times New Roman" w:hAnsi="Times New Roman"/>
          <w:sz w:val="24"/>
          <w:szCs w:val="24"/>
        </w:rPr>
        <w:t>’</w:t>
      </w:r>
      <w:r>
        <w:rPr>
          <w:rFonts w:ascii="Times New Roman" w:hAnsi="Times New Roman"/>
          <w:sz w:val="24"/>
          <w:szCs w:val="24"/>
        </w:rPr>
        <w:t xml:space="preserve">s palliative care as an adequate argument in advocating withdrawal of life support. To the </w:t>
      </w:r>
      <w:r>
        <w:rPr>
          <w:rFonts w:ascii="Times New Roman" w:hAnsi="Times New Roman"/>
          <w:sz w:val="24"/>
          <w:szCs w:val="24"/>
          <w:lang w:val="it-IT"/>
        </w:rPr>
        <w:t>Utilitarian</w:t>
      </w:r>
      <w:r>
        <w:rPr>
          <w:rFonts w:ascii="Times New Roman" w:hAnsi="Times New Roman"/>
          <w:sz w:val="24"/>
          <w:szCs w:val="24"/>
        </w:rPr>
        <w:t>, the care is too extensive and intensive to give George and his parents a fulfilli</w:t>
      </w:r>
      <w:r>
        <w:rPr>
          <w:rFonts w:ascii="Times New Roman" w:hAnsi="Times New Roman"/>
          <w:sz w:val="24"/>
          <w:szCs w:val="24"/>
        </w:rPr>
        <w:t>ng life after recovery. However, the training and experience of healthcare providers allotted towards the care of Down Syndrome patients is extensive to say the least. Brain trauma, no matter the extent, does not change the methods of care. Brain trauma ca</w:t>
      </w:r>
      <w:r>
        <w:rPr>
          <w:rFonts w:ascii="Times New Roman" w:hAnsi="Times New Roman"/>
          <w:sz w:val="24"/>
          <w:szCs w:val="24"/>
        </w:rPr>
        <w:t>n hypothetically be considered another factor intuitively look out for and manage. In sum, Down Syndrome patients are essentially treated much in the same way as those with brain trauma. George</w:t>
      </w:r>
      <w:r>
        <w:rPr>
          <w:rFonts w:ascii="Times New Roman" w:hAnsi="Times New Roman"/>
          <w:sz w:val="24"/>
          <w:szCs w:val="24"/>
        </w:rPr>
        <w:t>’</w:t>
      </w:r>
      <w:r>
        <w:rPr>
          <w:rFonts w:ascii="Times New Roman" w:hAnsi="Times New Roman"/>
          <w:sz w:val="24"/>
          <w:szCs w:val="24"/>
        </w:rPr>
        <w:t>s newfound illness is relatively not an issue to healthcare pr</w:t>
      </w:r>
      <w:r>
        <w:rPr>
          <w:rFonts w:ascii="Times New Roman" w:hAnsi="Times New Roman"/>
          <w:sz w:val="24"/>
          <w:szCs w:val="24"/>
        </w:rPr>
        <w:t xml:space="preserve">oviders if he ever progresses to the point of not needing lifer support. </w:t>
      </w:r>
    </w:p>
    <w:p w14:paraId="2F35A4B5"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It is important to note that this is a case regarding life support. We have already established that George</w:t>
      </w:r>
      <w:r>
        <w:rPr>
          <w:rFonts w:ascii="Times New Roman" w:hAnsi="Times New Roman"/>
          <w:sz w:val="24"/>
          <w:szCs w:val="24"/>
        </w:rPr>
        <w:t>’</w:t>
      </w:r>
      <w:r>
        <w:rPr>
          <w:rFonts w:ascii="Times New Roman" w:hAnsi="Times New Roman"/>
          <w:sz w:val="24"/>
          <w:szCs w:val="24"/>
        </w:rPr>
        <w:t xml:space="preserve">s parents may have guardianship rights. Yet, </w:t>
      </w:r>
      <w:proofErr w:type="gramStart"/>
      <w:r>
        <w:rPr>
          <w:rFonts w:ascii="Times New Roman" w:hAnsi="Times New Roman"/>
          <w:sz w:val="24"/>
          <w:szCs w:val="24"/>
        </w:rPr>
        <w:t>it is clear that they</w:t>
      </w:r>
      <w:proofErr w:type="gramEnd"/>
      <w:r>
        <w:rPr>
          <w:rFonts w:ascii="Times New Roman" w:hAnsi="Times New Roman"/>
          <w:sz w:val="24"/>
          <w:szCs w:val="24"/>
        </w:rPr>
        <w:t xml:space="preserve"> do not</w:t>
      </w:r>
      <w:r>
        <w:rPr>
          <w:rFonts w:ascii="Times New Roman" w:hAnsi="Times New Roman"/>
          <w:sz w:val="24"/>
          <w:szCs w:val="24"/>
        </w:rPr>
        <w:t xml:space="preserve"> have healthcare power of attorney; the hospital would not require </w:t>
      </w:r>
      <w:r>
        <w:rPr>
          <w:rFonts w:ascii="Times New Roman" w:hAnsi="Times New Roman"/>
          <w:sz w:val="24"/>
          <w:szCs w:val="24"/>
        </w:rPr>
        <w:t>“</w:t>
      </w:r>
      <w:r>
        <w:rPr>
          <w:rFonts w:ascii="Times New Roman" w:hAnsi="Times New Roman"/>
          <w:sz w:val="24"/>
          <w:szCs w:val="24"/>
        </w:rPr>
        <w:t>convincing evidence</w:t>
      </w:r>
      <w:r>
        <w:rPr>
          <w:rFonts w:ascii="Times New Roman" w:hAnsi="Times New Roman"/>
          <w:sz w:val="24"/>
          <w:szCs w:val="24"/>
        </w:rPr>
        <w:t xml:space="preserve">” </w:t>
      </w:r>
      <w:r>
        <w:rPr>
          <w:rFonts w:ascii="Times New Roman" w:hAnsi="Times New Roman"/>
          <w:sz w:val="24"/>
          <w:szCs w:val="24"/>
        </w:rPr>
        <w:t xml:space="preserve">if they had. George is not considered braindead. That is a different set of circumstances entirely, both legally, ethically, and of course morally. Those </w:t>
      </w:r>
      <w:proofErr w:type="gramStart"/>
      <w:r>
        <w:rPr>
          <w:rFonts w:ascii="Times New Roman" w:hAnsi="Times New Roman"/>
          <w:sz w:val="24"/>
          <w:szCs w:val="24"/>
        </w:rPr>
        <w:t>whom</w:t>
      </w:r>
      <w:proofErr w:type="gramEnd"/>
      <w:r>
        <w:rPr>
          <w:rFonts w:ascii="Times New Roman" w:hAnsi="Times New Roman"/>
          <w:sz w:val="24"/>
          <w:szCs w:val="24"/>
        </w:rPr>
        <w:t xml:space="preserve"> are cons</w:t>
      </w:r>
      <w:r>
        <w:rPr>
          <w:rFonts w:ascii="Times New Roman" w:hAnsi="Times New Roman"/>
          <w:sz w:val="24"/>
          <w:szCs w:val="24"/>
        </w:rPr>
        <w:t xml:space="preserve">idered brain dead can have life </w:t>
      </w:r>
      <w:r>
        <w:rPr>
          <w:rFonts w:ascii="Times New Roman" w:hAnsi="Times New Roman"/>
          <w:sz w:val="24"/>
          <w:szCs w:val="24"/>
        </w:rPr>
        <w:lastRenderedPageBreak/>
        <w:t>support withdrawn by either the hospital healthcare providers themselves or the next of kin. Even then, when the next of kin contests, it results in a legal battle that can last months or years. Again, George is on life supp</w:t>
      </w:r>
      <w:r>
        <w:rPr>
          <w:rFonts w:ascii="Times New Roman" w:hAnsi="Times New Roman"/>
          <w:sz w:val="24"/>
          <w:szCs w:val="24"/>
        </w:rPr>
        <w:t xml:space="preserve">ort, but not considered brain dead. It can be reasonably assumed the he may recover, and that his hospital care team, in asking for </w:t>
      </w:r>
      <w:r>
        <w:rPr>
          <w:rFonts w:ascii="Times New Roman" w:hAnsi="Times New Roman"/>
          <w:sz w:val="24"/>
          <w:szCs w:val="24"/>
        </w:rPr>
        <w:t>“</w:t>
      </w:r>
      <w:r>
        <w:rPr>
          <w:rFonts w:ascii="Times New Roman" w:hAnsi="Times New Roman"/>
          <w:sz w:val="24"/>
          <w:szCs w:val="24"/>
        </w:rPr>
        <w:t>persuading evidence</w:t>
      </w:r>
      <w:r>
        <w:rPr>
          <w:rFonts w:ascii="Times New Roman" w:hAnsi="Times New Roman"/>
          <w:sz w:val="24"/>
          <w:szCs w:val="24"/>
        </w:rPr>
        <w:t xml:space="preserve">” </w:t>
      </w:r>
      <w:r>
        <w:rPr>
          <w:rFonts w:ascii="Times New Roman" w:hAnsi="Times New Roman"/>
          <w:sz w:val="24"/>
          <w:szCs w:val="24"/>
        </w:rPr>
        <w:t xml:space="preserve">to withdraw life support, has determined that either he is not </w:t>
      </w:r>
      <w:r>
        <w:rPr>
          <w:rFonts w:ascii="Times New Roman" w:hAnsi="Times New Roman"/>
          <w:sz w:val="24"/>
          <w:szCs w:val="24"/>
        </w:rPr>
        <w:t>“</w:t>
      </w:r>
      <w:r>
        <w:rPr>
          <w:rFonts w:ascii="Times New Roman" w:hAnsi="Times New Roman"/>
          <w:sz w:val="24"/>
          <w:szCs w:val="24"/>
        </w:rPr>
        <w:t>brain dead</w:t>
      </w:r>
      <w:r>
        <w:rPr>
          <w:rFonts w:ascii="Times New Roman" w:hAnsi="Times New Roman"/>
          <w:sz w:val="24"/>
          <w:szCs w:val="24"/>
        </w:rPr>
        <w:t>,"</w:t>
      </w:r>
      <w:r>
        <w:rPr>
          <w:rFonts w:ascii="Times New Roman" w:hAnsi="Times New Roman"/>
          <w:sz w:val="24"/>
          <w:szCs w:val="24"/>
        </w:rPr>
        <w:t xml:space="preserve"> and it is also reasonable</w:t>
      </w:r>
      <w:r>
        <w:rPr>
          <w:rFonts w:ascii="Times New Roman" w:hAnsi="Times New Roman"/>
          <w:sz w:val="24"/>
          <w:szCs w:val="24"/>
        </w:rPr>
        <w:t xml:space="preserve"> to assume that the staff believes recovery may happen. </w:t>
      </w:r>
    </w:p>
    <w:p w14:paraId="37FC8068"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Deontology, although proposing that there is a universal application of ethics, is also based on contemporary ideas. The right to life is fundamental to Western society; so is the right to choose on</w:t>
      </w:r>
      <w:r>
        <w:rPr>
          <w:rFonts w:ascii="Times New Roman" w:eastAsia="Times New Roman" w:hAnsi="Times New Roman" w:cs="Times New Roman"/>
          <w:sz w:val="24"/>
          <w:szCs w:val="24"/>
        </w:rPr>
        <w:t>e</w:t>
      </w:r>
      <w:r>
        <w:rPr>
          <w:rFonts w:ascii="Times New Roman" w:hAnsi="Times New Roman"/>
          <w:sz w:val="24"/>
          <w:szCs w:val="24"/>
        </w:rPr>
        <w:t>’</w:t>
      </w:r>
      <w:r>
        <w:rPr>
          <w:rFonts w:ascii="Times New Roman" w:hAnsi="Times New Roman"/>
          <w:sz w:val="24"/>
          <w:szCs w:val="24"/>
        </w:rPr>
        <w:t>s course of healthcare. Autonomy is granted to all unless proven otherwise. To disturb one</w:t>
      </w:r>
      <w:r>
        <w:rPr>
          <w:rFonts w:ascii="Times New Roman" w:hAnsi="Times New Roman"/>
          <w:sz w:val="24"/>
          <w:szCs w:val="24"/>
        </w:rPr>
        <w:t>’</w:t>
      </w:r>
      <w:r>
        <w:rPr>
          <w:rFonts w:ascii="Times New Roman" w:hAnsi="Times New Roman"/>
          <w:sz w:val="24"/>
          <w:szCs w:val="24"/>
        </w:rPr>
        <w:t xml:space="preserve">s autonomy is an intensive process, that must be contested in a court </w:t>
      </w:r>
      <w:proofErr w:type="gramStart"/>
      <w:r>
        <w:rPr>
          <w:rFonts w:ascii="Times New Roman" w:hAnsi="Times New Roman"/>
          <w:sz w:val="24"/>
          <w:szCs w:val="24"/>
        </w:rPr>
        <w:t>system;</w:t>
      </w:r>
      <w:proofErr w:type="gramEnd"/>
      <w:r>
        <w:rPr>
          <w:rFonts w:ascii="Times New Roman" w:hAnsi="Times New Roman"/>
          <w:sz w:val="24"/>
          <w:szCs w:val="24"/>
        </w:rPr>
        <w:t xml:space="preserve"> sometimes by a Judge, sometimes by a jury of peers. This right is given unilaterally to all. This speaks to a person being indeed </w:t>
      </w:r>
      <w:proofErr w:type="gramStart"/>
      <w:r>
        <w:rPr>
          <w:rFonts w:ascii="Times New Roman" w:hAnsi="Times New Roman"/>
          <w:sz w:val="24"/>
          <w:szCs w:val="24"/>
        </w:rPr>
        <w:t>that;</w:t>
      </w:r>
      <w:proofErr w:type="gramEnd"/>
      <w:r>
        <w:rPr>
          <w:rFonts w:ascii="Times New Roman" w:hAnsi="Times New Roman"/>
          <w:sz w:val="24"/>
          <w:szCs w:val="24"/>
        </w:rPr>
        <w:t xml:space="preserve"> a person. In the United States, the consti</w:t>
      </w:r>
      <w:r>
        <w:rPr>
          <w:rFonts w:ascii="Times New Roman" w:hAnsi="Times New Roman"/>
          <w:sz w:val="24"/>
          <w:szCs w:val="24"/>
        </w:rPr>
        <w:t>tution alludes to all persons present to have a right to life. Cognitive impairment, mental disease, physical impairment or disability, and even psychological trauma do not inhibit the rights considered natural, whether it is under God, Law, Royalty, or na</w:t>
      </w:r>
      <w:r>
        <w:rPr>
          <w:rFonts w:ascii="Times New Roman" w:hAnsi="Times New Roman"/>
          <w:sz w:val="24"/>
          <w:szCs w:val="24"/>
        </w:rPr>
        <w:t xml:space="preserve">ture itself.  George is autonomous until it is proven he cannot be. The hospital is right in asking for convincing evidence. </w:t>
      </w:r>
    </w:p>
    <w:p w14:paraId="6CD6E8A6" w14:textId="77777777" w:rsidR="006B719B" w:rsidRDefault="00B20D19">
      <w:pPr>
        <w:pStyle w:val="Body"/>
        <w:spacing w:line="480" w:lineRule="auto"/>
      </w:pPr>
      <w:r>
        <w:rPr>
          <w:rFonts w:ascii="Times New Roman" w:eastAsia="Times New Roman" w:hAnsi="Times New Roman" w:cs="Times New Roman"/>
          <w:sz w:val="24"/>
          <w:szCs w:val="24"/>
        </w:rPr>
        <w:tab/>
      </w:r>
      <w:r>
        <w:rPr>
          <w:rFonts w:ascii="Arial Unicode MS" w:hAnsi="Arial Unicode MS"/>
          <w:sz w:val="24"/>
          <w:szCs w:val="24"/>
        </w:rPr>
        <w:br w:type="page"/>
      </w:r>
    </w:p>
    <w:p w14:paraId="0BA82477" w14:textId="77777777" w:rsidR="006B719B" w:rsidRDefault="00B20D19">
      <w:pPr>
        <w:pStyle w:val="Body"/>
        <w:spacing w:line="480" w:lineRule="auto"/>
        <w:rPr>
          <w:rFonts w:ascii="Times New Roman" w:eastAsia="Times New Roman" w:hAnsi="Times New Roman" w:cs="Times New Roman"/>
          <w:sz w:val="24"/>
          <w:szCs w:val="24"/>
        </w:rPr>
      </w:pPr>
      <w:r>
        <w:rPr>
          <w:rFonts w:ascii="Times New Roman" w:hAnsi="Times New Roman"/>
          <w:sz w:val="24"/>
          <w:szCs w:val="24"/>
        </w:rPr>
        <w:lastRenderedPageBreak/>
        <w:t>Bibliography</w:t>
      </w:r>
    </w:p>
    <w:p w14:paraId="4C8B9BF5" w14:textId="77777777" w:rsidR="006B719B" w:rsidRDefault="006B719B">
      <w:pPr>
        <w:pStyle w:val="Body"/>
        <w:spacing w:line="480" w:lineRule="auto"/>
        <w:rPr>
          <w:rFonts w:ascii="Times New Roman" w:eastAsia="Times New Roman" w:hAnsi="Times New Roman" w:cs="Times New Roman"/>
          <w:sz w:val="24"/>
          <w:szCs w:val="24"/>
        </w:rPr>
      </w:pPr>
    </w:p>
    <w:p w14:paraId="22EADEB9" w14:textId="77777777" w:rsidR="006B719B" w:rsidRDefault="00B20D19">
      <w:pPr>
        <w:pStyle w:val="Body"/>
        <w:numPr>
          <w:ilvl w:val="0"/>
          <w:numId w:val="2"/>
        </w:numPr>
        <w:rPr>
          <w:rFonts w:ascii="Times New Roman" w:hAnsi="Times New Roman"/>
          <w:sz w:val="24"/>
          <w:szCs w:val="24"/>
        </w:rPr>
      </w:pPr>
      <w:r>
        <w:rPr>
          <w:rFonts w:ascii="Times New Roman" w:hAnsi="Times New Roman"/>
          <w:sz w:val="24"/>
          <w:szCs w:val="24"/>
          <w:u w:color="191919"/>
        </w:rPr>
        <w:t xml:space="preserve">Alexander, Larry and Michael Moore, "Deontological Ethics", The Stanford Encyclopedia </w:t>
      </w:r>
      <w:proofErr w:type="spellStart"/>
      <w:r>
        <w:rPr>
          <w:rFonts w:ascii="Times New Roman" w:hAnsi="Times New Roman"/>
          <w:sz w:val="24"/>
          <w:szCs w:val="24"/>
          <w:u w:color="191919"/>
        </w:rPr>
        <w:t>ofPhilosophy</w:t>
      </w:r>
      <w:proofErr w:type="spellEnd"/>
      <w:r>
        <w:rPr>
          <w:rFonts w:ascii="Times New Roman" w:hAnsi="Times New Roman"/>
          <w:sz w:val="24"/>
          <w:szCs w:val="24"/>
          <w:u w:color="191919"/>
        </w:rPr>
        <w:t xml:space="preserve"> (Winter 2016 E</w:t>
      </w:r>
      <w:r>
        <w:rPr>
          <w:rFonts w:ascii="Times New Roman" w:hAnsi="Times New Roman"/>
          <w:sz w:val="24"/>
          <w:szCs w:val="24"/>
          <w:u w:color="191919"/>
        </w:rPr>
        <w:t xml:space="preserve">dition), Edward N. </w:t>
      </w:r>
      <w:proofErr w:type="spellStart"/>
      <w:r>
        <w:rPr>
          <w:rFonts w:ascii="Times New Roman" w:hAnsi="Times New Roman"/>
          <w:sz w:val="24"/>
          <w:szCs w:val="24"/>
          <w:u w:color="191919"/>
        </w:rPr>
        <w:t>Zalta</w:t>
      </w:r>
      <w:proofErr w:type="spellEnd"/>
      <w:r>
        <w:rPr>
          <w:rFonts w:ascii="Times New Roman" w:hAnsi="Times New Roman"/>
          <w:sz w:val="24"/>
          <w:szCs w:val="24"/>
          <w:u w:color="191919"/>
        </w:rPr>
        <w:t> </w:t>
      </w:r>
      <w:r>
        <w:rPr>
          <w:rFonts w:ascii="Times New Roman" w:hAnsi="Times New Roman"/>
          <w:sz w:val="24"/>
          <w:szCs w:val="24"/>
          <w:u w:color="191919"/>
        </w:rPr>
        <w:t xml:space="preserve">(ed.), Retrieved </w:t>
      </w:r>
      <w:proofErr w:type="gramStart"/>
      <w:r>
        <w:rPr>
          <w:rFonts w:ascii="Times New Roman" w:hAnsi="Times New Roman"/>
          <w:sz w:val="24"/>
          <w:szCs w:val="24"/>
          <w:u w:color="191919"/>
        </w:rPr>
        <w:t>October,</w:t>
      </w:r>
      <w:proofErr w:type="gramEnd"/>
      <w:r>
        <w:rPr>
          <w:rFonts w:ascii="Times New Roman" w:hAnsi="Times New Roman"/>
          <w:sz w:val="24"/>
          <w:szCs w:val="24"/>
          <w:u w:color="191919"/>
        </w:rPr>
        <w:t xml:space="preserve"> 2020, from &lt;https://plato.stanford.edu/archives/win2016/entries/ethics-deontological/&gt;.</w:t>
      </w:r>
    </w:p>
    <w:p w14:paraId="276F1515" w14:textId="77777777" w:rsidR="006B719B" w:rsidRDefault="00B20D19">
      <w:pPr>
        <w:numPr>
          <w:ilvl w:val="0"/>
          <w:numId w:val="4"/>
        </w:numPr>
        <w:rPr>
          <w:rFonts w:cs="Arial Unicode MS"/>
          <w:color w:val="000000"/>
          <w:u w:color="000000"/>
        </w:rPr>
      </w:pPr>
      <w:proofErr w:type="spellStart"/>
      <w:r>
        <w:rPr>
          <w:rFonts w:cs="Arial Unicode MS"/>
          <w:color w:val="000000"/>
          <w:u w:color="191919"/>
        </w:rPr>
        <w:t>Caban</w:t>
      </w:r>
      <w:proofErr w:type="spellEnd"/>
      <w:r>
        <w:rPr>
          <w:rFonts w:cs="Arial Unicode MS"/>
          <w:color w:val="000000"/>
          <w:u w:color="191919"/>
        </w:rPr>
        <w:t xml:space="preserve">-Holt, Allison &amp; Head, Elizabeth &amp; Schmitt, Frederick. (2015). </w:t>
      </w:r>
      <w:r>
        <w:rPr>
          <w:rFonts w:cs="Arial Unicode MS"/>
          <w:color w:val="000000"/>
          <w:u w:color="191919"/>
        </w:rPr>
        <w:t>“</w:t>
      </w:r>
      <w:r>
        <w:rPr>
          <w:rFonts w:cs="Arial Unicode MS"/>
          <w:color w:val="000000"/>
          <w:u w:color="191919"/>
        </w:rPr>
        <w:t>Down Syndrome.</w:t>
      </w:r>
      <w:r>
        <w:rPr>
          <w:rFonts w:cs="Arial Unicode MS"/>
          <w:color w:val="000000"/>
          <w:u w:color="191919"/>
        </w:rPr>
        <w:t xml:space="preserve">” </w:t>
      </w:r>
      <w:r>
        <w:rPr>
          <w:rFonts w:cs="Arial Unicode MS"/>
          <w:color w:val="000000"/>
          <w:u w:color="191919"/>
        </w:rPr>
        <w:t xml:space="preserve">10.1016/B978-0-12-410529-4.00015-2. </w:t>
      </w:r>
    </w:p>
    <w:p w14:paraId="6B88911B" w14:textId="77777777" w:rsidR="006B719B" w:rsidRDefault="006B719B">
      <w:pPr>
        <w:pStyle w:val="Default"/>
        <w:rPr>
          <w:rFonts w:ascii="Times New Roman" w:eastAsia="Times New Roman" w:hAnsi="Times New Roman" w:cs="Times New Roman"/>
          <w:color w:val="191919"/>
          <w:sz w:val="24"/>
          <w:szCs w:val="24"/>
          <w:u w:color="191919"/>
        </w:rPr>
      </w:pPr>
    </w:p>
    <w:p w14:paraId="7133A7C6" w14:textId="77777777" w:rsidR="006B719B" w:rsidRDefault="00B20D19">
      <w:pPr>
        <w:pStyle w:val="Default"/>
        <w:numPr>
          <w:ilvl w:val="0"/>
          <w:numId w:val="5"/>
        </w:numPr>
        <w:rPr>
          <w:rFonts w:ascii="Times New Roman" w:hAnsi="Times New Roman"/>
          <w:color w:val="191919"/>
          <w:sz w:val="24"/>
          <w:szCs w:val="24"/>
          <w:u w:color="000000"/>
        </w:rPr>
      </w:pPr>
      <w:r>
        <w:rPr>
          <w:rFonts w:ascii="Times New Roman" w:hAnsi="Times New Roman"/>
          <w:color w:val="191919"/>
          <w:sz w:val="24"/>
          <w:szCs w:val="24"/>
          <w:u w:color="191919"/>
        </w:rPr>
        <w:t xml:space="preserve">Driver, Julia, "The History of Utilitarianism", The Stanford Encyclopedia of Philosophy (Winter 2014 Edition), Edward N. </w:t>
      </w:r>
      <w:proofErr w:type="spellStart"/>
      <w:r>
        <w:rPr>
          <w:rFonts w:ascii="Times New Roman" w:hAnsi="Times New Roman"/>
          <w:color w:val="191919"/>
          <w:sz w:val="24"/>
          <w:szCs w:val="24"/>
          <w:u w:color="191919"/>
        </w:rPr>
        <w:t>Zalta</w:t>
      </w:r>
      <w:proofErr w:type="spellEnd"/>
      <w:r>
        <w:rPr>
          <w:rFonts w:ascii="Times New Roman" w:hAnsi="Times New Roman"/>
          <w:color w:val="191919"/>
          <w:sz w:val="24"/>
          <w:szCs w:val="24"/>
          <w:u w:color="191919"/>
        </w:rPr>
        <w:t> </w:t>
      </w:r>
      <w:r>
        <w:rPr>
          <w:rFonts w:ascii="Times New Roman" w:hAnsi="Times New Roman"/>
          <w:color w:val="191919"/>
          <w:sz w:val="24"/>
          <w:szCs w:val="24"/>
          <w:u w:color="191919"/>
        </w:rPr>
        <w:t xml:space="preserve">(ed.), Retrieved </w:t>
      </w:r>
      <w:proofErr w:type="gramStart"/>
      <w:r>
        <w:rPr>
          <w:rFonts w:ascii="Times New Roman" w:hAnsi="Times New Roman"/>
          <w:color w:val="191919"/>
          <w:sz w:val="24"/>
          <w:szCs w:val="24"/>
          <w:u w:color="191919"/>
        </w:rPr>
        <w:t>October,</w:t>
      </w:r>
      <w:proofErr w:type="gramEnd"/>
      <w:r>
        <w:rPr>
          <w:rFonts w:ascii="Times New Roman" w:hAnsi="Times New Roman"/>
          <w:color w:val="191919"/>
          <w:sz w:val="24"/>
          <w:szCs w:val="24"/>
          <w:u w:color="191919"/>
        </w:rPr>
        <w:t xml:space="preserve"> 2020, from &lt;https://plato.stanford.edu/archives/win2014/entries/u</w:t>
      </w:r>
      <w:r>
        <w:rPr>
          <w:rFonts w:ascii="Times New Roman" w:hAnsi="Times New Roman"/>
          <w:color w:val="191919"/>
          <w:sz w:val="24"/>
          <w:szCs w:val="24"/>
          <w:u w:color="191919"/>
        </w:rPr>
        <w:t>tilitarianism-history/&gt;.</w:t>
      </w:r>
    </w:p>
    <w:p w14:paraId="65B85794" w14:textId="77777777" w:rsidR="006B719B" w:rsidRDefault="006B719B">
      <w:pPr>
        <w:pStyle w:val="Default"/>
        <w:rPr>
          <w:rFonts w:ascii="Times New Roman" w:eastAsia="Times New Roman" w:hAnsi="Times New Roman" w:cs="Times New Roman"/>
          <w:color w:val="191919"/>
          <w:sz w:val="24"/>
          <w:szCs w:val="24"/>
          <w:u w:color="191919"/>
        </w:rPr>
      </w:pPr>
    </w:p>
    <w:p w14:paraId="6C04C452" w14:textId="77777777" w:rsidR="006B719B" w:rsidRDefault="00B20D19">
      <w:pPr>
        <w:pStyle w:val="Default"/>
        <w:numPr>
          <w:ilvl w:val="0"/>
          <w:numId w:val="6"/>
        </w:numPr>
        <w:rPr>
          <w:rFonts w:ascii="Times New Roman" w:hAnsi="Times New Roman"/>
          <w:color w:val="191919"/>
          <w:sz w:val="24"/>
          <w:szCs w:val="24"/>
          <w:u w:color="000000"/>
          <w:lang w:val="nl-NL"/>
        </w:rPr>
      </w:pPr>
      <w:r>
        <w:rPr>
          <w:rFonts w:ascii="Times New Roman" w:hAnsi="Times New Roman"/>
          <w:color w:val="191919"/>
          <w:sz w:val="24"/>
          <w:szCs w:val="24"/>
          <w:u w:color="191919"/>
          <w:lang w:val="nl-NL"/>
        </w:rPr>
        <w:t xml:space="preserve">Tuffrey-Wijne, I., </w:t>
      </w:r>
      <w:r>
        <w:rPr>
          <w:rFonts w:ascii="Times New Roman" w:hAnsi="Times New Roman"/>
          <w:color w:val="191919"/>
          <w:sz w:val="24"/>
          <w:szCs w:val="24"/>
          <w:u w:color="191919"/>
        </w:rPr>
        <w:t xml:space="preserve">RN, </w:t>
      </w:r>
      <w:proofErr w:type="spellStart"/>
      <w:r>
        <w:rPr>
          <w:rFonts w:ascii="Times New Roman" w:hAnsi="Times New Roman"/>
          <w:color w:val="191919"/>
          <w:sz w:val="24"/>
          <w:szCs w:val="24"/>
          <w:u w:color="191919"/>
        </w:rPr>
        <w:t>Phd</w:t>
      </w:r>
      <w:proofErr w:type="spellEnd"/>
      <w:r>
        <w:rPr>
          <w:rFonts w:ascii="Times New Roman" w:hAnsi="Times New Roman"/>
          <w:color w:val="191919"/>
          <w:sz w:val="24"/>
          <w:szCs w:val="24"/>
          <w:u w:color="191919"/>
        </w:rPr>
        <w:t xml:space="preserve">. (2017, November 02). </w:t>
      </w:r>
      <w:r>
        <w:rPr>
          <w:rFonts w:ascii="Times New Roman" w:hAnsi="Times New Roman"/>
          <w:color w:val="191919"/>
          <w:sz w:val="24"/>
          <w:szCs w:val="24"/>
          <w:u w:color="191919"/>
        </w:rPr>
        <w:t>“</w:t>
      </w:r>
      <w:r>
        <w:rPr>
          <w:rFonts w:ascii="Times New Roman" w:hAnsi="Times New Roman"/>
          <w:color w:val="191919"/>
          <w:sz w:val="24"/>
          <w:szCs w:val="24"/>
          <w:u w:color="191919"/>
        </w:rPr>
        <w:t>Palliative Care and Intellectual Disabilities.</w:t>
      </w:r>
      <w:r>
        <w:rPr>
          <w:rFonts w:ascii="Times New Roman" w:hAnsi="Times New Roman"/>
          <w:color w:val="191919"/>
          <w:sz w:val="24"/>
          <w:szCs w:val="24"/>
          <w:u w:color="191919"/>
        </w:rPr>
        <w:t xml:space="preserve">” </w:t>
      </w:r>
      <w:r>
        <w:rPr>
          <w:rFonts w:ascii="Times New Roman" w:hAnsi="Times New Roman"/>
          <w:color w:val="191919"/>
          <w:sz w:val="24"/>
          <w:szCs w:val="24"/>
          <w:u w:color="191919"/>
        </w:rPr>
        <w:t xml:space="preserve">Retrieved October, 2020, from </w:t>
      </w:r>
      <w:hyperlink r:id="rId7" w:history="1">
        <w:r>
          <w:rPr>
            <w:rStyle w:val="Hyperlink0"/>
            <w:rFonts w:ascii="Times New Roman" w:hAnsi="Times New Roman"/>
            <w:color w:val="191919"/>
            <w:sz w:val="24"/>
            <w:szCs w:val="24"/>
          </w:rPr>
          <w:t>http://www.intellectualdisability.info/physical-health/articles/cancer,-palliative-care-and-intellectual-disabilities</w:t>
        </w:r>
      </w:hyperlink>
    </w:p>
    <w:p w14:paraId="0DEC6BCA" w14:textId="77777777" w:rsidR="006B719B" w:rsidRDefault="006B719B">
      <w:pPr>
        <w:pStyle w:val="Default"/>
        <w:rPr>
          <w:rFonts w:ascii="Times New Roman" w:eastAsia="Times New Roman" w:hAnsi="Times New Roman" w:cs="Times New Roman"/>
          <w:color w:val="191919"/>
          <w:sz w:val="24"/>
          <w:szCs w:val="24"/>
          <w:u w:color="000000"/>
        </w:rPr>
      </w:pPr>
    </w:p>
    <w:p w14:paraId="41EFCA5F" w14:textId="77777777" w:rsidR="006B719B" w:rsidRDefault="00B20D19">
      <w:pPr>
        <w:pStyle w:val="Default"/>
        <w:numPr>
          <w:ilvl w:val="0"/>
          <w:numId w:val="7"/>
        </w:numPr>
        <w:rPr>
          <w:rFonts w:ascii="Times New Roman" w:hAnsi="Times New Roman"/>
          <w:color w:val="191919"/>
          <w:sz w:val="24"/>
          <w:szCs w:val="24"/>
          <w:u w:color="000000"/>
        </w:rPr>
      </w:pPr>
      <w:r>
        <w:rPr>
          <w:rFonts w:ascii="Times New Roman" w:hAnsi="Times New Roman"/>
          <w:color w:val="191919"/>
          <w:sz w:val="24"/>
          <w:szCs w:val="24"/>
          <w:u w:color="000000"/>
        </w:rPr>
        <w:t xml:space="preserve"> </w:t>
      </w:r>
      <w:hyperlink r:id="rId8" w:history="1">
        <w:r>
          <w:rPr>
            <w:rStyle w:val="Hyperlink1"/>
            <w:rFonts w:ascii="Times New Roman" w:hAnsi="Times New Roman"/>
            <w:color w:val="191919"/>
            <w:sz w:val="24"/>
            <w:szCs w:val="24"/>
            <w:u w:color="000000"/>
          </w:rPr>
          <w:t>https://en.wikipedia.org/wiki/List_of_people_with_Down_syndrome</w:t>
        </w:r>
      </w:hyperlink>
      <w:r>
        <w:rPr>
          <w:rFonts w:ascii="Times New Roman" w:hAnsi="Times New Roman"/>
          <w:color w:val="191919"/>
          <w:sz w:val="24"/>
          <w:szCs w:val="24"/>
          <w:u w:color="000000"/>
        </w:rPr>
        <w:t>, accessed 10-2020</w:t>
      </w:r>
      <w:bookmarkEnd w:id="0"/>
    </w:p>
    <w:sectPr w:rsidR="006B719B">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BC883" w14:textId="77777777" w:rsidR="00B20D19" w:rsidRDefault="00B20D19">
      <w:r>
        <w:separator/>
      </w:r>
    </w:p>
  </w:endnote>
  <w:endnote w:type="continuationSeparator" w:id="0">
    <w:p w14:paraId="57A74C13" w14:textId="77777777" w:rsidR="00B20D19" w:rsidRDefault="00B20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95F445" w14:textId="77777777" w:rsidR="006B719B" w:rsidRDefault="006B71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DC59C9" w14:textId="77777777" w:rsidR="00B20D19" w:rsidRDefault="00B20D19">
      <w:r>
        <w:separator/>
      </w:r>
    </w:p>
  </w:footnote>
  <w:footnote w:type="continuationSeparator" w:id="0">
    <w:p w14:paraId="474E90C3" w14:textId="77777777" w:rsidR="00B20D19" w:rsidRDefault="00B20D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6E12F6" w14:textId="77777777" w:rsidR="006B719B" w:rsidRDefault="006B719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5E30AC"/>
    <w:multiLevelType w:val="hybridMultilevel"/>
    <w:tmpl w:val="F9142B9E"/>
    <w:numStyleLink w:val="Bullet"/>
  </w:abstractNum>
  <w:abstractNum w:abstractNumId="1" w15:restartNumberingAfterBreak="0">
    <w:nsid w:val="2E773924"/>
    <w:multiLevelType w:val="hybridMultilevel"/>
    <w:tmpl w:val="C2CCC012"/>
    <w:styleLink w:val="BulletBig"/>
    <w:lvl w:ilvl="0" w:tplc="0E6A4E5C">
      <w:start w:val="1"/>
      <w:numFmt w:val="bullet"/>
      <w:lvlText w:val="•"/>
      <w:lvlJc w:val="left"/>
      <w:pPr>
        <w:ind w:left="26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1" w:tplc="70F4D0F0">
      <w:start w:val="1"/>
      <w:numFmt w:val="bullet"/>
      <w:lvlText w:val="•"/>
      <w:lvlJc w:val="left"/>
      <w:pPr>
        <w:ind w:left="5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2" w:tplc="25F23914">
      <w:start w:val="1"/>
      <w:numFmt w:val="bullet"/>
      <w:lvlText w:val="•"/>
      <w:lvlJc w:val="left"/>
      <w:pPr>
        <w:ind w:left="74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3" w:tplc="3136675A">
      <w:start w:val="1"/>
      <w:numFmt w:val="bullet"/>
      <w:lvlText w:val="•"/>
      <w:lvlJc w:val="left"/>
      <w:pPr>
        <w:ind w:left="98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4" w:tplc="5C325D56">
      <w:start w:val="1"/>
      <w:numFmt w:val="bullet"/>
      <w:lvlText w:val="•"/>
      <w:lvlJc w:val="left"/>
      <w:pPr>
        <w:ind w:left="122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5" w:tplc="192641EA">
      <w:start w:val="1"/>
      <w:numFmt w:val="bullet"/>
      <w:lvlText w:val="•"/>
      <w:lvlJc w:val="left"/>
      <w:pPr>
        <w:ind w:left="146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6" w:tplc="2D3E09A6">
      <w:start w:val="1"/>
      <w:numFmt w:val="bullet"/>
      <w:lvlText w:val="•"/>
      <w:lvlJc w:val="left"/>
      <w:pPr>
        <w:ind w:left="17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7" w:tplc="A760AA70">
      <w:start w:val="1"/>
      <w:numFmt w:val="bullet"/>
      <w:lvlText w:val="•"/>
      <w:lvlJc w:val="left"/>
      <w:pPr>
        <w:ind w:left="194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8" w:tplc="0BEEFBDC">
      <w:start w:val="1"/>
      <w:numFmt w:val="bullet"/>
      <w:lvlText w:val="•"/>
      <w:lvlJc w:val="left"/>
      <w:pPr>
        <w:ind w:left="218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abstractNum>
  <w:abstractNum w:abstractNumId="2" w15:restartNumberingAfterBreak="0">
    <w:nsid w:val="51A27756"/>
    <w:multiLevelType w:val="hybridMultilevel"/>
    <w:tmpl w:val="F9142B9E"/>
    <w:styleLink w:val="Bullet"/>
    <w:lvl w:ilvl="0" w:tplc="B7E8C590">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 w:ilvl="1" w:tplc="A0DA3D96">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F5382A2C">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4C20F832">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30466D5A">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AAA615BA">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F3FA8568">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6FB869CC">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575245A8">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 w15:restartNumberingAfterBreak="0">
    <w:nsid w:val="676B3914"/>
    <w:multiLevelType w:val="hybridMultilevel"/>
    <w:tmpl w:val="C2CCC012"/>
    <w:numStyleLink w:val="BulletBig"/>
  </w:abstractNum>
  <w:num w:numId="1">
    <w:abstractNumId w:val="2"/>
  </w:num>
  <w:num w:numId="2">
    <w:abstractNumId w:val="0"/>
  </w:num>
  <w:num w:numId="3">
    <w:abstractNumId w:val="1"/>
  </w:num>
  <w:num w:numId="4">
    <w:abstractNumId w:val="3"/>
  </w:num>
  <w:num w:numId="5">
    <w:abstractNumId w:val="3"/>
    <w:lvlOverride w:ilvl="0">
      <w:lvl w:ilvl="0" w:tplc="9DE86C9A">
        <w:start w:val="1"/>
        <w:numFmt w:val="bullet"/>
        <w:lvlText w:val="•"/>
        <w:lvlJc w:val="left"/>
        <w:pPr>
          <w:ind w:left="327" w:hanging="32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1">
      <w:lvl w:ilvl="1" w:tplc="D95C1A3C">
        <w:start w:val="1"/>
        <w:numFmt w:val="bullet"/>
        <w:lvlText w:val="•"/>
        <w:lvlJc w:val="left"/>
        <w:pPr>
          <w:ind w:left="5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2">
      <w:lvl w:ilvl="2" w:tplc="F4F4D66E">
        <w:start w:val="1"/>
        <w:numFmt w:val="bullet"/>
        <w:lvlText w:val="•"/>
        <w:lvlJc w:val="left"/>
        <w:pPr>
          <w:ind w:left="74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3">
      <w:lvl w:ilvl="3" w:tplc="D72419EC">
        <w:start w:val="1"/>
        <w:numFmt w:val="bullet"/>
        <w:lvlText w:val="•"/>
        <w:lvlJc w:val="left"/>
        <w:pPr>
          <w:ind w:left="98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4">
      <w:lvl w:ilvl="4" w:tplc="D5E08D90">
        <w:start w:val="1"/>
        <w:numFmt w:val="bullet"/>
        <w:lvlText w:val="•"/>
        <w:lvlJc w:val="left"/>
        <w:pPr>
          <w:ind w:left="122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5">
      <w:lvl w:ilvl="5" w:tplc="4E464EA6">
        <w:start w:val="1"/>
        <w:numFmt w:val="bullet"/>
        <w:lvlText w:val="•"/>
        <w:lvlJc w:val="left"/>
        <w:pPr>
          <w:ind w:left="146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6">
      <w:lvl w:ilvl="6" w:tplc="BE8ED11C">
        <w:start w:val="1"/>
        <w:numFmt w:val="bullet"/>
        <w:lvlText w:val="•"/>
        <w:lvlJc w:val="left"/>
        <w:pPr>
          <w:ind w:left="17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7">
      <w:lvl w:ilvl="7" w:tplc="B77E1296">
        <w:start w:val="1"/>
        <w:numFmt w:val="bullet"/>
        <w:lvlText w:val="•"/>
        <w:lvlJc w:val="left"/>
        <w:pPr>
          <w:ind w:left="194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8">
      <w:lvl w:ilvl="8" w:tplc="63029EE6">
        <w:start w:val="1"/>
        <w:numFmt w:val="bullet"/>
        <w:lvlText w:val="•"/>
        <w:lvlJc w:val="left"/>
        <w:pPr>
          <w:ind w:left="218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num>
  <w:num w:numId="6">
    <w:abstractNumId w:val="0"/>
    <w:lvlOverride w:ilvl="0">
      <w:lvl w:ilvl="0" w:tplc="F0CEA108">
        <w:start w:val="1"/>
        <w:numFmt w:val="bullet"/>
        <w:lvlText w:val="•"/>
        <w:lvlJc w:val="left"/>
        <w:pPr>
          <w:ind w:left="245" w:hanging="24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65AB9DA">
        <w:start w:val="1"/>
        <w:numFmt w:val="bullet"/>
        <w:lvlText w:val="•"/>
        <w:lvlJc w:val="left"/>
        <w:pPr>
          <w:ind w:left="37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58A7320">
        <w:start w:val="1"/>
        <w:numFmt w:val="bullet"/>
        <w:lvlText w:val="•"/>
        <w:lvlJc w:val="left"/>
        <w:pPr>
          <w:ind w:left="55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173A5FDC">
        <w:start w:val="1"/>
        <w:numFmt w:val="bullet"/>
        <w:lvlText w:val="•"/>
        <w:lvlJc w:val="left"/>
        <w:pPr>
          <w:ind w:left="73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8CA8868">
        <w:start w:val="1"/>
        <w:numFmt w:val="bullet"/>
        <w:lvlText w:val="•"/>
        <w:lvlJc w:val="left"/>
        <w:pPr>
          <w:ind w:left="91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69A672FC">
        <w:start w:val="1"/>
        <w:numFmt w:val="bullet"/>
        <w:lvlText w:val="•"/>
        <w:lvlJc w:val="left"/>
        <w:pPr>
          <w:ind w:left="109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8ED293DC">
        <w:start w:val="1"/>
        <w:numFmt w:val="bullet"/>
        <w:lvlText w:val="•"/>
        <w:lvlJc w:val="left"/>
        <w:pPr>
          <w:ind w:left="127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2FEA740">
        <w:start w:val="1"/>
        <w:numFmt w:val="bullet"/>
        <w:lvlText w:val="•"/>
        <w:lvlJc w:val="left"/>
        <w:pPr>
          <w:ind w:left="145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AB84840E">
        <w:start w:val="1"/>
        <w:numFmt w:val="bullet"/>
        <w:lvlText w:val="•"/>
        <w:lvlJc w:val="left"/>
        <w:pPr>
          <w:ind w:left="1636" w:hanging="19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abstractNumId w:val="3"/>
    <w:lvlOverride w:ilvl="0">
      <w:lvl w:ilvl="0" w:tplc="9DE86C9A">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1">
      <w:lvl w:ilvl="1" w:tplc="D95C1A3C">
        <w:start w:val="1"/>
        <w:numFmt w:val="bullet"/>
        <w:lvlText w:val="•"/>
        <w:lvlJc w:val="left"/>
        <w:pPr>
          <w:ind w:left="5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2">
      <w:lvl w:ilvl="2" w:tplc="F4F4D66E">
        <w:start w:val="1"/>
        <w:numFmt w:val="bullet"/>
        <w:lvlText w:val="•"/>
        <w:lvlJc w:val="left"/>
        <w:pPr>
          <w:ind w:left="7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3">
      <w:lvl w:ilvl="3" w:tplc="D72419EC">
        <w:start w:val="1"/>
        <w:numFmt w:val="bullet"/>
        <w:lvlText w:val="•"/>
        <w:lvlJc w:val="left"/>
        <w:pPr>
          <w:ind w:left="9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4">
      <w:lvl w:ilvl="4" w:tplc="D5E08D90">
        <w:start w:val="1"/>
        <w:numFmt w:val="bullet"/>
        <w:lvlText w:val="•"/>
        <w:lvlJc w:val="left"/>
        <w:pPr>
          <w:ind w:left="122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5">
      <w:lvl w:ilvl="5" w:tplc="4E464EA6">
        <w:start w:val="1"/>
        <w:numFmt w:val="bullet"/>
        <w:lvlText w:val="•"/>
        <w:lvlJc w:val="left"/>
        <w:pPr>
          <w:ind w:left="14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6">
      <w:lvl w:ilvl="6" w:tplc="BE8ED11C">
        <w:start w:val="1"/>
        <w:numFmt w:val="bullet"/>
        <w:lvlText w:val="•"/>
        <w:lvlJc w:val="left"/>
        <w:pPr>
          <w:ind w:left="17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7">
      <w:lvl w:ilvl="7" w:tplc="B77E1296">
        <w:start w:val="1"/>
        <w:numFmt w:val="bullet"/>
        <w:lvlText w:val="•"/>
        <w:lvlJc w:val="left"/>
        <w:pPr>
          <w:ind w:left="19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8">
      <w:lvl w:ilvl="8" w:tplc="63029EE6">
        <w:start w:val="1"/>
        <w:numFmt w:val="bullet"/>
        <w:lvlText w:val="•"/>
        <w:lvlJc w:val="left"/>
        <w:pPr>
          <w:ind w:left="21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19B"/>
    <w:rsid w:val="00016409"/>
    <w:rsid w:val="006B719B"/>
    <w:rsid w:val="008F78F5"/>
    <w:rsid w:val="00B20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22357"/>
  <w15:docId w15:val="{3DA61AF9-1D3C-425B-BB1E-A4E321FB0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numbering" w:customStyle="1" w:styleId="Bullet">
    <w:name w:val="Bullet"/>
    <w:pPr>
      <w:numPr>
        <w:numId w:val="1"/>
      </w:numPr>
    </w:pPr>
  </w:style>
  <w:style w:type="numbering" w:customStyle="1" w:styleId="BulletBig">
    <w:name w:val="Bullet Big"/>
    <w:pPr>
      <w:numPr>
        <w:numId w:val="3"/>
      </w:numPr>
    </w:pPr>
  </w:style>
  <w:style w:type="paragraph" w:customStyle="1" w:styleId="Default">
    <w:name w:val="Default"/>
    <w:rPr>
      <w:rFonts w:ascii="Helvetica Neue" w:eastAsia="Helvetica Neue" w:hAnsi="Helvetica Neue" w:cs="Helvetica Neue"/>
      <w:color w:val="000000"/>
      <w:sz w:val="22"/>
      <w:szCs w:val="22"/>
    </w:rPr>
  </w:style>
  <w:style w:type="character" w:customStyle="1" w:styleId="None">
    <w:name w:val="None"/>
  </w:style>
  <w:style w:type="character" w:customStyle="1" w:styleId="Hyperlink0">
    <w:name w:val="Hyperlink.0"/>
    <w:basedOn w:val="None"/>
    <w:rPr>
      <w:u w:val="none" w:color="191919"/>
      <w:lang w:val="en-US"/>
    </w:rPr>
  </w:style>
  <w:style w:type="character" w:customStyle="1" w:styleId="Hyperlink1">
    <w:name w:val="Hyperlink.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en.wikipedia.org/wiki/List_of_people_with_Down_syndrome" TargetMode="External"/><Relationship Id="rId3" Type="http://schemas.openxmlformats.org/officeDocument/2006/relationships/settings" Target="settings.xml"/><Relationship Id="rId7" Type="http://schemas.openxmlformats.org/officeDocument/2006/relationships/hyperlink" Target="http://www.intellectualdisability.info/physical-health/articles/cancer,-palliative-care-and-intellectual-disabiliti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1870</Words>
  <Characters>10659</Characters>
  <Application>Microsoft Office Word</Application>
  <DocSecurity>0</DocSecurity>
  <Lines>88</Lines>
  <Paragraphs>25</Paragraphs>
  <ScaleCrop>false</ScaleCrop>
  <Company/>
  <LinksUpToDate>false</LinksUpToDate>
  <CharactersWithSpaces>12504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Lauren Miller</cp:lastModifiedBy>
  <cp:revision>3</cp:revision>
  <dcterms:created xsi:type="dcterms:W3CDTF">2020-10-25T04:45:00Z</dcterms:created>
  <dcterms:modified xsi:type="dcterms:W3CDTF">2020-10-25T04:46:00Z</dcterms:modified>
</cp:coreProperties>
</file>