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DE" w:rsidRDefault="00E732DE" w:rsidP="00E732DE">
      <w:pPr>
        <w:pStyle w:val="Heading2"/>
      </w:pPr>
      <w:proofErr w:type="spellStart"/>
      <w:r>
        <w:t>EastWest</w:t>
      </w:r>
      <w:proofErr w:type="spellEnd"/>
      <w:r>
        <w:t xml:space="preserve"> Eye Conference ~ October </w:t>
      </w:r>
      <w:r w:rsidR="00D25C7D">
        <w:t>4-7, 2012</w:t>
      </w:r>
    </w:p>
    <w:p w:rsidR="00E732DE" w:rsidRDefault="00117C4D" w:rsidP="00E732DE">
      <w:pPr>
        <w:rPr>
          <w:b/>
          <w:bCs/>
        </w:rPr>
      </w:pPr>
      <w:r>
        <w:rPr>
          <w:b/>
          <w:bCs/>
        </w:rPr>
        <w:t>Public Auditorium</w:t>
      </w:r>
      <w:r w:rsidR="00041344">
        <w:rPr>
          <w:b/>
          <w:bCs/>
        </w:rPr>
        <w:t>–Downtown Cleveland</w:t>
      </w:r>
    </w:p>
    <w:p w:rsidR="00041344" w:rsidRDefault="00041344" w:rsidP="00E732DE">
      <w:pPr>
        <w:rPr>
          <w:b/>
          <w:bCs/>
        </w:rPr>
      </w:pPr>
    </w:p>
    <w:p w:rsidR="00E732DE" w:rsidRDefault="00E732DE" w:rsidP="00E732DE">
      <w:pPr>
        <w:pStyle w:val="Heading1"/>
        <w:rPr>
          <w:u w:val="none"/>
        </w:rPr>
      </w:pPr>
      <w:proofErr w:type="spellStart"/>
      <w:r>
        <w:rPr>
          <w:u w:val="none"/>
        </w:rPr>
        <w:t>EastWest</w:t>
      </w:r>
      <w:proofErr w:type="spellEnd"/>
      <w:r>
        <w:rPr>
          <w:u w:val="none"/>
        </w:rPr>
        <w:t xml:space="preserve"> Eye Conference Announces Education for 2012</w:t>
      </w:r>
    </w:p>
    <w:p w:rsidR="00E732DE" w:rsidRDefault="00E732DE" w:rsidP="00E732DE"/>
    <w:p w:rsidR="00E732DE" w:rsidRPr="00117C4D" w:rsidRDefault="00117C4D" w:rsidP="00E732DE">
      <w:pPr>
        <w:rPr>
          <w:b/>
        </w:rPr>
      </w:pPr>
      <w:r w:rsidRPr="00117C4D">
        <w:rPr>
          <w:b/>
        </w:rPr>
        <w:t>OD Education</w:t>
      </w:r>
    </w:p>
    <w:p w:rsidR="00E732DE" w:rsidRDefault="00E732DE" w:rsidP="00E732DE"/>
    <w:p w:rsidR="00E732DE" w:rsidRDefault="00E732DE" w:rsidP="00E732DE"/>
    <w:p w:rsidR="00E732DE" w:rsidRDefault="00E732DE" w:rsidP="00E732DE">
      <w:pPr>
        <w:rPr>
          <w:highlight w:val="yellow"/>
        </w:rPr>
      </w:pPr>
    </w:p>
    <w:p w:rsidR="00E732DE" w:rsidRDefault="00E732DE" w:rsidP="00E732DE">
      <w:pPr>
        <w:pStyle w:val="Heading1"/>
        <w:rPr>
          <w:b/>
          <w:bCs/>
          <w:u w:val="none"/>
        </w:rPr>
      </w:pPr>
      <w:r>
        <w:rPr>
          <w:b/>
          <w:bCs/>
          <w:u w:val="none"/>
        </w:rPr>
        <w:t xml:space="preserve">AEP </w:t>
      </w:r>
      <w:r>
        <w:rPr>
          <w:u w:val="none"/>
        </w:rPr>
        <w:t>E</w:t>
      </w:r>
      <w:r>
        <w:rPr>
          <w:b/>
          <w:bCs/>
          <w:u w:val="none"/>
        </w:rPr>
        <w:t>ducation</w:t>
      </w:r>
    </w:p>
    <w:p w:rsidR="00E732DE" w:rsidRDefault="00E732DE" w:rsidP="00E732DE">
      <w:pPr>
        <w:pStyle w:val="Heading2"/>
      </w:pPr>
    </w:p>
    <w:p w:rsidR="00117C4D" w:rsidRDefault="00117C4D" w:rsidP="00D25C7D"/>
    <w:p w:rsidR="00286A1A" w:rsidRDefault="00D25C7D" w:rsidP="00D25C7D">
      <w:r>
        <w:t xml:space="preserve">Dr. </w:t>
      </w:r>
      <w:r w:rsidR="00286A1A">
        <w:t>Tom</w:t>
      </w:r>
      <w:r>
        <w:t xml:space="preserve"> Quinn</w:t>
      </w:r>
      <w:r w:rsidR="00286A1A">
        <w:t xml:space="preserve"> of Athens is the chair of the </w:t>
      </w:r>
      <w:proofErr w:type="spellStart"/>
      <w:r w:rsidR="00286A1A">
        <w:t>EastWest</w:t>
      </w:r>
      <w:proofErr w:type="spellEnd"/>
      <w:r w:rsidR="00286A1A">
        <w:t xml:space="preserve"> Eye Conference beginning in 2012. “I’m excited to work with the vendors and sponsors to grow </w:t>
      </w:r>
      <w:proofErr w:type="spellStart"/>
      <w:r w:rsidR="00286A1A">
        <w:t>EastWest</w:t>
      </w:r>
      <w:proofErr w:type="spellEnd"/>
      <w:r w:rsidR="00286A1A">
        <w:t xml:space="preserve"> and maximize their visibility,” said Dr. Quinn. “We are grateful for their support.” </w:t>
      </w:r>
    </w:p>
    <w:p w:rsidR="00286A1A" w:rsidRDefault="00286A1A" w:rsidP="00D25C7D">
      <w:r>
        <w:t xml:space="preserve">Dr. Quinn is especially looking forward to </w:t>
      </w:r>
      <w:proofErr w:type="spellStart"/>
      <w:r>
        <w:t>EastWest</w:t>
      </w:r>
      <w:proofErr w:type="spellEnd"/>
      <w:r>
        <w:t xml:space="preserve"> moving to the newly constructed Medical Mart in downtown Cleveland in 2013. “The building will be state of the art for classrooms and exhibit hall,” he said. </w:t>
      </w:r>
    </w:p>
    <w:p w:rsidR="00286A1A" w:rsidRDefault="00286A1A" w:rsidP="00D25C7D">
      <w:r>
        <w:t>New to Cleveland this fall will be the Aquarium and the Casino. Both are conveniently located to downtown.</w:t>
      </w:r>
    </w:p>
    <w:p w:rsidR="00286A1A" w:rsidRDefault="00286A1A" w:rsidP="00D25C7D"/>
    <w:p w:rsidR="00D25C7D" w:rsidRDefault="00286A1A" w:rsidP="00D25C7D">
      <w:r>
        <w:t xml:space="preserve">Dr. </w:t>
      </w:r>
      <w:r w:rsidR="00D25C7D">
        <w:t xml:space="preserve">Brian </w:t>
      </w:r>
      <w:proofErr w:type="spellStart"/>
      <w:r w:rsidR="00D25C7D">
        <w:t>Mathie</w:t>
      </w:r>
      <w:proofErr w:type="spellEnd"/>
      <w:r>
        <w:t xml:space="preserve"> of Canton continues as chair of education selection. Others on this committee are</w:t>
      </w:r>
      <w:r w:rsidR="00D25C7D">
        <w:t xml:space="preserve"> Dr. Mile </w:t>
      </w:r>
      <w:proofErr w:type="spellStart"/>
      <w:r w:rsidR="00D25C7D">
        <w:t>Brujic</w:t>
      </w:r>
      <w:proofErr w:type="spellEnd"/>
      <w:r w:rsidR="00D25C7D">
        <w:t xml:space="preserve">, Dr. Kevin Corcoran, Dr. Michael </w:t>
      </w:r>
      <w:proofErr w:type="spellStart"/>
      <w:r w:rsidR="00D25C7D">
        <w:t>Earley</w:t>
      </w:r>
      <w:proofErr w:type="spellEnd"/>
      <w:proofErr w:type="gramStart"/>
      <w:r w:rsidR="00D25C7D">
        <w:t>,  Dr</w:t>
      </w:r>
      <w:proofErr w:type="gramEnd"/>
      <w:r w:rsidR="00D25C7D">
        <w:t xml:space="preserve">. William Lay, Ms. Mandy Miller,  Dr. Elizabeth </w:t>
      </w:r>
      <w:proofErr w:type="spellStart"/>
      <w:r w:rsidR="00D25C7D">
        <w:t>Muckley</w:t>
      </w:r>
      <w:proofErr w:type="spellEnd"/>
      <w:r w:rsidR="00D25C7D">
        <w:t>, Dr. Gregory Nixon</w:t>
      </w:r>
      <w:bookmarkStart w:id="0" w:name="_GoBack"/>
      <w:bookmarkEnd w:id="0"/>
      <w:r w:rsidR="00D25C7D">
        <w:t xml:space="preserve">, Dr. Joseph Studebaker, Dr. Loretta </w:t>
      </w:r>
      <w:proofErr w:type="spellStart"/>
      <w:r w:rsidR="00D25C7D">
        <w:t>Szczotka</w:t>
      </w:r>
      <w:proofErr w:type="spellEnd"/>
      <w:r w:rsidR="00D25C7D">
        <w:t xml:space="preserve">-Flynn, and Dr. </w:t>
      </w:r>
      <w:proofErr w:type="spellStart"/>
      <w:r w:rsidR="00D25C7D">
        <w:t>LaMar</w:t>
      </w:r>
      <w:proofErr w:type="spellEnd"/>
      <w:r w:rsidR="00D25C7D">
        <w:t xml:space="preserve"> </w:t>
      </w:r>
      <w:proofErr w:type="spellStart"/>
      <w:r w:rsidR="00D25C7D">
        <w:t>Zigler</w:t>
      </w:r>
      <w:proofErr w:type="spellEnd"/>
      <w:r w:rsidR="00D25C7D">
        <w:t xml:space="preserve">, </w:t>
      </w:r>
    </w:p>
    <w:p w:rsidR="00D25C7D" w:rsidRPr="00D25C7D" w:rsidRDefault="00D25C7D" w:rsidP="00D25C7D"/>
    <w:p w:rsidR="00E732DE" w:rsidRDefault="00E732DE" w:rsidP="00E732DE">
      <w:pPr>
        <w:pStyle w:val="Heading2"/>
      </w:pPr>
      <w:r>
        <w:t>Exhibit Hall</w:t>
      </w:r>
    </w:p>
    <w:p w:rsidR="00E732DE" w:rsidRDefault="00E732DE" w:rsidP="00E732DE">
      <w:r>
        <w:t>Exhibit Hal</w:t>
      </w:r>
      <w:r w:rsidR="00D25C7D">
        <w:t>l hours are Thursday, October 4</w:t>
      </w:r>
      <w:r>
        <w:t xml:space="preserve">, from </w:t>
      </w:r>
      <w:r w:rsidR="00D25C7D">
        <w:t>4:00 to 7:00; Friday, October 5</w:t>
      </w:r>
      <w:r>
        <w:t>, from 10:00 t</w:t>
      </w:r>
      <w:r w:rsidR="00D25C7D">
        <w:t>o 6:00; and Saturday, October 6</w:t>
      </w:r>
      <w:r>
        <w:t xml:space="preserve"> from 9:00 to 2:00.  Look for special events in the exhibit hall.</w:t>
      </w:r>
    </w:p>
    <w:p w:rsidR="00E732DE" w:rsidRDefault="00E732DE" w:rsidP="00E732DE"/>
    <w:p w:rsidR="00E732DE" w:rsidRDefault="00E732DE" w:rsidP="00E732DE">
      <w:pPr>
        <w:pStyle w:val="Heading2"/>
      </w:pPr>
      <w:r>
        <w:t>Friday Night Party</w:t>
      </w:r>
    </w:p>
    <w:p w:rsidR="00E732DE" w:rsidRDefault="00E732DE" w:rsidP="00E732DE">
      <w:proofErr w:type="spellStart"/>
      <w:r>
        <w:t>EastWest</w:t>
      </w:r>
      <w:proofErr w:type="spellEnd"/>
      <w:r>
        <w:t xml:space="preserve"> registration includes admission to the exclusive Friday Night Party at the Rock and Roll Hall of Fame on the shores of Lake Erie. Continuous shuttle service will be provided between the hotels and the Rock Hall. </w:t>
      </w:r>
    </w:p>
    <w:p w:rsidR="00E732DE" w:rsidRDefault="00E732DE" w:rsidP="00E732DE">
      <w:pPr>
        <w:rPr>
          <w:b/>
          <w:bCs/>
        </w:rPr>
      </w:pPr>
    </w:p>
    <w:p w:rsidR="00E732DE" w:rsidRDefault="00E732DE" w:rsidP="00E732DE">
      <w:pPr>
        <w:pStyle w:val="Heading2"/>
      </w:pPr>
      <w:r>
        <w:t>Hotels</w:t>
      </w:r>
    </w:p>
    <w:p w:rsidR="00E732DE" w:rsidRPr="00D25C7D" w:rsidRDefault="00D25C7D" w:rsidP="00D25C7D">
      <w:pPr>
        <w:autoSpaceDE w:val="0"/>
        <w:autoSpaceDN w:val="0"/>
        <w:adjustRightInd w:val="0"/>
        <w:rPr>
          <w:szCs w:val="22"/>
        </w:rPr>
      </w:pPr>
      <w:r>
        <w:t>Host hotels will be Doubletree Hotel Cleveland Downtown at Lakeside, Embassy Suites Hotel Cleveland Downtown and Hyatt Regency Cleveland at the Arcade.</w:t>
      </w:r>
      <w:r>
        <w:rPr>
          <w:szCs w:val="22"/>
        </w:rPr>
        <w:t xml:space="preserve"> </w:t>
      </w:r>
      <w:r w:rsidR="00E732DE">
        <w:t>Make your reservations early.</w:t>
      </w:r>
    </w:p>
    <w:p w:rsidR="00E732DE" w:rsidRDefault="00E732DE" w:rsidP="00E732DE"/>
    <w:p w:rsidR="00E732DE" w:rsidRDefault="00E732DE" w:rsidP="00E732DE">
      <w:pPr>
        <w:pStyle w:val="Heading2"/>
      </w:pPr>
      <w:r>
        <w:t>OOA Congress</w:t>
      </w:r>
    </w:p>
    <w:p w:rsidR="00E732DE" w:rsidRDefault="00E732DE" w:rsidP="00E732DE">
      <w:r>
        <w:t>The OOA annual business meet</w:t>
      </w:r>
      <w:r w:rsidR="00D25C7D">
        <w:t>ing will be Saturday, October 6</w:t>
      </w:r>
      <w:r>
        <w:t xml:space="preserve">, from 2:00 to 5:00 p.m. at the Cleveland Convention Center. The President’s Banquet and Reception to honor OOA President Dr. </w:t>
      </w:r>
      <w:r w:rsidR="00D25C7D">
        <w:t xml:space="preserve">Donald </w:t>
      </w:r>
      <w:proofErr w:type="spellStart"/>
      <w:r w:rsidR="00D25C7D">
        <w:t>Faimon</w:t>
      </w:r>
      <w:proofErr w:type="spellEnd"/>
      <w:r>
        <w:t xml:space="preserve"> will take place at the </w:t>
      </w:r>
      <w:r w:rsidR="007D2916" w:rsidRPr="007D2916">
        <w:t xml:space="preserve">Doubletree Hotel </w:t>
      </w:r>
      <w:r>
        <w:t xml:space="preserve">Saturday evening.   </w:t>
      </w:r>
    </w:p>
    <w:p w:rsidR="00E732DE" w:rsidRDefault="00E732DE" w:rsidP="00E732DE"/>
    <w:p w:rsidR="00E732DE" w:rsidRDefault="00E732DE" w:rsidP="00E732DE">
      <w:pPr>
        <w:pStyle w:val="Heading2"/>
        <w:rPr>
          <w:rFonts w:eastAsia="Times New Roman"/>
        </w:rPr>
      </w:pPr>
      <w:r>
        <w:rPr>
          <w:rFonts w:eastAsia="Times New Roman"/>
        </w:rPr>
        <w:lastRenderedPageBreak/>
        <w:t>Registration Materials</w:t>
      </w:r>
    </w:p>
    <w:p w:rsidR="00E732DE" w:rsidRDefault="00E732DE" w:rsidP="00E732DE">
      <w:r>
        <w:t xml:space="preserve">Registration materials for the </w:t>
      </w:r>
      <w:proofErr w:type="spellStart"/>
      <w:r>
        <w:t>EastWest</w:t>
      </w:r>
      <w:proofErr w:type="spellEnd"/>
      <w:r>
        <w:t xml:space="preserve"> Eye Conference will be available in June. For more information please call 800-999-4939 or visit the </w:t>
      </w:r>
      <w:r w:rsidR="00041344">
        <w:t xml:space="preserve">newly designed </w:t>
      </w:r>
      <w:r>
        <w:t xml:space="preserve">Web site </w:t>
      </w:r>
      <w:r w:rsidR="00041344">
        <w:t xml:space="preserve">at </w:t>
      </w:r>
      <w:r>
        <w:t xml:space="preserve">www.eastwesteye.org. </w:t>
      </w:r>
    </w:p>
    <w:p w:rsidR="00E732DE" w:rsidRDefault="00E732DE" w:rsidP="00E732DE"/>
    <w:p w:rsidR="0066097E" w:rsidRDefault="00041344">
      <w:r>
        <w:t>2012 Exhibitors (as of…..)</w:t>
      </w:r>
    </w:p>
    <w:p w:rsidR="00CC34EB" w:rsidRPr="00CC34EB" w:rsidRDefault="00CC34EB" w:rsidP="00CC34EB">
      <w:pPr>
        <w:outlineLvl w:val="2"/>
        <w:rPr>
          <w:bCs/>
        </w:rPr>
      </w:pPr>
      <w:r w:rsidRPr="00CC34EB">
        <w:rPr>
          <w:bCs/>
        </w:rPr>
        <w:t>Alcon</w:t>
      </w:r>
    </w:p>
    <w:p w:rsidR="00CC34EB" w:rsidRPr="00CC34EB" w:rsidRDefault="00CC34EB" w:rsidP="00CC34EB">
      <w:pPr>
        <w:outlineLvl w:val="2"/>
        <w:rPr>
          <w:bCs/>
        </w:rPr>
      </w:pPr>
      <w:r w:rsidRPr="00CC34EB">
        <w:rPr>
          <w:bCs/>
        </w:rPr>
        <w:t>Allergan</w:t>
      </w:r>
    </w:p>
    <w:p w:rsidR="00CC34EB" w:rsidRPr="00CC34EB" w:rsidRDefault="00CC34EB" w:rsidP="00CC34EB">
      <w:pPr>
        <w:outlineLvl w:val="2"/>
        <w:rPr>
          <w:bCs/>
        </w:rPr>
      </w:pPr>
      <w:r w:rsidRPr="00CC34EB">
        <w:rPr>
          <w:bCs/>
        </w:rPr>
        <w:t>Bausch &amp; Lomb</w:t>
      </w:r>
    </w:p>
    <w:p w:rsidR="00CC34EB" w:rsidRPr="00CC34EB" w:rsidRDefault="00CC34EB" w:rsidP="00CC34EB">
      <w:pPr>
        <w:outlineLvl w:val="2"/>
        <w:rPr>
          <w:bCs/>
        </w:rPr>
      </w:pPr>
      <w:proofErr w:type="spellStart"/>
      <w:r w:rsidRPr="00CC34EB">
        <w:rPr>
          <w:bCs/>
        </w:rPr>
        <w:t>CareCredit</w:t>
      </w:r>
      <w:proofErr w:type="spellEnd"/>
    </w:p>
    <w:p w:rsidR="00CC34EB" w:rsidRPr="00CC34EB" w:rsidRDefault="00CC34EB" w:rsidP="00CC34EB">
      <w:pPr>
        <w:outlineLvl w:val="2"/>
        <w:rPr>
          <w:bCs/>
        </w:rPr>
      </w:pPr>
      <w:r w:rsidRPr="00CC34EB">
        <w:rPr>
          <w:bCs/>
        </w:rPr>
        <w:t xml:space="preserve">Carl Zeiss </w:t>
      </w:r>
      <w:proofErr w:type="spellStart"/>
      <w:r w:rsidRPr="00CC34EB">
        <w:rPr>
          <w:bCs/>
        </w:rPr>
        <w:t>Meditec</w:t>
      </w:r>
      <w:proofErr w:type="spellEnd"/>
    </w:p>
    <w:p w:rsidR="00CC34EB" w:rsidRPr="00CC34EB" w:rsidRDefault="00CC34EB" w:rsidP="00CC34EB">
      <w:pPr>
        <w:outlineLvl w:val="2"/>
        <w:rPr>
          <w:bCs/>
        </w:rPr>
      </w:pPr>
      <w:r w:rsidRPr="00CC34EB">
        <w:rPr>
          <w:bCs/>
        </w:rPr>
        <w:t>Classic Optical Laboratories</w:t>
      </w:r>
    </w:p>
    <w:p w:rsidR="00CC34EB" w:rsidRPr="00CC34EB" w:rsidRDefault="00CC34EB" w:rsidP="00CC34EB">
      <w:pPr>
        <w:outlineLvl w:val="2"/>
        <w:rPr>
          <w:bCs/>
        </w:rPr>
      </w:pPr>
      <w:proofErr w:type="spellStart"/>
      <w:r w:rsidRPr="00CC34EB">
        <w:rPr>
          <w:bCs/>
        </w:rPr>
        <w:t>Compulink</w:t>
      </w:r>
      <w:proofErr w:type="spellEnd"/>
      <w:r w:rsidRPr="00CC34EB">
        <w:rPr>
          <w:bCs/>
        </w:rPr>
        <w:t xml:space="preserve"> Business Systems</w:t>
      </w:r>
    </w:p>
    <w:p w:rsidR="00CC34EB" w:rsidRPr="00CC34EB" w:rsidRDefault="00CC34EB" w:rsidP="00CC34EB">
      <w:pPr>
        <w:outlineLvl w:val="2"/>
        <w:rPr>
          <w:bCs/>
        </w:rPr>
      </w:pPr>
      <w:proofErr w:type="spellStart"/>
      <w:r w:rsidRPr="00CC34EB">
        <w:rPr>
          <w:bCs/>
        </w:rPr>
        <w:t>CooperVision</w:t>
      </w:r>
      <w:proofErr w:type="spellEnd"/>
      <w:r w:rsidRPr="00CC34EB">
        <w:rPr>
          <w:bCs/>
        </w:rPr>
        <w:t>, Inc.</w:t>
      </w:r>
    </w:p>
    <w:p w:rsidR="00CC34EB" w:rsidRPr="00CC34EB" w:rsidRDefault="00CC34EB" w:rsidP="00CC34EB">
      <w:pPr>
        <w:outlineLvl w:val="2"/>
        <w:rPr>
          <w:bCs/>
        </w:rPr>
      </w:pPr>
      <w:proofErr w:type="spellStart"/>
      <w:r w:rsidRPr="00CC34EB">
        <w:rPr>
          <w:bCs/>
        </w:rPr>
        <w:t>Diopsys</w:t>
      </w:r>
      <w:proofErr w:type="spellEnd"/>
      <w:r w:rsidRPr="00CC34EB">
        <w:rPr>
          <w:bCs/>
        </w:rPr>
        <w:t>, Inc.</w:t>
      </w:r>
    </w:p>
    <w:p w:rsidR="00CC34EB" w:rsidRPr="00CC34EB" w:rsidRDefault="00CC34EB" w:rsidP="00CC34EB">
      <w:pPr>
        <w:outlineLvl w:val="2"/>
        <w:rPr>
          <w:bCs/>
        </w:rPr>
      </w:pPr>
      <w:proofErr w:type="spellStart"/>
      <w:r w:rsidRPr="00CC34EB">
        <w:rPr>
          <w:bCs/>
        </w:rPr>
        <w:t>Essilor</w:t>
      </w:r>
      <w:proofErr w:type="spellEnd"/>
      <w:r w:rsidRPr="00CC34EB">
        <w:rPr>
          <w:bCs/>
        </w:rPr>
        <w:t xml:space="preserve"> Instruments USA</w:t>
      </w:r>
    </w:p>
    <w:p w:rsidR="00CC34EB" w:rsidRPr="00CC34EB" w:rsidRDefault="00CC34EB" w:rsidP="00CC34EB">
      <w:pPr>
        <w:outlineLvl w:val="2"/>
        <w:rPr>
          <w:bCs/>
        </w:rPr>
      </w:pPr>
      <w:r w:rsidRPr="00CC34EB">
        <w:rPr>
          <w:bCs/>
        </w:rPr>
        <w:t>Eye Designs, LLC</w:t>
      </w:r>
    </w:p>
    <w:p w:rsidR="00CC34EB" w:rsidRDefault="00CC34EB" w:rsidP="00CC34EB">
      <w:pPr>
        <w:outlineLvl w:val="2"/>
        <w:rPr>
          <w:bCs/>
        </w:rPr>
      </w:pPr>
      <w:r w:rsidRPr="00CC34EB">
        <w:rPr>
          <w:bCs/>
        </w:rPr>
        <w:t>Hoya Vision Care</w:t>
      </w:r>
    </w:p>
    <w:p w:rsidR="00CC34EB" w:rsidRPr="00CC34EB" w:rsidRDefault="00CC34EB" w:rsidP="00CC34EB">
      <w:pPr>
        <w:outlineLvl w:val="2"/>
        <w:rPr>
          <w:bCs/>
        </w:rPr>
      </w:pPr>
      <w:proofErr w:type="gramStart"/>
      <w:r>
        <w:rPr>
          <w:bCs/>
        </w:rPr>
        <w:t>Interstate Optical Co., Inc.</w:t>
      </w:r>
      <w:proofErr w:type="gramEnd"/>
      <w:r>
        <w:rPr>
          <w:bCs/>
        </w:rPr>
        <w:t xml:space="preserve"> </w:t>
      </w:r>
    </w:p>
    <w:p w:rsidR="00CC34EB" w:rsidRPr="00CC34EB" w:rsidRDefault="00CC34EB" w:rsidP="00CC34EB">
      <w:pPr>
        <w:outlineLvl w:val="2"/>
        <w:rPr>
          <w:bCs/>
        </w:rPr>
      </w:pPr>
      <w:r w:rsidRPr="00CC34EB">
        <w:rPr>
          <w:bCs/>
        </w:rPr>
        <w:t>Latham &amp; Phillips Ophthalmic Products</w:t>
      </w:r>
    </w:p>
    <w:p w:rsidR="00CC34EB" w:rsidRPr="00CC34EB" w:rsidRDefault="00CC34EB" w:rsidP="00CC34EB">
      <w:pPr>
        <w:outlineLvl w:val="2"/>
        <w:rPr>
          <w:bCs/>
        </w:rPr>
      </w:pPr>
      <w:r w:rsidRPr="00CC34EB">
        <w:rPr>
          <w:bCs/>
        </w:rPr>
        <w:t>Luxottica Wholesale North America</w:t>
      </w:r>
    </w:p>
    <w:p w:rsidR="00CC34EB" w:rsidRPr="00CC34EB" w:rsidRDefault="00CC34EB" w:rsidP="00CC34EB">
      <w:pPr>
        <w:outlineLvl w:val="2"/>
        <w:rPr>
          <w:bCs/>
        </w:rPr>
      </w:pPr>
      <w:r w:rsidRPr="00CC34EB">
        <w:rPr>
          <w:bCs/>
        </w:rPr>
        <w:t>Marco</w:t>
      </w:r>
    </w:p>
    <w:p w:rsidR="00CC34EB" w:rsidRPr="00CC34EB" w:rsidRDefault="00CC34EB" w:rsidP="00CC34EB">
      <w:pPr>
        <w:outlineLvl w:val="2"/>
        <w:rPr>
          <w:bCs/>
        </w:rPr>
      </w:pPr>
      <w:proofErr w:type="spellStart"/>
      <w:r w:rsidRPr="00CC34EB">
        <w:rPr>
          <w:bCs/>
        </w:rPr>
        <w:t>MaximEyes</w:t>
      </w:r>
      <w:proofErr w:type="spellEnd"/>
      <w:r w:rsidRPr="00CC34EB">
        <w:rPr>
          <w:bCs/>
        </w:rPr>
        <w:t xml:space="preserve"> by First Insight</w:t>
      </w:r>
    </w:p>
    <w:p w:rsidR="00CC34EB" w:rsidRPr="00CC34EB" w:rsidRDefault="00CC34EB" w:rsidP="00CC34EB">
      <w:pPr>
        <w:outlineLvl w:val="2"/>
        <w:rPr>
          <w:bCs/>
        </w:rPr>
      </w:pPr>
      <w:proofErr w:type="spellStart"/>
      <w:r w:rsidRPr="00CC34EB">
        <w:rPr>
          <w:bCs/>
        </w:rPr>
        <w:t>Ocusoft</w:t>
      </w:r>
      <w:proofErr w:type="spellEnd"/>
    </w:p>
    <w:p w:rsidR="00CC34EB" w:rsidRPr="00CC34EB" w:rsidRDefault="00CC34EB" w:rsidP="00CC34EB">
      <w:pPr>
        <w:outlineLvl w:val="2"/>
        <w:rPr>
          <w:bCs/>
        </w:rPr>
      </w:pPr>
      <w:r w:rsidRPr="00CC34EB">
        <w:rPr>
          <w:bCs/>
        </w:rPr>
        <w:t>Optical Distributor Group</w:t>
      </w:r>
    </w:p>
    <w:p w:rsidR="00CC34EB" w:rsidRDefault="00CC34EB" w:rsidP="00CC34EB">
      <w:pPr>
        <w:outlineLvl w:val="2"/>
        <w:rPr>
          <w:bCs/>
        </w:rPr>
      </w:pPr>
      <w:proofErr w:type="gramStart"/>
      <w:r>
        <w:rPr>
          <w:bCs/>
        </w:rPr>
        <w:t>Optical One, Inc.</w:t>
      </w:r>
      <w:proofErr w:type="gramEnd"/>
    </w:p>
    <w:p w:rsidR="00CC34EB" w:rsidRPr="00CC34EB" w:rsidRDefault="00CC34EB" w:rsidP="00CC34EB">
      <w:pPr>
        <w:outlineLvl w:val="2"/>
        <w:rPr>
          <w:bCs/>
        </w:rPr>
      </w:pPr>
      <w:r w:rsidRPr="00CC34EB">
        <w:rPr>
          <w:bCs/>
        </w:rPr>
        <w:t>Optics, Inc.</w:t>
      </w:r>
    </w:p>
    <w:p w:rsidR="00CC34EB" w:rsidRPr="00CC34EB" w:rsidRDefault="00CC34EB" w:rsidP="00CC34EB">
      <w:pPr>
        <w:outlineLvl w:val="2"/>
        <w:rPr>
          <w:bCs/>
        </w:rPr>
      </w:pPr>
      <w:r w:rsidRPr="00CC34EB">
        <w:rPr>
          <w:bCs/>
        </w:rPr>
        <w:t>Precision Instruments, Inc.</w:t>
      </w:r>
    </w:p>
    <w:p w:rsidR="00CC34EB" w:rsidRPr="00CC34EB" w:rsidRDefault="00CC34EB" w:rsidP="00CC34EB">
      <w:pPr>
        <w:outlineLvl w:val="2"/>
        <w:rPr>
          <w:bCs/>
        </w:rPr>
      </w:pPr>
      <w:r w:rsidRPr="00CC34EB">
        <w:rPr>
          <w:bCs/>
        </w:rPr>
        <w:t>Rooney Optical</w:t>
      </w:r>
    </w:p>
    <w:p w:rsidR="00CC34EB" w:rsidRPr="00CC34EB" w:rsidRDefault="00CC34EB" w:rsidP="00CC34EB">
      <w:pPr>
        <w:outlineLvl w:val="2"/>
        <w:rPr>
          <w:bCs/>
        </w:rPr>
      </w:pPr>
      <w:proofErr w:type="spellStart"/>
      <w:r w:rsidRPr="00CC34EB">
        <w:rPr>
          <w:bCs/>
        </w:rPr>
        <w:t>Safilo</w:t>
      </w:r>
      <w:proofErr w:type="spellEnd"/>
      <w:r w:rsidRPr="00CC34EB">
        <w:rPr>
          <w:bCs/>
        </w:rPr>
        <w:t xml:space="preserve"> USA</w:t>
      </w:r>
    </w:p>
    <w:p w:rsidR="00CC34EB" w:rsidRPr="00CC34EB" w:rsidRDefault="00CC34EB" w:rsidP="00CC34EB">
      <w:pPr>
        <w:outlineLvl w:val="2"/>
        <w:rPr>
          <w:bCs/>
        </w:rPr>
      </w:pPr>
      <w:proofErr w:type="spellStart"/>
      <w:r w:rsidRPr="00CC34EB">
        <w:rPr>
          <w:bCs/>
        </w:rPr>
        <w:t>Santinelli</w:t>
      </w:r>
      <w:proofErr w:type="spellEnd"/>
      <w:r w:rsidRPr="00CC34EB">
        <w:rPr>
          <w:bCs/>
        </w:rPr>
        <w:t xml:space="preserve"> International</w:t>
      </w:r>
    </w:p>
    <w:p w:rsidR="00CC34EB" w:rsidRPr="00CC34EB" w:rsidRDefault="00CC34EB" w:rsidP="00CC34EB">
      <w:pPr>
        <w:outlineLvl w:val="2"/>
        <w:rPr>
          <w:bCs/>
        </w:rPr>
      </w:pPr>
      <w:r w:rsidRPr="00CC34EB">
        <w:rPr>
          <w:bCs/>
        </w:rPr>
        <w:t>Select Optical</w:t>
      </w:r>
    </w:p>
    <w:p w:rsidR="00CC34EB" w:rsidRPr="00CC34EB" w:rsidRDefault="00CC34EB" w:rsidP="00CC34EB">
      <w:pPr>
        <w:outlineLvl w:val="2"/>
        <w:rPr>
          <w:bCs/>
        </w:rPr>
      </w:pPr>
      <w:r w:rsidRPr="00CC34EB">
        <w:rPr>
          <w:bCs/>
        </w:rPr>
        <w:t>Singer Optical</w:t>
      </w:r>
    </w:p>
    <w:p w:rsidR="00CC34EB" w:rsidRPr="00CC34EB" w:rsidRDefault="00CC34EB" w:rsidP="00CC34EB">
      <w:pPr>
        <w:outlineLvl w:val="2"/>
        <w:rPr>
          <w:bCs/>
        </w:rPr>
      </w:pPr>
      <w:proofErr w:type="spellStart"/>
      <w:r w:rsidRPr="00CC34EB">
        <w:rPr>
          <w:bCs/>
        </w:rPr>
        <w:t>Solutionreach</w:t>
      </w:r>
      <w:proofErr w:type="spellEnd"/>
    </w:p>
    <w:p w:rsidR="00CC34EB" w:rsidRPr="00CC34EB" w:rsidRDefault="00CC34EB" w:rsidP="00CC34EB">
      <w:pPr>
        <w:outlineLvl w:val="2"/>
        <w:rPr>
          <w:bCs/>
        </w:rPr>
      </w:pPr>
      <w:proofErr w:type="spellStart"/>
      <w:r w:rsidRPr="00CC34EB">
        <w:rPr>
          <w:bCs/>
        </w:rPr>
        <w:t>Synergeyes</w:t>
      </w:r>
      <w:proofErr w:type="spellEnd"/>
      <w:r w:rsidRPr="00CC34EB">
        <w:rPr>
          <w:bCs/>
        </w:rPr>
        <w:t>, Inc.</w:t>
      </w:r>
    </w:p>
    <w:p w:rsidR="00CC34EB" w:rsidRDefault="00CC34EB" w:rsidP="00CC34EB">
      <w:pPr>
        <w:outlineLvl w:val="2"/>
        <w:rPr>
          <w:bCs/>
        </w:rPr>
      </w:pPr>
      <w:r>
        <w:rPr>
          <w:bCs/>
        </w:rPr>
        <w:t>Toledo Optical</w:t>
      </w:r>
      <w:r w:rsidR="00E806AE">
        <w:rPr>
          <w:bCs/>
        </w:rPr>
        <w:t xml:space="preserve"> Laboratory</w:t>
      </w:r>
      <w:r>
        <w:rPr>
          <w:bCs/>
        </w:rPr>
        <w:t>, Inc.</w:t>
      </w:r>
    </w:p>
    <w:p w:rsidR="00CC34EB" w:rsidRPr="00CC34EB" w:rsidRDefault="00CC34EB" w:rsidP="00CC34EB">
      <w:pPr>
        <w:outlineLvl w:val="2"/>
        <w:rPr>
          <w:bCs/>
        </w:rPr>
      </w:pPr>
      <w:r w:rsidRPr="00CC34EB">
        <w:rPr>
          <w:bCs/>
        </w:rPr>
        <w:t>Transitions Optical Inc.</w:t>
      </w:r>
    </w:p>
    <w:p w:rsidR="00CC34EB" w:rsidRDefault="00CC34EB">
      <w:proofErr w:type="spellStart"/>
      <w:proofErr w:type="gramStart"/>
      <w:r>
        <w:t>Vistakon</w:t>
      </w:r>
      <w:proofErr w:type="spellEnd"/>
      <w:r>
        <w:t xml:space="preserve"> – Johnson &amp; Johnson Vision Care, Inc.</w:t>
      </w:r>
      <w:proofErr w:type="gramEnd"/>
    </w:p>
    <w:sectPr w:rsidR="00CC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F5"/>
    <w:rsid w:val="00041344"/>
    <w:rsid w:val="000E5DF5"/>
    <w:rsid w:val="00117C4D"/>
    <w:rsid w:val="00286A1A"/>
    <w:rsid w:val="0066097E"/>
    <w:rsid w:val="007D2916"/>
    <w:rsid w:val="00AC61CB"/>
    <w:rsid w:val="00CC34EB"/>
    <w:rsid w:val="00D25C7D"/>
    <w:rsid w:val="00E732DE"/>
    <w:rsid w:val="00E8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32DE"/>
    <w:pPr>
      <w:keepNext/>
      <w:outlineLvl w:val="0"/>
    </w:pPr>
    <w:rPr>
      <w:rFonts w:eastAsia="Arial Unicode MS"/>
      <w:u w:val="single"/>
    </w:rPr>
  </w:style>
  <w:style w:type="paragraph" w:styleId="Heading2">
    <w:name w:val="heading 2"/>
    <w:basedOn w:val="Normal"/>
    <w:next w:val="Normal"/>
    <w:link w:val="Heading2Char"/>
    <w:semiHidden/>
    <w:unhideWhenUsed/>
    <w:qFormat/>
    <w:rsid w:val="00E732DE"/>
    <w:pPr>
      <w:keepNext/>
      <w:outlineLvl w:val="1"/>
    </w:pPr>
    <w:rPr>
      <w:rFonts w:eastAsia="Arial Unicode MS"/>
      <w:b/>
      <w:bCs/>
    </w:rPr>
  </w:style>
  <w:style w:type="paragraph" w:styleId="Heading3">
    <w:name w:val="heading 3"/>
    <w:basedOn w:val="Normal"/>
    <w:next w:val="Normal"/>
    <w:link w:val="Heading3Char"/>
    <w:uiPriority w:val="9"/>
    <w:semiHidden/>
    <w:unhideWhenUsed/>
    <w:qFormat/>
    <w:rsid w:val="00CC34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DE"/>
    <w:rPr>
      <w:rFonts w:ascii="Times New Roman" w:eastAsia="Arial Unicode MS" w:hAnsi="Times New Roman" w:cs="Times New Roman"/>
      <w:sz w:val="24"/>
      <w:szCs w:val="24"/>
      <w:u w:val="single"/>
    </w:rPr>
  </w:style>
  <w:style w:type="character" w:customStyle="1" w:styleId="Heading2Char">
    <w:name w:val="Heading 2 Char"/>
    <w:basedOn w:val="DefaultParagraphFont"/>
    <w:link w:val="Heading2"/>
    <w:semiHidden/>
    <w:rsid w:val="00E732DE"/>
    <w:rPr>
      <w:rFonts w:ascii="Times New Roman" w:eastAsia="Arial Unicode MS" w:hAnsi="Times New Roman" w:cs="Times New Roman"/>
      <w:b/>
      <w:bCs/>
      <w:sz w:val="24"/>
      <w:szCs w:val="24"/>
    </w:rPr>
  </w:style>
  <w:style w:type="character" w:customStyle="1" w:styleId="yshortcuts">
    <w:name w:val="yshortcuts"/>
    <w:basedOn w:val="DefaultParagraphFont"/>
    <w:rsid w:val="00E732DE"/>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32DE"/>
    <w:pPr>
      <w:keepNext/>
      <w:outlineLvl w:val="0"/>
    </w:pPr>
    <w:rPr>
      <w:rFonts w:eastAsia="Arial Unicode MS"/>
      <w:u w:val="single"/>
    </w:rPr>
  </w:style>
  <w:style w:type="paragraph" w:styleId="Heading2">
    <w:name w:val="heading 2"/>
    <w:basedOn w:val="Normal"/>
    <w:next w:val="Normal"/>
    <w:link w:val="Heading2Char"/>
    <w:semiHidden/>
    <w:unhideWhenUsed/>
    <w:qFormat/>
    <w:rsid w:val="00E732DE"/>
    <w:pPr>
      <w:keepNext/>
      <w:outlineLvl w:val="1"/>
    </w:pPr>
    <w:rPr>
      <w:rFonts w:eastAsia="Arial Unicode MS"/>
      <w:b/>
      <w:bCs/>
    </w:rPr>
  </w:style>
  <w:style w:type="paragraph" w:styleId="Heading3">
    <w:name w:val="heading 3"/>
    <w:basedOn w:val="Normal"/>
    <w:next w:val="Normal"/>
    <w:link w:val="Heading3Char"/>
    <w:uiPriority w:val="9"/>
    <w:semiHidden/>
    <w:unhideWhenUsed/>
    <w:qFormat/>
    <w:rsid w:val="00CC34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2DE"/>
    <w:rPr>
      <w:rFonts w:ascii="Times New Roman" w:eastAsia="Arial Unicode MS" w:hAnsi="Times New Roman" w:cs="Times New Roman"/>
      <w:sz w:val="24"/>
      <w:szCs w:val="24"/>
      <w:u w:val="single"/>
    </w:rPr>
  </w:style>
  <w:style w:type="character" w:customStyle="1" w:styleId="Heading2Char">
    <w:name w:val="Heading 2 Char"/>
    <w:basedOn w:val="DefaultParagraphFont"/>
    <w:link w:val="Heading2"/>
    <w:semiHidden/>
    <w:rsid w:val="00E732DE"/>
    <w:rPr>
      <w:rFonts w:ascii="Times New Roman" w:eastAsia="Arial Unicode MS" w:hAnsi="Times New Roman" w:cs="Times New Roman"/>
      <w:b/>
      <w:bCs/>
      <w:sz w:val="24"/>
      <w:szCs w:val="24"/>
    </w:rPr>
  </w:style>
  <w:style w:type="character" w:customStyle="1" w:styleId="yshortcuts">
    <w:name w:val="yshortcuts"/>
    <w:basedOn w:val="DefaultParagraphFont"/>
    <w:rsid w:val="00E732DE"/>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1384">
      <w:bodyDiv w:val="1"/>
      <w:marLeft w:val="0"/>
      <w:marRight w:val="0"/>
      <w:marTop w:val="0"/>
      <w:marBottom w:val="0"/>
      <w:divBdr>
        <w:top w:val="none" w:sz="0" w:space="0" w:color="auto"/>
        <w:left w:val="none" w:sz="0" w:space="0" w:color="auto"/>
        <w:bottom w:val="none" w:sz="0" w:space="0" w:color="auto"/>
        <w:right w:val="none" w:sz="0" w:space="0" w:color="auto"/>
      </w:divBdr>
      <w:divsChild>
        <w:div w:id="1719696396">
          <w:marLeft w:val="0"/>
          <w:marRight w:val="0"/>
          <w:marTop w:val="0"/>
          <w:marBottom w:val="0"/>
          <w:divBdr>
            <w:top w:val="none" w:sz="0" w:space="0" w:color="auto"/>
            <w:left w:val="none" w:sz="0" w:space="0" w:color="auto"/>
            <w:bottom w:val="none" w:sz="0" w:space="0" w:color="auto"/>
            <w:right w:val="none" w:sz="0" w:space="0" w:color="auto"/>
          </w:divBdr>
        </w:div>
      </w:divsChild>
    </w:div>
    <w:div w:id="6548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Gibbs</dc:creator>
  <cp:lastModifiedBy>Linda</cp:lastModifiedBy>
  <cp:revision>2</cp:revision>
  <dcterms:created xsi:type="dcterms:W3CDTF">2012-02-10T10:13:00Z</dcterms:created>
  <dcterms:modified xsi:type="dcterms:W3CDTF">2012-02-10T10:13:00Z</dcterms:modified>
</cp:coreProperties>
</file>